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F756E" w14:textId="77777777" w:rsidR="00686909" w:rsidRPr="0051247E" w:rsidRDefault="009C29AE" w:rsidP="00686909">
      <w:pPr>
        <w:pStyle w:val="Supertitle"/>
      </w:pPr>
      <w:r>
        <w:rPr>
          <w:noProof/>
        </w:rPr>
        <w:drawing>
          <wp:anchor distT="0" distB="0" distL="114300" distR="114300" simplePos="0" relativeHeight="251658240" behindDoc="0" locked="0" layoutInCell="1" allowOverlap="1" wp14:anchorId="2DC4BB3C" wp14:editId="6F4FBE04">
            <wp:simplePos x="0" y="0"/>
            <wp:positionH relativeFrom="margin">
              <wp:posOffset>5029200</wp:posOffset>
            </wp:positionH>
            <wp:positionV relativeFrom="margin">
              <wp:posOffset>189230</wp:posOffset>
            </wp:positionV>
            <wp:extent cx="908050" cy="642620"/>
            <wp:effectExtent l="0" t="0" r="0" b="0"/>
            <wp:wrapSquare wrapText="bothSides"/>
            <wp:docPr id="2" name="Picture 2" descr="Texas Department of Transport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as Department of Transportati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8050" cy="642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58ED93" w14:textId="77777777" w:rsidR="005A58DE" w:rsidRPr="005A58DE" w:rsidRDefault="007831A5" w:rsidP="00F61FA2">
      <w:pPr>
        <w:pStyle w:val="SpecItemNumber"/>
      </w:pPr>
      <w:r>
        <w:t>Special Provision</w:t>
      </w:r>
      <w:r w:rsidR="00097E74">
        <w:t xml:space="preserve"> to Item 000</w:t>
      </w:r>
    </w:p>
    <w:p w14:paraId="409F20D4" w14:textId="77777777" w:rsidR="005A58DE" w:rsidRPr="00F61FA2" w:rsidRDefault="007831A5" w:rsidP="00C23588">
      <w:pPr>
        <w:pStyle w:val="SpecTitle"/>
      </w:pPr>
      <w:r>
        <w:t>Small Business Enterprise in State</w:t>
      </w:r>
      <w:r w:rsidR="00BA22B3">
        <w:t>-</w:t>
      </w:r>
      <w:r>
        <w:t>Funded Projects</w:t>
      </w:r>
    </w:p>
    <w:p w14:paraId="33BB4BBE" w14:textId="77777777" w:rsidR="00E2240F" w:rsidRDefault="002F06FD" w:rsidP="00C50CD4">
      <w:pPr>
        <w:pStyle w:val="Heading1"/>
        <w:numPr>
          <w:ilvl w:val="0"/>
          <w:numId w:val="32"/>
        </w:numPr>
      </w:pPr>
      <w:r>
        <w:t>Description</w:t>
      </w:r>
    </w:p>
    <w:p w14:paraId="335592FD" w14:textId="7CCBB1D7" w:rsidR="007831A5" w:rsidRDefault="007831A5" w:rsidP="007831A5">
      <w:pPr>
        <w:pStyle w:val="BodyText"/>
      </w:pPr>
      <w:r>
        <w:t xml:space="preserve">The purpose of this Special Provision is to </w:t>
      </w:r>
      <w:r w:rsidR="00BA22B3">
        <w:t>implement</w:t>
      </w:r>
      <w:r>
        <w:t xml:space="preserve"> the </w:t>
      </w:r>
      <w:r w:rsidR="0059610C">
        <w:t xml:space="preserve">Texas </w:t>
      </w:r>
      <w:r>
        <w:t>Department</w:t>
      </w:r>
      <w:r w:rsidR="0059610C">
        <w:t xml:space="preserve"> of Transportation</w:t>
      </w:r>
      <w:r>
        <w:t>’s policy of ensuring that SBE</w:t>
      </w:r>
      <w:r w:rsidR="00BA22B3">
        <w:t>s</w:t>
      </w:r>
      <w:r>
        <w:t xml:space="preserve"> ha</w:t>
      </w:r>
      <w:r w:rsidR="00BA22B3">
        <w:t>ve</w:t>
      </w:r>
      <w:r>
        <w:t xml:space="preserve"> an opportunity to participate in the performance of </w:t>
      </w:r>
      <w:r w:rsidR="00B423E2">
        <w:t>C</w:t>
      </w:r>
      <w:r>
        <w:t xml:space="preserve">ontracts. If the SBE goal is greater than zero, </w:t>
      </w:r>
      <w:r w:rsidR="00BA22B3">
        <w:t>Section 2.1., “Article A—SBE Goal is Greater than Zero</w:t>
      </w:r>
      <w:r w:rsidR="00EA6486">
        <w:t>,</w:t>
      </w:r>
      <w:r w:rsidR="00BA22B3">
        <w:t xml:space="preserve">” </w:t>
      </w:r>
      <w:r w:rsidR="00735324">
        <w:t xml:space="preserve">will </w:t>
      </w:r>
      <w:r>
        <w:t>apply</w:t>
      </w:r>
      <w:r w:rsidR="00BA22B3">
        <w:t xml:space="preserve"> </w:t>
      </w:r>
      <w:r>
        <w:t>to this Contract; otherwise,</w:t>
      </w:r>
      <w:r w:rsidR="007D5DB8">
        <w:t xml:space="preserve"> Section 2.2., “</w:t>
      </w:r>
      <w:r w:rsidR="007D5DB8" w:rsidRPr="00A13B41">
        <w:t>Article B</w:t>
      </w:r>
      <w:r w:rsidR="007D5DB8">
        <w:t>—</w:t>
      </w:r>
      <w:r w:rsidR="007D5DB8" w:rsidRPr="00A13B41">
        <w:t>No SBE Goal</w:t>
      </w:r>
      <w:r w:rsidR="00EA6486">
        <w:t>,</w:t>
      </w:r>
      <w:r w:rsidR="007D5DB8">
        <w:t xml:space="preserve">” will </w:t>
      </w:r>
      <w:r w:rsidR="00DF6B7A">
        <w:t>apply</w:t>
      </w:r>
      <w:r>
        <w:t>. The percentage goal for SBE participation in the work to be performed under</w:t>
      </w:r>
      <w:r w:rsidR="007D5DB8">
        <w:t xml:space="preserve"> </w:t>
      </w:r>
      <w:r>
        <w:t xml:space="preserve">this </w:t>
      </w:r>
      <w:r w:rsidR="007D5DB8">
        <w:t>C</w:t>
      </w:r>
      <w:r>
        <w:t xml:space="preserve">ontract will be in </w:t>
      </w:r>
      <w:r w:rsidR="007D5DB8">
        <w:t xml:space="preserve">accordance with </w:t>
      </w:r>
      <w:r>
        <w:t>the proposal.</w:t>
      </w:r>
    </w:p>
    <w:p w14:paraId="74F4BB04" w14:textId="77777777" w:rsidR="007831A5" w:rsidRDefault="007831A5" w:rsidP="00C50CD4">
      <w:pPr>
        <w:pStyle w:val="Heading1"/>
        <w:numPr>
          <w:ilvl w:val="0"/>
          <w:numId w:val="32"/>
        </w:numPr>
      </w:pPr>
      <w:r>
        <w:t>Definitions</w:t>
      </w:r>
    </w:p>
    <w:p w14:paraId="6BB770C0" w14:textId="716C01C2" w:rsidR="007831A5" w:rsidRDefault="00D80B4D" w:rsidP="007831A5">
      <w:pPr>
        <w:pStyle w:val="NoSpacing"/>
      </w:pPr>
      <w:r>
        <w:rPr>
          <w:bCs/>
        </w:rPr>
        <w:t xml:space="preserve">A </w:t>
      </w:r>
      <w:r w:rsidR="007831A5" w:rsidRPr="009B6953">
        <w:rPr>
          <w:bCs/>
        </w:rPr>
        <w:t>Small Business Enterprise (SBE)</w:t>
      </w:r>
      <w:r w:rsidR="007831A5">
        <w:rPr>
          <w:bCs/>
        </w:rPr>
        <w:t xml:space="preserve"> is a</w:t>
      </w:r>
      <w:r w:rsidR="007831A5" w:rsidRPr="00087993">
        <w:t xml:space="preserve"> firm </w:t>
      </w:r>
      <w:r w:rsidR="00161BB9">
        <w:t xml:space="preserve">certified as such by the </w:t>
      </w:r>
      <w:r w:rsidR="0059610C">
        <w:t xml:space="preserve">Texas </w:t>
      </w:r>
      <w:r w:rsidR="00161BB9">
        <w:t>Department</w:t>
      </w:r>
      <w:r w:rsidR="0059610C">
        <w:t xml:space="preserve"> of Transportation</w:t>
      </w:r>
      <w:r w:rsidR="00161BB9">
        <w:t xml:space="preserve">. </w:t>
      </w:r>
      <w:r w:rsidR="007831A5">
        <w:t xml:space="preserve">Firms certified as Historically Underutilized Businesses (HUBs) by the </w:t>
      </w:r>
      <w:r w:rsidR="007831A5" w:rsidRPr="003C63FA">
        <w:t>Texas Comptroller of Public Accounts</w:t>
      </w:r>
      <w:r w:rsidR="007831A5" w:rsidRPr="003C63FA">
        <w:rPr>
          <w:rStyle w:val="Emphasis"/>
        </w:rPr>
        <w:t xml:space="preserve"> </w:t>
      </w:r>
      <w:r w:rsidR="007831A5">
        <w:t>and as Disadvantaged Business Enterprises (DBEs) by the Texas Uniform Certification Program automatically qualify as SBEs.</w:t>
      </w:r>
    </w:p>
    <w:p w14:paraId="776D6FF4" w14:textId="77777777" w:rsidR="007831A5" w:rsidRPr="00A13B41" w:rsidRDefault="007831A5" w:rsidP="00C50CD4">
      <w:pPr>
        <w:pStyle w:val="Heading2"/>
        <w:numPr>
          <w:ilvl w:val="1"/>
          <w:numId w:val="31"/>
        </w:numPr>
        <w:tabs>
          <w:tab w:val="clear" w:pos="1800"/>
          <w:tab w:val="num" w:pos="1440"/>
        </w:tabs>
        <w:ind w:left="1440"/>
      </w:pPr>
      <w:r w:rsidRPr="00A13B41">
        <w:t>Article A</w:t>
      </w:r>
      <w:r w:rsidR="00025204">
        <w:t>—</w:t>
      </w:r>
      <w:r w:rsidRPr="00A13B41">
        <w:t>SBE Goal is Greater than Zero</w:t>
      </w:r>
      <w:r w:rsidRPr="00B716AC">
        <w:rPr>
          <w:b w:val="0"/>
          <w:bCs/>
        </w:rPr>
        <w:t>.</w:t>
      </w:r>
    </w:p>
    <w:p w14:paraId="3C6CEDBC" w14:textId="31376696" w:rsidR="007831A5" w:rsidRDefault="007831A5" w:rsidP="00C50CD4">
      <w:pPr>
        <w:pStyle w:val="Heading3"/>
        <w:numPr>
          <w:ilvl w:val="2"/>
          <w:numId w:val="32"/>
        </w:numPr>
      </w:pPr>
      <w:r>
        <w:rPr>
          <w:b/>
          <w:bCs/>
        </w:rPr>
        <w:t>Policy</w:t>
      </w:r>
      <w:r>
        <w:t>. The</w:t>
      </w:r>
      <w:r w:rsidR="00966F28">
        <w:t xml:space="preserve"> </w:t>
      </w:r>
      <w:r w:rsidR="0059610C">
        <w:t>Owner</w:t>
      </w:r>
      <w:r>
        <w:t xml:space="preserve"> is committed to providing contracting opportunities for small businesses. </w:t>
      </w:r>
      <w:r w:rsidR="00025204">
        <w:t>Therefore</w:t>
      </w:r>
      <w:r>
        <w:t xml:space="preserve">, it is the </w:t>
      </w:r>
      <w:r w:rsidR="0059610C">
        <w:t xml:space="preserve">Owner’s </w:t>
      </w:r>
      <w:r>
        <w:t>policy to develop and maintain a program to facilitate contracting opportunities for small businesses.</w:t>
      </w:r>
      <w:r w:rsidR="00B82174">
        <w:t xml:space="preserve"> </w:t>
      </w:r>
      <w:r>
        <w:t xml:space="preserve">Consequently, the requirements of the </w:t>
      </w:r>
      <w:r w:rsidR="0059610C">
        <w:t xml:space="preserve">Owner’s </w:t>
      </w:r>
      <w:r w:rsidR="00025204">
        <w:t>SBE</w:t>
      </w:r>
      <w:r>
        <w:t xml:space="preserve"> Program apply</w:t>
      </w:r>
      <w:r w:rsidR="00D20AF9">
        <w:t xml:space="preserve"> </w:t>
      </w:r>
      <w:r>
        <w:t xml:space="preserve">to this </w:t>
      </w:r>
      <w:r w:rsidR="00D80B4D">
        <w:t>C</w:t>
      </w:r>
      <w:r>
        <w:t>ontract as follows</w:t>
      </w:r>
      <w:r w:rsidR="00D20AF9">
        <w:t>.</w:t>
      </w:r>
    </w:p>
    <w:p w14:paraId="39E91625" w14:textId="77777777" w:rsidR="007831A5" w:rsidRPr="005B5495" w:rsidRDefault="007831A5" w:rsidP="005B5495">
      <w:pPr>
        <w:pStyle w:val="NoSpacing"/>
        <w:rPr>
          <w:bCs/>
        </w:rPr>
      </w:pPr>
      <w:r w:rsidRPr="005B5495">
        <w:rPr>
          <w:bCs/>
        </w:rPr>
        <w:t xml:space="preserve">The Contractor </w:t>
      </w:r>
      <w:r w:rsidR="00D80B4D" w:rsidRPr="005B5495">
        <w:rPr>
          <w:bCs/>
        </w:rPr>
        <w:t xml:space="preserve">will </w:t>
      </w:r>
      <w:r w:rsidRPr="005B5495">
        <w:rPr>
          <w:bCs/>
        </w:rPr>
        <w:t xml:space="preserve">make a good faith effort to meet the SBE goal for this </w:t>
      </w:r>
      <w:r w:rsidR="00D20AF9" w:rsidRPr="005B5495">
        <w:rPr>
          <w:bCs/>
        </w:rPr>
        <w:t>C</w:t>
      </w:r>
      <w:r w:rsidRPr="005B5495">
        <w:rPr>
          <w:bCs/>
        </w:rPr>
        <w:t>ontract.</w:t>
      </w:r>
    </w:p>
    <w:p w14:paraId="3E0362E8" w14:textId="77777777" w:rsidR="007831A5" w:rsidRPr="005B5495" w:rsidRDefault="007831A5" w:rsidP="005B5495">
      <w:pPr>
        <w:pStyle w:val="NoSpacing"/>
        <w:rPr>
          <w:bCs/>
        </w:rPr>
      </w:pPr>
      <w:r w:rsidRPr="005B5495">
        <w:rPr>
          <w:bCs/>
        </w:rPr>
        <w:t xml:space="preserve">The Contractor and any </w:t>
      </w:r>
      <w:r w:rsidR="00B423E2">
        <w:rPr>
          <w:bCs/>
        </w:rPr>
        <w:t>s</w:t>
      </w:r>
      <w:r w:rsidRPr="005B5495">
        <w:rPr>
          <w:bCs/>
        </w:rPr>
        <w:t xml:space="preserve">ubcontractors </w:t>
      </w:r>
      <w:r w:rsidR="00F9473B" w:rsidRPr="005B5495">
        <w:rPr>
          <w:bCs/>
        </w:rPr>
        <w:t xml:space="preserve">will </w:t>
      </w:r>
      <w:r w:rsidRPr="005B5495">
        <w:rPr>
          <w:bCs/>
        </w:rPr>
        <w:t xml:space="preserve">not discriminate </w:t>
      </w:r>
      <w:proofErr w:type="gramStart"/>
      <w:r w:rsidRPr="005B5495">
        <w:rPr>
          <w:bCs/>
        </w:rPr>
        <w:t>on the basis of</w:t>
      </w:r>
      <w:proofErr w:type="gramEnd"/>
      <w:r w:rsidRPr="005B5495">
        <w:rPr>
          <w:bCs/>
        </w:rPr>
        <w:t xml:space="preserve"> race, color, national origin, age, disability</w:t>
      </w:r>
      <w:r w:rsidR="00F9473B" w:rsidRPr="005B5495">
        <w:rPr>
          <w:bCs/>
        </w:rPr>
        <w:t>,</w:t>
      </w:r>
      <w:r w:rsidRPr="005B5495">
        <w:rPr>
          <w:bCs/>
        </w:rPr>
        <w:t xml:space="preserve"> or sex in the award and performance of this </w:t>
      </w:r>
      <w:r w:rsidR="00F9473B" w:rsidRPr="005B5495">
        <w:rPr>
          <w:bCs/>
        </w:rPr>
        <w:t>C</w:t>
      </w:r>
      <w:r w:rsidRPr="005B5495">
        <w:rPr>
          <w:bCs/>
        </w:rPr>
        <w:t xml:space="preserve">ontract. These nondiscrimination requirements </w:t>
      </w:r>
      <w:r w:rsidR="00F9473B" w:rsidRPr="005B5495">
        <w:rPr>
          <w:bCs/>
        </w:rPr>
        <w:t xml:space="preserve">must </w:t>
      </w:r>
      <w:r w:rsidRPr="005B5495">
        <w:rPr>
          <w:bCs/>
        </w:rPr>
        <w:t>be incorporated into any subcontract and purchase order.</w:t>
      </w:r>
    </w:p>
    <w:p w14:paraId="22F6337A" w14:textId="6E7F7878" w:rsidR="007831A5" w:rsidRPr="005B5495" w:rsidRDefault="007831A5" w:rsidP="005B5495">
      <w:pPr>
        <w:pStyle w:val="NoSpacing"/>
        <w:rPr>
          <w:bCs/>
        </w:rPr>
      </w:pPr>
      <w:r w:rsidRPr="005B5495">
        <w:rPr>
          <w:bCs/>
        </w:rPr>
        <w:t xml:space="preserve">After a conditional award is made to the low </w:t>
      </w:r>
      <w:r w:rsidR="002872AC">
        <w:rPr>
          <w:bCs/>
        </w:rPr>
        <w:t>B</w:t>
      </w:r>
      <w:r w:rsidR="002872AC" w:rsidRPr="005B5495">
        <w:rPr>
          <w:bCs/>
        </w:rPr>
        <w:t>idder</w:t>
      </w:r>
      <w:r w:rsidRPr="005B5495">
        <w:rPr>
          <w:bCs/>
        </w:rPr>
        <w:t xml:space="preserve">, the </w:t>
      </w:r>
      <w:r w:rsidR="0059610C">
        <w:rPr>
          <w:bCs/>
        </w:rPr>
        <w:t>Owner</w:t>
      </w:r>
      <w:r w:rsidR="0059610C" w:rsidRPr="005B5495">
        <w:rPr>
          <w:bCs/>
        </w:rPr>
        <w:t xml:space="preserve"> </w:t>
      </w:r>
      <w:r w:rsidRPr="005B5495">
        <w:rPr>
          <w:bCs/>
        </w:rPr>
        <w:t xml:space="preserve">will determine the adequacy of a Contractor’s efforts to meet the </w:t>
      </w:r>
      <w:r w:rsidR="00F9473B" w:rsidRPr="005B5495">
        <w:rPr>
          <w:bCs/>
        </w:rPr>
        <w:t xml:space="preserve">Contract </w:t>
      </w:r>
      <w:r w:rsidRPr="005B5495">
        <w:rPr>
          <w:bCs/>
        </w:rPr>
        <w:t xml:space="preserve">goal, </w:t>
      </w:r>
      <w:r w:rsidR="00D20AF9" w:rsidRPr="005B5495">
        <w:rPr>
          <w:bCs/>
        </w:rPr>
        <w:t xml:space="preserve">in accordance with </w:t>
      </w:r>
      <w:r w:rsidRPr="005B5495">
        <w:rPr>
          <w:bCs/>
        </w:rPr>
        <w:t>Section 2</w:t>
      </w:r>
      <w:r w:rsidR="00F9473B" w:rsidRPr="005B5495">
        <w:rPr>
          <w:bCs/>
        </w:rPr>
        <w:t>.1.2.</w:t>
      </w:r>
      <w:r w:rsidRPr="005B5495">
        <w:rPr>
          <w:bCs/>
        </w:rPr>
        <w:t xml:space="preserve">, “Contractor’s Responsibilities.” If the requirements </w:t>
      </w:r>
      <w:r w:rsidR="00D20AF9" w:rsidRPr="005B5495">
        <w:rPr>
          <w:bCs/>
        </w:rPr>
        <w:t xml:space="preserve">in accordance with </w:t>
      </w:r>
      <w:r w:rsidRPr="005B5495">
        <w:rPr>
          <w:bCs/>
        </w:rPr>
        <w:t>Section 2</w:t>
      </w:r>
      <w:r w:rsidR="00F9473B" w:rsidRPr="005B5495">
        <w:rPr>
          <w:bCs/>
        </w:rPr>
        <w:t>.1.2</w:t>
      </w:r>
      <w:r w:rsidR="007F5A42" w:rsidRPr="005B5495">
        <w:rPr>
          <w:bCs/>
        </w:rPr>
        <w:t>., “Contractor’s Responsibilities</w:t>
      </w:r>
      <w:r w:rsidR="00D20AF9" w:rsidRPr="005B5495">
        <w:rPr>
          <w:bCs/>
        </w:rPr>
        <w:t>,</w:t>
      </w:r>
      <w:r w:rsidR="007F5A42" w:rsidRPr="005B5495">
        <w:rPr>
          <w:bCs/>
        </w:rPr>
        <w:t>”</w:t>
      </w:r>
      <w:r w:rsidRPr="005B5495">
        <w:rPr>
          <w:bCs/>
        </w:rPr>
        <w:t xml:space="preserve"> are met, the </w:t>
      </w:r>
      <w:r w:rsidR="004B0B9B" w:rsidRPr="005B5495">
        <w:rPr>
          <w:bCs/>
        </w:rPr>
        <w:t>C</w:t>
      </w:r>
      <w:r w:rsidRPr="005B5495">
        <w:rPr>
          <w:bCs/>
        </w:rPr>
        <w:t>ontract will be forwarded to the Contractor for execution.</w:t>
      </w:r>
    </w:p>
    <w:p w14:paraId="5A2196F3" w14:textId="32861D92" w:rsidR="007831A5" w:rsidRPr="005B5495" w:rsidRDefault="007831A5" w:rsidP="005B5495">
      <w:pPr>
        <w:pStyle w:val="NoSpacing"/>
        <w:rPr>
          <w:bCs/>
        </w:rPr>
      </w:pPr>
      <w:r w:rsidRPr="005B5495">
        <w:rPr>
          <w:bCs/>
        </w:rPr>
        <w:t>The Contractor’s performance</w:t>
      </w:r>
      <w:r w:rsidR="00D20AF9" w:rsidRPr="005B5495">
        <w:rPr>
          <w:bCs/>
        </w:rPr>
        <w:t xml:space="preserve"> in meeting the SBE goal </w:t>
      </w:r>
      <w:r w:rsidRPr="005B5495">
        <w:rPr>
          <w:bCs/>
        </w:rPr>
        <w:t xml:space="preserve">during the construction period of the </w:t>
      </w:r>
      <w:r w:rsidR="007F5A42" w:rsidRPr="005B5495">
        <w:rPr>
          <w:bCs/>
        </w:rPr>
        <w:t>Contract</w:t>
      </w:r>
      <w:r w:rsidRPr="005B5495">
        <w:rPr>
          <w:bCs/>
        </w:rPr>
        <w:t xml:space="preserve"> will be monitored by the </w:t>
      </w:r>
      <w:r w:rsidR="0059610C">
        <w:rPr>
          <w:bCs/>
        </w:rPr>
        <w:t>Owner</w:t>
      </w:r>
      <w:r w:rsidRPr="005B5495">
        <w:rPr>
          <w:bCs/>
        </w:rPr>
        <w:t>.</w:t>
      </w:r>
    </w:p>
    <w:p w14:paraId="55A8DAFE" w14:textId="77777777" w:rsidR="007831A5" w:rsidRDefault="007831A5" w:rsidP="00C50CD4">
      <w:pPr>
        <w:pStyle w:val="Heading3"/>
        <w:numPr>
          <w:ilvl w:val="2"/>
          <w:numId w:val="32"/>
        </w:numPr>
      </w:pPr>
      <w:r>
        <w:rPr>
          <w:b/>
          <w:bCs/>
        </w:rPr>
        <w:t>Contractor</w:t>
      </w:r>
      <w:r w:rsidR="00D20AF9">
        <w:rPr>
          <w:b/>
          <w:bCs/>
        </w:rPr>
        <w:t>’</w:t>
      </w:r>
      <w:r>
        <w:rPr>
          <w:b/>
          <w:bCs/>
        </w:rPr>
        <w:t>s Responsibilities</w:t>
      </w:r>
      <w:r>
        <w:t>. These requirements must be satisfied by the Contractor. A</w:t>
      </w:r>
      <w:r w:rsidR="00D20AF9">
        <w:t>n</w:t>
      </w:r>
      <w:r>
        <w:t xml:space="preserve"> SBE Contractor may satisfy the SBE requirements by performing at least 25% of the </w:t>
      </w:r>
      <w:r w:rsidR="00D20AF9">
        <w:t>C</w:t>
      </w:r>
      <w:r>
        <w:t xml:space="preserve">ontract work with </w:t>
      </w:r>
      <w:r w:rsidR="00AB69F4">
        <w:t xml:space="preserve">their </w:t>
      </w:r>
      <w:r>
        <w:t xml:space="preserve">own organization </w:t>
      </w:r>
      <w:r w:rsidR="002411A3" w:rsidRPr="004F79B9">
        <w:t xml:space="preserve">in </w:t>
      </w:r>
      <w:r w:rsidR="00D20AF9">
        <w:t xml:space="preserve">accordance with </w:t>
      </w:r>
      <w:r w:rsidR="00011FFD" w:rsidRPr="004F79B9">
        <w:t>I</w:t>
      </w:r>
      <w:r w:rsidR="002411A3" w:rsidRPr="004F79B9">
        <w:t>tem 8</w:t>
      </w:r>
      <w:r w:rsidR="005E0637">
        <w:t>, “Prosecution and Progress</w:t>
      </w:r>
      <w:r w:rsidR="002411A3" w:rsidRPr="004F79B9">
        <w:t>.</w:t>
      </w:r>
      <w:r w:rsidR="005E0637">
        <w:t>”</w:t>
      </w:r>
    </w:p>
    <w:p w14:paraId="49E61FA2" w14:textId="2E7C4B62" w:rsidR="007831A5" w:rsidRPr="007831A5" w:rsidRDefault="007831A5" w:rsidP="00875F6C">
      <w:pPr>
        <w:pStyle w:val="NoSpacing"/>
      </w:pPr>
      <w:r w:rsidRPr="007831A5">
        <w:t xml:space="preserve">The Contractor </w:t>
      </w:r>
      <w:r w:rsidR="00D20AF9">
        <w:t>must</w:t>
      </w:r>
      <w:r w:rsidR="007F5A42" w:rsidRPr="007831A5">
        <w:t xml:space="preserve"> </w:t>
      </w:r>
      <w:r w:rsidRPr="007831A5">
        <w:t>complete</w:t>
      </w:r>
      <w:r w:rsidR="00875F6C">
        <w:t xml:space="preserve"> a</w:t>
      </w:r>
      <w:r w:rsidR="00D20AF9">
        <w:t>n</w:t>
      </w:r>
      <w:r w:rsidRPr="007831A5">
        <w:t xml:space="preserve"> SBE Commitment Agreement Form for each SBE</w:t>
      </w:r>
      <w:r w:rsidR="00D20AF9">
        <w:t>-</w:t>
      </w:r>
      <w:r w:rsidR="00875F6C">
        <w:t>certified firm</w:t>
      </w:r>
      <w:r w:rsidRPr="007831A5">
        <w:t xml:space="preserve"> the</w:t>
      </w:r>
      <w:r w:rsidR="00875F6C">
        <w:t xml:space="preserve"> Contractor </w:t>
      </w:r>
      <w:r w:rsidRPr="007831A5">
        <w:t>intend</w:t>
      </w:r>
      <w:r w:rsidR="00D20AF9">
        <w:t>s</w:t>
      </w:r>
      <w:r w:rsidRPr="007831A5">
        <w:t xml:space="preserve"> to use to satisfy the SBE goal</w:t>
      </w:r>
      <w:r w:rsidR="00875F6C">
        <w:t xml:space="preserve">. The SBE Commitment Agreement Form must be submitted to </w:t>
      </w:r>
      <w:r w:rsidRPr="007831A5">
        <w:t>the</w:t>
      </w:r>
      <w:r w:rsidR="00966F28">
        <w:t xml:space="preserve"> </w:t>
      </w:r>
      <w:r w:rsidR="0059610C">
        <w:t xml:space="preserve">Owner </w:t>
      </w:r>
      <w:proofErr w:type="gramStart"/>
      <w:r w:rsidR="0059610C">
        <w:t>so as to</w:t>
      </w:r>
      <w:proofErr w:type="gramEnd"/>
      <w:r w:rsidR="0059610C">
        <w:t xml:space="preserve"> arrive no</w:t>
      </w:r>
      <w:r w:rsidR="00966F28">
        <w:t xml:space="preserve"> </w:t>
      </w:r>
      <w:r w:rsidRPr="007831A5">
        <w:t>later than 5</w:t>
      </w:r>
      <w:r w:rsidR="00DB7B59">
        <w:t xml:space="preserve"> P</w:t>
      </w:r>
      <w:r w:rsidRPr="007831A5">
        <w:t>.</w:t>
      </w:r>
      <w:r w:rsidR="00DB7B59">
        <w:t>M</w:t>
      </w:r>
      <w:r w:rsidRPr="007831A5">
        <w:t xml:space="preserve">. on the 10th business day, excluding national holidays, after the conditional award of the </w:t>
      </w:r>
      <w:r w:rsidR="00276649">
        <w:t>C</w:t>
      </w:r>
      <w:r w:rsidR="00276649" w:rsidRPr="007831A5">
        <w:t>ontract</w:t>
      </w:r>
      <w:r w:rsidRPr="007831A5">
        <w:t xml:space="preserve">. When requested, additional time not to exceed 7 business days, excluding national holidays, may be granted based on documentation submitted by the Contractor. </w:t>
      </w:r>
    </w:p>
    <w:p w14:paraId="1C587022" w14:textId="7164CD29" w:rsidR="007831A5" w:rsidRPr="007831A5" w:rsidRDefault="007831A5" w:rsidP="002E5435">
      <w:pPr>
        <w:pStyle w:val="NoSpacing"/>
      </w:pPr>
      <w:r w:rsidRPr="007831A5">
        <w:t xml:space="preserve">A Contractor </w:t>
      </w:r>
      <w:r w:rsidR="00DB7B59">
        <w:t>that</w:t>
      </w:r>
      <w:r w:rsidR="00DB7B59" w:rsidRPr="007831A5">
        <w:t xml:space="preserve"> </w:t>
      </w:r>
      <w:r w:rsidRPr="007831A5">
        <w:t xml:space="preserve">cannot meet the </w:t>
      </w:r>
      <w:r w:rsidR="00276649">
        <w:t>C</w:t>
      </w:r>
      <w:r w:rsidRPr="007831A5">
        <w:t xml:space="preserve">ontract goal, in whole or in part, </w:t>
      </w:r>
      <w:r w:rsidR="00DB7B59">
        <w:t>must</w:t>
      </w:r>
      <w:r w:rsidRPr="007831A5">
        <w:t xml:space="preserve"> document the good faith efforts taken to meet the SBE goal. The </w:t>
      </w:r>
      <w:r w:rsidR="00FF5859">
        <w:t>Owner</w:t>
      </w:r>
      <w:r w:rsidR="00FF5859" w:rsidRPr="007831A5">
        <w:t xml:space="preserve"> </w:t>
      </w:r>
      <w:r w:rsidRPr="007831A5">
        <w:t xml:space="preserve">will consider as good faith efforts all documented explanations that are submitted and that describe a </w:t>
      </w:r>
      <w:proofErr w:type="gramStart"/>
      <w:r w:rsidRPr="007831A5">
        <w:t>Contractor’s</w:t>
      </w:r>
      <w:proofErr w:type="gramEnd"/>
      <w:r w:rsidRPr="007831A5">
        <w:t xml:space="preserve"> failure to meet a</w:t>
      </w:r>
      <w:r w:rsidR="00DB7B59">
        <w:t>n</w:t>
      </w:r>
      <w:r w:rsidRPr="007831A5">
        <w:t xml:space="preserve"> SBE goal or obtain SBE participation, including:</w:t>
      </w:r>
    </w:p>
    <w:p w14:paraId="07D27982" w14:textId="77777777" w:rsidR="007831A5" w:rsidRPr="00011FFD" w:rsidRDefault="002533BD" w:rsidP="000C4556">
      <w:pPr>
        <w:pStyle w:val="ListBullet"/>
        <w:numPr>
          <w:ilvl w:val="0"/>
          <w:numId w:val="30"/>
        </w:numPr>
        <w:tabs>
          <w:tab w:val="clear" w:pos="360"/>
        </w:tabs>
        <w:ind w:left="1800"/>
      </w:pPr>
      <w:r>
        <w:lastRenderedPageBreak/>
        <w:t>a</w:t>
      </w:r>
      <w:r w:rsidR="00276649" w:rsidRPr="00011FFD">
        <w:t xml:space="preserve">dvertising </w:t>
      </w:r>
      <w:r w:rsidR="007831A5" w:rsidRPr="00011FFD">
        <w:t xml:space="preserve">in general circulation, trade association, </w:t>
      </w:r>
      <w:r w:rsidR="00DB7B59">
        <w:t>and</w:t>
      </w:r>
      <w:r w:rsidR="007831A5" w:rsidRPr="00011FFD">
        <w:t xml:space="preserve"> minority</w:t>
      </w:r>
      <w:r w:rsidR="00DB7B59">
        <w:t xml:space="preserve">- or </w:t>
      </w:r>
      <w:r w:rsidR="007831A5" w:rsidRPr="00011FFD">
        <w:t>women</w:t>
      </w:r>
      <w:r w:rsidR="00DB7B59">
        <w:t>-</w:t>
      </w:r>
      <w:r w:rsidR="007831A5" w:rsidRPr="00011FFD">
        <w:t>focus</w:t>
      </w:r>
      <w:r w:rsidR="00DB7B59">
        <w:t>ed</w:t>
      </w:r>
      <w:r w:rsidR="007831A5" w:rsidRPr="00011FFD">
        <w:t xml:space="preserve"> media </w:t>
      </w:r>
      <w:r w:rsidR="00DB7B59">
        <w:t>regarding</w:t>
      </w:r>
      <w:r w:rsidR="00DB7B59" w:rsidRPr="00011FFD">
        <w:t xml:space="preserve"> </w:t>
      </w:r>
      <w:r w:rsidR="007831A5" w:rsidRPr="00011FFD">
        <w:t>subcontracting opportunities,</w:t>
      </w:r>
    </w:p>
    <w:p w14:paraId="308C29B3" w14:textId="77777777" w:rsidR="007831A5" w:rsidRPr="002C1CD7" w:rsidRDefault="002533BD" w:rsidP="000C4556">
      <w:pPr>
        <w:pStyle w:val="ListBullet"/>
        <w:numPr>
          <w:ilvl w:val="0"/>
          <w:numId w:val="30"/>
        </w:numPr>
        <w:tabs>
          <w:tab w:val="clear" w:pos="360"/>
        </w:tabs>
        <w:ind w:left="1800"/>
      </w:pPr>
      <w:r>
        <w:t>d</w:t>
      </w:r>
      <w:r w:rsidR="00276649" w:rsidRPr="00770449">
        <w:t xml:space="preserve">ividing </w:t>
      </w:r>
      <w:r w:rsidR="007831A5" w:rsidRPr="00770449">
        <w:t xml:space="preserve">the </w:t>
      </w:r>
      <w:r w:rsidR="00276649">
        <w:t>C</w:t>
      </w:r>
      <w:r w:rsidR="007831A5" w:rsidRPr="002E5435">
        <w:t xml:space="preserve">ontract work into reasonable portions in </w:t>
      </w:r>
      <w:r w:rsidR="00BD25BD">
        <w:t>conform</w:t>
      </w:r>
      <w:r w:rsidR="00BD25BD" w:rsidRPr="00770449">
        <w:t xml:space="preserve">ance </w:t>
      </w:r>
      <w:r w:rsidR="007831A5" w:rsidRPr="00770449">
        <w:t>with standard industry practices,</w:t>
      </w:r>
    </w:p>
    <w:p w14:paraId="0C2877B8" w14:textId="77777777" w:rsidR="007831A5" w:rsidRPr="002C1CD7" w:rsidRDefault="002533BD" w:rsidP="000C4556">
      <w:pPr>
        <w:pStyle w:val="ListBullet"/>
        <w:numPr>
          <w:ilvl w:val="0"/>
          <w:numId w:val="30"/>
        </w:numPr>
        <w:tabs>
          <w:tab w:val="clear" w:pos="360"/>
        </w:tabs>
        <w:ind w:left="1800"/>
      </w:pPr>
      <w:r>
        <w:t>d</w:t>
      </w:r>
      <w:r w:rsidR="00276649" w:rsidRPr="00770449">
        <w:t xml:space="preserve">ocumenting </w:t>
      </w:r>
      <w:r w:rsidR="007831A5" w:rsidRPr="00770449">
        <w:t>reasons for rejection or meeting with the rejected SBE to discuss the rejection,</w:t>
      </w:r>
    </w:p>
    <w:p w14:paraId="07859075" w14:textId="77777777" w:rsidR="007831A5" w:rsidRPr="002C1CD7" w:rsidRDefault="002533BD" w:rsidP="000C4556">
      <w:pPr>
        <w:pStyle w:val="ListBullet"/>
        <w:numPr>
          <w:ilvl w:val="0"/>
          <w:numId w:val="30"/>
        </w:numPr>
        <w:tabs>
          <w:tab w:val="clear" w:pos="360"/>
        </w:tabs>
        <w:ind w:left="1800"/>
      </w:pPr>
      <w:r>
        <w:t>p</w:t>
      </w:r>
      <w:r w:rsidR="00BD25BD" w:rsidRPr="00770449">
        <w:t xml:space="preserve">roviding </w:t>
      </w:r>
      <w:r w:rsidR="007831A5" w:rsidRPr="00770449">
        <w:t xml:space="preserve">qualified SBEs with adequate information </w:t>
      </w:r>
      <w:r w:rsidR="00DB7B59">
        <w:t>pertinent to</w:t>
      </w:r>
      <w:r w:rsidR="00DB7B59" w:rsidRPr="00770449">
        <w:t xml:space="preserve"> </w:t>
      </w:r>
      <w:r w:rsidR="007831A5" w:rsidRPr="00770449">
        <w:t>bon</w:t>
      </w:r>
      <w:r w:rsidR="007831A5" w:rsidRPr="002C1CD7">
        <w:t xml:space="preserve">ding, insurance, plans, </w:t>
      </w:r>
      <w:r w:rsidR="00DB7B59">
        <w:t>S</w:t>
      </w:r>
      <w:r w:rsidR="007831A5" w:rsidRPr="002C1CD7">
        <w:t xml:space="preserve">pecifications, scope of work, and the requirements of the </w:t>
      </w:r>
      <w:r w:rsidR="00BD25BD">
        <w:t>C</w:t>
      </w:r>
      <w:r w:rsidR="00BD25BD" w:rsidRPr="00770449">
        <w:t>ontract</w:t>
      </w:r>
      <w:r w:rsidR="007831A5" w:rsidRPr="00770449">
        <w:t>,</w:t>
      </w:r>
    </w:p>
    <w:p w14:paraId="2A039E57" w14:textId="77777777" w:rsidR="007831A5" w:rsidRPr="002E5435" w:rsidRDefault="002533BD" w:rsidP="000C4556">
      <w:pPr>
        <w:pStyle w:val="ListBullet"/>
        <w:numPr>
          <w:ilvl w:val="0"/>
          <w:numId w:val="30"/>
        </w:numPr>
        <w:tabs>
          <w:tab w:val="clear" w:pos="360"/>
        </w:tabs>
        <w:ind w:left="1800"/>
      </w:pPr>
      <w:r>
        <w:t>n</w:t>
      </w:r>
      <w:r w:rsidR="00BD25BD" w:rsidRPr="00770449">
        <w:t xml:space="preserve">egotiating </w:t>
      </w:r>
      <w:r w:rsidR="007831A5" w:rsidRPr="00770449">
        <w:t xml:space="preserve">in good faith with qualified SBEs, not rejecting qualified SBEs </w:t>
      </w:r>
      <w:r w:rsidR="00DB7B59">
        <w:t>that</w:t>
      </w:r>
      <w:r w:rsidR="00DB7B59" w:rsidRPr="00770449">
        <w:t xml:space="preserve"> </w:t>
      </w:r>
      <w:r w:rsidR="007831A5" w:rsidRPr="00770449">
        <w:t xml:space="preserve">are also the lowest responsive </w:t>
      </w:r>
      <w:r w:rsidR="004C57A9">
        <w:t>B</w:t>
      </w:r>
      <w:r w:rsidR="007831A5" w:rsidRPr="00770449">
        <w:t>idder</w:t>
      </w:r>
      <w:r w:rsidR="00BD25BD">
        <w:t>;</w:t>
      </w:r>
      <w:r w:rsidR="007831A5" w:rsidRPr="002E5435">
        <w:t xml:space="preserve"> and</w:t>
      </w:r>
    </w:p>
    <w:p w14:paraId="67DE2E2B" w14:textId="77777777" w:rsidR="007831A5" w:rsidRPr="002E5435" w:rsidRDefault="002533BD" w:rsidP="000C4556">
      <w:pPr>
        <w:pStyle w:val="ListBullet"/>
        <w:numPr>
          <w:ilvl w:val="0"/>
          <w:numId w:val="30"/>
        </w:numPr>
        <w:tabs>
          <w:tab w:val="clear" w:pos="360"/>
        </w:tabs>
        <w:ind w:left="1800"/>
      </w:pPr>
      <w:r>
        <w:t>u</w:t>
      </w:r>
      <w:r w:rsidR="00BD25BD" w:rsidRPr="00770449">
        <w:t xml:space="preserve">sing </w:t>
      </w:r>
      <w:r w:rsidR="007831A5" w:rsidRPr="00770449">
        <w:t>the service</w:t>
      </w:r>
      <w:r w:rsidR="007831A5" w:rsidRPr="002C1CD7">
        <w:t>s of available minorities and women</w:t>
      </w:r>
      <w:r w:rsidR="00BD25BD">
        <w:t>;</w:t>
      </w:r>
      <w:r w:rsidR="007831A5" w:rsidRPr="002E5435">
        <w:t xml:space="preserve"> community organizations</w:t>
      </w:r>
      <w:r w:rsidR="00BD25BD">
        <w:t>;</w:t>
      </w:r>
      <w:r w:rsidR="007831A5" w:rsidRPr="00770449">
        <w:t xml:space="preserve"> </w:t>
      </w:r>
      <w:r w:rsidR="00B423E2">
        <w:t>C</w:t>
      </w:r>
      <w:r w:rsidR="007831A5" w:rsidRPr="00770449">
        <w:t>ontractor groups</w:t>
      </w:r>
      <w:r w:rsidR="003A1F4A">
        <w:t>;</w:t>
      </w:r>
      <w:r w:rsidR="007831A5" w:rsidRPr="00770449">
        <w:t xml:space="preserve"> local, state</w:t>
      </w:r>
      <w:r w:rsidR="003A1F4A">
        <w:t>,</w:t>
      </w:r>
      <w:r w:rsidR="007831A5" w:rsidRPr="00770449">
        <w:t xml:space="preserve"> and federal business assistance offices</w:t>
      </w:r>
      <w:r w:rsidR="003A1F4A">
        <w:t>;</w:t>
      </w:r>
      <w:r w:rsidR="007831A5" w:rsidRPr="002E5435">
        <w:t xml:space="preserve"> and other organizations that provide support services to SBEs.</w:t>
      </w:r>
    </w:p>
    <w:p w14:paraId="519E1B29" w14:textId="5DEE55A3" w:rsidR="007831A5" w:rsidRDefault="007831A5" w:rsidP="00F02BF6">
      <w:pPr>
        <w:pStyle w:val="NoSpacing"/>
      </w:pPr>
      <w:r>
        <w:t xml:space="preserve">The good faith effort documentation is due </w:t>
      </w:r>
      <w:r w:rsidR="00FF5859">
        <w:t xml:space="preserve">to the Owner </w:t>
      </w:r>
      <w:r>
        <w:t xml:space="preserve">at the time and place in </w:t>
      </w:r>
      <w:r w:rsidR="00DB7B59">
        <w:t xml:space="preserve">accordance with </w:t>
      </w:r>
      <w:r w:rsidR="003A1F4A">
        <w:t>this Section</w:t>
      </w:r>
      <w:r>
        <w:t xml:space="preserve">. </w:t>
      </w:r>
      <w:r w:rsidR="00FF5859">
        <w:t xml:space="preserve">The Owner </w:t>
      </w:r>
      <w:r>
        <w:t xml:space="preserve">will evaluate the Contractor’s documentation. If it is determined that the Contractor has failed to meet the good faith effort requirements, the Contractor will be given an opportunity for reconsideration by the </w:t>
      </w:r>
      <w:r w:rsidR="00FF5859">
        <w:t>Owner</w:t>
      </w:r>
      <w:r>
        <w:t>.</w:t>
      </w:r>
    </w:p>
    <w:p w14:paraId="3984D12E" w14:textId="5D34E8A4" w:rsidR="007831A5" w:rsidRDefault="007831A5" w:rsidP="00F02BF6">
      <w:pPr>
        <w:pStyle w:val="NoSpacing"/>
      </w:pPr>
      <w:r>
        <w:t xml:space="preserve">Should the </w:t>
      </w:r>
      <w:r w:rsidR="00FC660F">
        <w:t xml:space="preserve">Bidder </w:t>
      </w:r>
      <w:r>
        <w:t xml:space="preserve">to </w:t>
      </w:r>
      <w:r w:rsidR="00F22CF1">
        <w:t xml:space="preserve">which </w:t>
      </w:r>
      <w:r>
        <w:t xml:space="preserve">the </w:t>
      </w:r>
      <w:r w:rsidR="000A3007">
        <w:t>C</w:t>
      </w:r>
      <w:r>
        <w:t>ontract is conditionally awarded refuse, neglect</w:t>
      </w:r>
      <w:r w:rsidR="000A3007">
        <w:t>,</w:t>
      </w:r>
      <w:r>
        <w:t xml:space="preserve"> or fail to meet the SBE goal or demonstrate to the </w:t>
      </w:r>
      <w:r w:rsidR="00FF5859">
        <w:t xml:space="preserve">Owner’s </w:t>
      </w:r>
      <w:r>
        <w:t>satisfaction sufficient</w:t>
      </w:r>
      <w:r w:rsidR="00F22CF1">
        <w:t xml:space="preserve"> </w:t>
      </w:r>
      <w:r>
        <w:t xml:space="preserve">efforts to obtain SBE participation, the proposal guaranty filed with the bid </w:t>
      </w:r>
      <w:r w:rsidR="000A3007">
        <w:t xml:space="preserve">will </w:t>
      </w:r>
      <w:r>
        <w:t xml:space="preserve">become the property of the </w:t>
      </w:r>
      <w:r w:rsidR="00FF5859">
        <w:t>Owner</w:t>
      </w:r>
      <w:r>
        <w:t>, not as a penalty, but as liquidated damages</w:t>
      </w:r>
      <w:r w:rsidR="00FF5859">
        <w:t xml:space="preserve"> to the Owner</w:t>
      </w:r>
      <w:r>
        <w:t>.</w:t>
      </w:r>
    </w:p>
    <w:p w14:paraId="3759B105" w14:textId="1E8BBBA8" w:rsidR="007831A5" w:rsidRDefault="007831A5" w:rsidP="00F02BF6">
      <w:pPr>
        <w:pStyle w:val="NoSpacing"/>
      </w:pPr>
      <w:r>
        <w:t>The Contractor must not terminate a</w:t>
      </w:r>
      <w:r w:rsidR="00F22CF1">
        <w:t>n</w:t>
      </w:r>
      <w:r>
        <w:t xml:space="preserve"> SBE subcontractor submitted on a commitment agreement for a </w:t>
      </w:r>
      <w:r w:rsidR="006B6206">
        <w:t xml:space="preserve">Contract </w:t>
      </w:r>
      <w:r>
        <w:t xml:space="preserve">with an assigned goal without the prior written consent of the </w:t>
      </w:r>
      <w:r w:rsidR="00FF5859">
        <w:t>Owner</w:t>
      </w:r>
      <w:r>
        <w:t>.</w:t>
      </w:r>
    </w:p>
    <w:p w14:paraId="06E8E875" w14:textId="77777777" w:rsidR="007831A5" w:rsidRDefault="007831A5" w:rsidP="00F02BF6">
      <w:pPr>
        <w:pStyle w:val="NoSpacing"/>
      </w:pPr>
      <w:r>
        <w:t xml:space="preserve">The Contractor </w:t>
      </w:r>
      <w:r w:rsidR="00F22CF1">
        <w:t>must</w:t>
      </w:r>
      <w:r w:rsidR="006B6206">
        <w:t xml:space="preserve"> </w:t>
      </w:r>
      <w:r>
        <w:t>designate a</w:t>
      </w:r>
      <w:r w:rsidR="00F22CF1">
        <w:t>n</w:t>
      </w:r>
      <w:r>
        <w:t xml:space="preserve"> SBE contact person who will administer the Contractor’s SBE program and who will be responsible for submitting reports, maintaining records, and documenting good faith efforts to use SBEs. </w:t>
      </w:r>
    </w:p>
    <w:p w14:paraId="302A899A" w14:textId="71AAD38D" w:rsidR="007831A5" w:rsidRDefault="007831A5" w:rsidP="00F02BF6">
      <w:pPr>
        <w:pStyle w:val="NoSpacing"/>
      </w:pPr>
      <w:r>
        <w:t xml:space="preserve">The Contractor must inform the </w:t>
      </w:r>
      <w:r w:rsidR="00FF5859">
        <w:t xml:space="preserve">Owner </w:t>
      </w:r>
      <w:r>
        <w:t>of the representative</w:t>
      </w:r>
      <w:r w:rsidR="00F22CF1">
        <w:t>’</w:t>
      </w:r>
      <w:r>
        <w:t>s name, title</w:t>
      </w:r>
      <w:r w:rsidR="006B6206">
        <w:t>,</w:t>
      </w:r>
      <w:r>
        <w:t xml:space="preserve"> and telephone number within 10 days of beginning work.</w:t>
      </w:r>
    </w:p>
    <w:p w14:paraId="6AED9C27" w14:textId="1E2DD06C" w:rsidR="00061DF8" w:rsidRDefault="007831A5" w:rsidP="00B716AC">
      <w:pPr>
        <w:pStyle w:val="Heading3"/>
        <w:numPr>
          <w:ilvl w:val="2"/>
          <w:numId w:val="32"/>
        </w:numPr>
      </w:pPr>
      <w:r w:rsidRPr="00C30ACE">
        <w:rPr>
          <w:b/>
        </w:rPr>
        <w:t>Eligibility of SBEs</w:t>
      </w:r>
      <w:r w:rsidRPr="00B716AC">
        <w:rPr>
          <w:bCs/>
        </w:rPr>
        <w:t>.</w:t>
      </w:r>
      <w:r w:rsidR="006B6206">
        <w:t xml:space="preserve"> </w:t>
      </w:r>
      <w:r>
        <w:t xml:space="preserve">The </w:t>
      </w:r>
      <w:r w:rsidR="00FF5859">
        <w:t xml:space="preserve">Texas </w:t>
      </w:r>
      <w:r>
        <w:t>Department</w:t>
      </w:r>
      <w:r w:rsidR="00FF5859">
        <w:t xml:space="preserve"> of Transportation</w:t>
      </w:r>
      <w:r>
        <w:t xml:space="preserve"> certifies the eligibility of SBEs</w:t>
      </w:r>
      <w:r w:rsidR="00C30ACE">
        <w:t xml:space="preserve">. </w:t>
      </w:r>
    </w:p>
    <w:p w14:paraId="388C81C0" w14:textId="4B4ACAEB" w:rsidR="007831A5" w:rsidRDefault="00C30ACE" w:rsidP="00393540">
      <w:pPr>
        <w:pStyle w:val="NoSpacing"/>
      </w:pPr>
      <w:r>
        <w:t xml:space="preserve">Firms certified as SBEs are listed </w:t>
      </w:r>
      <w:r w:rsidR="00FF5859">
        <w:t xml:space="preserve">on </w:t>
      </w:r>
      <w:r>
        <w:t xml:space="preserve">the </w:t>
      </w:r>
      <w:r w:rsidR="00FF5859">
        <w:t xml:space="preserve">Texas </w:t>
      </w:r>
      <w:r>
        <w:t>Department</w:t>
      </w:r>
      <w:r w:rsidR="00FF5859">
        <w:t xml:space="preserve"> of Transportation</w:t>
      </w:r>
      <w:r>
        <w:t xml:space="preserve">’s online directory located </w:t>
      </w:r>
      <w:r w:rsidR="00F22CF1">
        <w:t xml:space="preserve">at </w:t>
      </w:r>
      <w:hyperlink r:id="rId12" w:history="1">
        <w:r w:rsidR="00F22CF1">
          <w:rPr>
            <w:rStyle w:val="Hyperlink"/>
          </w:rPr>
          <w:t>https://txdot.txdotcms.com/</w:t>
        </w:r>
      </w:hyperlink>
      <w:r>
        <w:t xml:space="preserve">. </w:t>
      </w:r>
    </w:p>
    <w:p w14:paraId="015A66B7" w14:textId="77777777" w:rsidR="007831A5" w:rsidRDefault="007831A5" w:rsidP="00F02BF6">
      <w:pPr>
        <w:pStyle w:val="NoSpacing"/>
      </w:pPr>
      <w:r>
        <w:t xml:space="preserve">Only firms certified at the time of letting or at the time the commitments are submitted are eligible to be used in the information furnished by the Contractor </w:t>
      </w:r>
      <w:r w:rsidR="00F22CF1">
        <w:t>in accordance with</w:t>
      </w:r>
      <w:r>
        <w:t xml:space="preserve"> Section 2</w:t>
      </w:r>
      <w:r w:rsidR="00810A83">
        <w:t>.1.2., “Contractor’s Responsibilities.”</w:t>
      </w:r>
    </w:p>
    <w:p w14:paraId="0423244B" w14:textId="77777777" w:rsidR="007831A5" w:rsidRDefault="007831A5" w:rsidP="00F02BF6">
      <w:pPr>
        <w:pStyle w:val="NoSpacing"/>
      </w:pPr>
      <w:r>
        <w:t>Certified HUBs and DBEs are eligible as SBEs.</w:t>
      </w:r>
    </w:p>
    <w:p w14:paraId="5334125C" w14:textId="547D50CE" w:rsidR="00C30ACE" w:rsidRDefault="00C30ACE" w:rsidP="00C30ACE">
      <w:pPr>
        <w:pStyle w:val="NoSpacing"/>
      </w:pPr>
      <w:r>
        <w:t xml:space="preserve">The </w:t>
      </w:r>
      <w:r w:rsidR="00FF5859">
        <w:t xml:space="preserve">Texas </w:t>
      </w:r>
      <w:r>
        <w:t>Department</w:t>
      </w:r>
      <w:r w:rsidR="00FF5859">
        <w:t xml:space="preserve"> of Transportation</w:t>
      </w:r>
      <w:r>
        <w:t xml:space="preserve">’s SBE </w:t>
      </w:r>
      <w:r w:rsidR="00F22CF1">
        <w:t>P</w:t>
      </w:r>
      <w:r>
        <w:t xml:space="preserve">rogram is governed by </w:t>
      </w:r>
      <w:r w:rsidR="008C3062">
        <w:t>43</w:t>
      </w:r>
      <w:r w:rsidRPr="00C30ACE">
        <w:t xml:space="preserve"> </w:t>
      </w:r>
      <w:r w:rsidR="008C3062">
        <w:t>TAC</w:t>
      </w:r>
      <w:r w:rsidRPr="00C30ACE">
        <w:t>, Chapter 9, Subchapter K</w:t>
      </w:r>
      <w:r w:rsidR="008C3062">
        <w:t>, “Small Business Enterprise (SBE) Program</w:t>
      </w:r>
      <w:r>
        <w:t>.</w:t>
      </w:r>
      <w:r w:rsidR="008C3062">
        <w:t>”</w:t>
      </w:r>
    </w:p>
    <w:p w14:paraId="0FB132D7" w14:textId="77777777" w:rsidR="007831A5" w:rsidRDefault="007831A5" w:rsidP="00C50CD4">
      <w:pPr>
        <w:pStyle w:val="Heading3"/>
        <w:numPr>
          <w:ilvl w:val="2"/>
          <w:numId w:val="32"/>
        </w:numPr>
      </w:pPr>
      <w:r w:rsidRPr="0092319B">
        <w:rPr>
          <w:b/>
          <w:bCs/>
        </w:rPr>
        <w:t>Determination of SBE Participation</w:t>
      </w:r>
      <w:r>
        <w:t>.</w:t>
      </w:r>
      <w:r w:rsidRPr="0092319B">
        <w:t xml:space="preserve"> SBE participation </w:t>
      </w:r>
      <w:r w:rsidR="00456691">
        <w:t>wi</w:t>
      </w:r>
      <w:r w:rsidR="00456691" w:rsidRPr="0092319B">
        <w:t xml:space="preserve">ll </w:t>
      </w:r>
      <w:r w:rsidRPr="0092319B">
        <w:t>be co</w:t>
      </w:r>
      <w:r>
        <w:t xml:space="preserve">unted toward meeting the SBE goal in this </w:t>
      </w:r>
      <w:r w:rsidR="005B5495">
        <w:t>C</w:t>
      </w:r>
      <w:r>
        <w:t>ontract in accordance with the following</w:t>
      </w:r>
      <w:r w:rsidR="006B6206">
        <w:t>.</w:t>
      </w:r>
    </w:p>
    <w:p w14:paraId="1BF82D69" w14:textId="77777777" w:rsidR="007831A5" w:rsidRDefault="007831A5" w:rsidP="00F02BF6">
      <w:pPr>
        <w:pStyle w:val="NoSpacing"/>
      </w:pPr>
      <w:r>
        <w:t xml:space="preserve">A Contractor will receive credit for all payments </w:t>
      </w:r>
      <w:proofErr w:type="gramStart"/>
      <w:r>
        <w:t>actually made</w:t>
      </w:r>
      <w:proofErr w:type="gramEnd"/>
      <w:r>
        <w:t xml:space="preserve"> to a</w:t>
      </w:r>
      <w:r w:rsidR="005B5495">
        <w:t>n</w:t>
      </w:r>
      <w:r>
        <w:t xml:space="preserve"> SBE for work performed and costs incurred in accordance with the </w:t>
      </w:r>
      <w:r w:rsidR="00456691">
        <w:t>C</w:t>
      </w:r>
      <w:r>
        <w:t>ontract, including all subcontracted work.</w:t>
      </w:r>
    </w:p>
    <w:p w14:paraId="1AF2DDAD" w14:textId="77777777" w:rsidR="007831A5" w:rsidRDefault="007831A5" w:rsidP="00F02BF6">
      <w:pPr>
        <w:pStyle w:val="NoSpacing"/>
      </w:pPr>
      <w:r>
        <w:t>A</w:t>
      </w:r>
      <w:r w:rsidR="005B5495">
        <w:t>n</w:t>
      </w:r>
      <w:r>
        <w:t xml:space="preserve"> SBE Contractor or subcontractor may not subcontract more than 75% of a </w:t>
      </w:r>
      <w:r w:rsidR="00456691">
        <w:t>C</w:t>
      </w:r>
      <w:r>
        <w:t xml:space="preserve">ontract. The SBE </w:t>
      </w:r>
      <w:r w:rsidR="005B5495">
        <w:t>must</w:t>
      </w:r>
      <w:r w:rsidR="00456691">
        <w:t xml:space="preserve"> </w:t>
      </w:r>
      <w:r>
        <w:t xml:space="preserve">perform no less than 25% of the value of the </w:t>
      </w:r>
      <w:r w:rsidR="004C63CD">
        <w:t>C</w:t>
      </w:r>
      <w:r>
        <w:t xml:space="preserve">ontract work with </w:t>
      </w:r>
      <w:r w:rsidR="0002445B">
        <w:t xml:space="preserve">their </w:t>
      </w:r>
      <w:r>
        <w:t>own organization</w:t>
      </w:r>
      <w:r w:rsidR="002411A3">
        <w:t xml:space="preserve"> </w:t>
      </w:r>
      <w:r w:rsidR="005B5495">
        <w:t>in accordance with</w:t>
      </w:r>
      <w:r w:rsidR="002411A3" w:rsidRPr="00C30ACE">
        <w:t xml:space="preserve"> </w:t>
      </w:r>
      <w:r w:rsidR="00011FFD" w:rsidRPr="00C30ACE">
        <w:t>I</w:t>
      </w:r>
      <w:r w:rsidR="002411A3" w:rsidRPr="00C30ACE">
        <w:t>tem</w:t>
      </w:r>
      <w:r w:rsidR="005B5495">
        <w:t> </w:t>
      </w:r>
      <w:r w:rsidR="002411A3" w:rsidRPr="00C30ACE">
        <w:t>8</w:t>
      </w:r>
      <w:r w:rsidRPr="00C30ACE">
        <w:t>.</w:t>
      </w:r>
    </w:p>
    <w:p w14:paraId="722F0917" w14:textId="56D71EA2" w:rsidR="007831A5" w:rsidRDefault="007831A5" w:rsidP="00F02BF6">
      <w:pPr>
        <w:pStyle w:val="NoSpacing"/>
      </w:pPr>
      <w:r>
        <w:lastRenderedPageBreak/>
        <w:t>A</w:t>
      </w:r>
      <w:r w:rsidR="005B5495">
        <w:t>n</w:t>
      </w:r>
      <w:r>
        <w:t xml:space="preserve"> SBE may lease equipment consistent with standard industry practice. A</w:t>
      </w:r>
      <w:r w:rsidR="005B5495">
        <w:t>n</w:t>
      </w:r>
      <w:r>
        <w:t xml:space="preserve"> SBE may lease equipment from the prime </w:t>
      </w:r>
      <w:r w:rsidR="007F0C1C">
        <w:t>C</w:t>
      </w:r>
      <w:r>
        <w:t xml:space="preserve">ontractor if a rental agreement, separate from the subcontract specifying the terms of the lease arrangement, is approved by the </w:t>
      </w:r>
      <w:r w:rsidR="00432ECD">
        <w:t xml:space="preserve">Owner </w:t>
      </w:r>
      <w:r w:rsidR="005B5495">
        <w:t>before</w:t>
      </w:r>
      <w:r>
        <w:t xml:space="preserve"> the SBE starting the work in accordance with the following</w:t>
      </w:r>
      <w:r w:rsidR="005B5495">
        <w:t>.</w:t>
      </w:r>
    </w:p>
    <w:p w14:paraId="117CAFFE" w14:textId="77777777" w:rsidR="007831A5" w:rsidRDefault="007831A5" w:rsidP="000C4556">
      <w:pPr>
        <w:pStyle w:val="ListBullet"/>
        <w:numPr>
          <w:ilvl w:val="0"/>
          <w:numId w:val="30"/>
        </w:numPr>
        <w:tabs>
          <w:tab w:val="clear" w:pos="360"/>
        </w:tabs>
        <w:ind w:left="1800"/>
      </w:pPr>
      <w:r>
        <w:t>If the equipment is of a specialized nature, the lease may include the operator. If the practice is generally acceptable with the industry, the operator may remain on the lessor</w:t>
      </w:r>
      <w:r w:rsidR="005B5495">
        <w:t>’</w:t>
      </w:r>
      <w:r>
        <w:t xml:space="preserve">s payroll. The operator of the equipment </w:t>
      </w:r>
      <w:r w:rsidR="005B5495">
        <w:t>must</w:t>
      </w:r>
      <w:r>
        <w:t xml:space="preserve"> be subject to the full control of the SBE, for a short term, and involve a specialized piece of heavy equipment readily available at the jobsite.</w:t>
      </w:r>
    </w:p>
    <w:p w14:paraId="777867D4" w14:textId="77777777" w:rsidR="007831A5" w:rsidRDefault="007831A5" w:rsidP="000C4556">
      <w:pPr>
        <w:pStyle w:val="ListBullet"/>
        <w:numPr>
          <w:ilvl w:val="0"/>
          <w:numId w:val="30"/>
        </w:numPr>
        <w:tabs>
          <w:tab w:val="clear" w:pos="360"/>
        </w:tabs>
        <w:ind w:left="1800"/>
      </w:pPr>
      <w:r>
        <w:t xml:space="preserve">For equipment that is not specialized, the SBE </w:t>
      </w:r>
      <w:r w:rsidR="005B5495">
        <w:t>must</w:t>
      </w:r>
      <w:r w:rsidR="001E4B37">
        <w:t xml:space="preserve"> </w:t>
      </w:r>
      <w:r>
        <w:t>provide the operator and be responsible for all payroll and labor compliance requirements.</w:t>
      </w:r>
    </w:p>
    <w:p w14:paraId="613437EF" w14:textId="3720CA85" w:rsidR="007831A5" w:rsidRDefault="007831A5" w:rsidP="00C50CD4">
      <w:pPr>
        <w:pStyle w:val="Heading3"/>
        <w:numPr>
          <w:ilvl w:val="2"/>
          <w:numId w:val="32"/>
        </w:numPr>
      </w:pPr>
      <w:r w:rsidRPr="00B716AC">
        <w:rPr>
          <w:b/>
          <w:bCs/>
        </w:rPr>
        <w:t>Records and Reports</w:t>
      </w:r>
      <w:r>
        <w:t>.</w:t>
      </w:r>
      <w:r w:rsidR="00B351A5">
        <w:t xml:space="preserve"> </w:t>
      </w:r>
      <w:r>
        <w:t xml:space="preserve">The Contractor </w:t>
      </w:r>
      <w:r w:rsidR="005B5495">
        <w:t>must</w:t>
      </w:r>
      <w:r w:rsidR="001E4B37">
        <w:t xml:space="preserve"> </w:t>
      </w:r>
      <w:r>
        <w:t>submit monthly reports</w:t>
      </w:r>
      <w:r w:rsidR="00C30ACE">
        <w:t xml:space="preserve"> </w:t>
      </w:r>
      <w:r w:rsidR="0002445B">
        <w:t xml:space="preserve">of SBE payments (including payments to HUBs and DBEs) </w:t>
      </w:r>
      <w:r w:rsidR="00C30ACE">
        <w:t xml:space="preserve">to the </w:t>
      </w:r>
      <w:r w:rsidR="00432ECD">
        <w:t>Owner</w:t>
      </w:r>
      <w:r w:rsidR="00C30ACE">
        <w:t>’s Office</w:t>
      </w:r>
      <w:r>
        <w:t xml:space="preserve"> after work begins. These reports will be due within 15 days after the end of a calendar month. </w:t>
      </w:r>
    </w:p>
    <w:p w14:paraId="2B52B8D9" w14:textId="6B1311F3" w:rsidR="007831A5" w:rsidRDefault="007831A5" w:rsidP="002F1219">
      <w:pPr>
        <w:pStyle w:val="NoSpacing"/>
      </w:pPr>
      <w:r>
        <w:t xml:space="preserve">These reports will be required until all SBE </w:t>
      </w:r>
      <w:proofErr w:type="gramStart"/>
      <w:r>
        <w:t>subcontracting</w:t>
      </w:r>
      <w:proofErr w:type="gramEnd"/>
      <w:r>
        <w:t xml:space="preserve"> or supply activity is completed. The SBE Progress Report </w:t>
      </w:r>
      <w:r w:rsidR="0002445B">
        <w:t>must</w:t>
      </w:r>
      <w:r>
        <w:t xml:space="preserve"> be used for monthly reporting. Upon completion of the </w:t>
      </w:r>
      <w:r w:rsidR="005D2A8B">
        <w:t>C</w:t>
      </w:r>
      <w:r>
        <w:t xml:space="preserve">ontract and </w:t>
      </w:r>
      <w:r w:rsidR="0002445B">
        <w:t>before</w:t>
      </w:r>
      <w:r>
        <w:t xml:space="preserve"> receiving the final payment, the Contractor </w:t>
      </w:r>
      <w:r w:rsidR="0002445B">
        <w:t>must</w:t>
      </w:r>
      <w:r>
        <w:t xml:space="preserve"> submit the SBE Final Report to the </w:t>
      </w:r>
      <w:r w:rsidR="00432ECD">
        <w:t>Owner</w:t>
      </w:r>
      <w:r w:rsidR="00B351A5">
        <w:t xml:space="preserve">’s </w:t>
      </w:r>
      <w:r w:rsidR="0002445B">
        <w:t>O</w:t>
      </w:r>
      <w:r w:rsidR="00B351A5">
        <w:t>ffice</w:t>
      </w:r>
      <w:r>
        <w:t xml:space="preserve">. These forms may be obtained from </w:t>
      </w:r>
      <w:r w:rsidR="00432ECD">
        <w:t xml:space="preserve">the Owner </w:t>
      </w:r>
      <w:r>
        <w:t xml:space="preserve">and reproduced as necessary. The </w:t>
      </w:r>
      <w:r w:rsidR="00432ECD">
        <w:t xml:space="preserve">Owner </w:t>
      </w:r>
      <w:r>
        <w:t xml:space="preserve">may verify the amounts being reported as paid to SBEs by </w:t>
      </w:r>
      <w:r w:rsidR="0002445B">
        <w:t xml:space="preserve">randomly </w:t>
      </w:r>
      <w:r>
        <w:t>requesting</w:t>
      </w:r>
      <w:r w:rsidR="0002445B">
        <w:t xml:space="preserve"> </w:t>
      </w:r>
      <w:r>
        <w:t xml:space="preserve">copies of invoices and cancelled checks paid to SBEs. When the SBE goal requirement is not met, documentation supporting </w:t>
      </w:r>
      <w:r w:rsidR="0002445B">
        <w:t>g</w:t>
      </w:r>
      <w:r>
        <w:t xml:space="preserve">ood </w:t>
      </w:r>
      <w:r w:rsidR="0002445B">
        <w:t>f</w:t>
      </w:r>
      <w:r>
        <w:t xml:space="preserve">aith </w:t>
      </w:r>
      <w:r w:rsidR="0002445B">
        <w:t>e</w:t>
      </w:r>
      <w:r>
        <w:t xml:space="preserve">fforts, in </w:t>
      </w:r>
      <w:r w:rsidR="0002445B">
        <w:t xml:space="preserve">accordance with </w:t>
      </w:r>
      <w:r w:rsidRPr="00B351A5">
        <w:t>Section 2</w:t>
      </w:r>
      <w:r w:rsidR="002B0361" w:rsidRPr="00B351A5">
        <w:t>.1.2</w:t>
      </w:r>
      <w:r w:rsidR="0002445B">
        <w:t>., “Contractor’s Responsibilities,”</w:t>
      </w:r>
      <w:r>
        <w:t xml:space="preserve"> must be submitted with the </w:t>
      </w:r>
      <w:r w:rsidR="00770449">
        <w:t xml:space="preserve">SBE </w:t>
      </w:r>
      <w:r>
        <w:t>Final Report.</w:t>
      </w:r>
    </w:p>
    <w:p w14:paraId="1F8A1B53" w14:textId="77777777" w:rsidR="007831A5" w:rsidRPr="00F02BF6" w:rsidRDefault="007831A5" w:rsidP="00F02BF6">
      <w:pPr>
        <w:pStyle w:val="NoSpacing"/>
      </w:pPr>
      <w:r>
        <w:t>SBE subcontractors and suppliers should be identified on the monthly report by SBE certification number,</w:t>
      </w:r>
      <w:r w:rsidR="0002445B">
        <w:t xml:space="preserve"> </w:t>
      </w:r>
      <w:r>
        <w:t>name</w:t>
      </w:r>
      <w:r w:rsidR="00D562B5">
        <w:t>,</w:t>
      </w:r>
      <w:r>
        <w:t xml:space="preserve"> and the a</w:t>
      </w:r>
      <w:r w:rsidRPr="0092319B">
        <w:t>mount of actual payment made to each during the monthly period.</w:t>
      </w:r>
      <w:r w:rsidRPr="00F02BF6">
        <w:t xml:space="preserve"> These reports are required regardless of whether SBE activity has occurred in the monthly reporting period.</w:t>
      </w:r>
    </w:p>
    <w:p w14:paraId="1047055D" w14:textId="1744B7C7" w:rsidR="007831A5" w:rsidRDefault="007831A5" w:rsidP="00F02BF6">
      <w:pPr>
        <w:pStyle w:val="NoSpacing"/>
      </w:pPr>
      <w:r w:rsidRPr="0092319B">
        <w:t>All such records must be retained for 3 yr</w:t>
      </w:r>
      <w:r w:rsidR="0002445B">
        <w:t>.</w:t>
      </w:r>
      <w:r w:rsidRPr="0092319B">
        <w:t xml:space="preserve"> following completion of the </w:t>
      </w:r>
      <w:r w:rsidR="00D562B5">
        <w:t>C</w:t>
      </w:r>
      <w:r w:rsidRPr="0092319B">
        <w:t xml:space="preserve">ontract work and be available at </w:t>
      </w:r>
      <w:r>
        <w:t>reasonable times and places for inspection by authorized representatives of the</w:t>
      </w:r>
      <w:r w:rsidR="009C29AE">
        <w:t xml:space="preserve"> </w:t>
      </w:r>
      <w:r w:rsidR="001D0FA4">
        <w:t>Owner</w:t>
      </w:r>
      <w:r>
        <w:t>.</w:t>
      </w:r>
    </w:p>
    <w:p w14:paraId="0FA57BD5" w14:textId="6AAEAC30" w:rsidR="007831A5" w:rsidRDefault="007831A5" w:rsidP="00C50CD4">
      <w:pPr>
        <w:pStyle w:val="Heading3"/>
        <w:numPr>
          <w:ilvl w:val="2"/>
          <w:numId w:val="32"/>
        </w:numPr>
      </w:pPr>
      <w:r>
        <w:rPr>
          <w:b/>
          <w:bCs/>
        </w:rPr>
        <w:t>Compliance of Contractor</w:t>
      </w:r>
      <w:r>
        <w:t xml:space="preserve">. To ensure </w:t>
      </w:r>
      <w:r w:rsidR="00D562B5">
        <w:t xml:space="preserve">compliance with </w:t>
      </w:r>
      <w:r>
        <w:t xml:space="preserve">SBE requirements of this </w:t>
      </w:r>
      <w:r w:rsidR="00D562B5">
        <w:t>C</w:t>
      </w:r>
      <w:r>
        <w:t xml:space="preserve">ontract, the </w:t>
      </w:r>
      <w:r w:rsidR="001D0FA4">
        <w:t xml:space="preserve">Owner </w:t>
      </w:r>
      <w:r>
        <w:t xml:space="preserve">will monitor the Contractor’s efforts to involve SBEs during the performance of this </w:t>
      </w:r>
      <w:r w:rsidR="00DB71B0">
        <w:t>C</w:t>
      </w:r>
      <w:r>
        <w:t xml:space="preserve">ontract. This will be accomplished by a review of monthly reports submitted by the Contractor indicating </w:t>
      </w:r>
      <w:r w:rsidR="00DB71B0">
        <w:t xml:space="preserve">their </w:t>
      </w:r>
      <w:r>
        <w:t xml:space="preserve">progress in achieving the SBE </w:t>
      </w:r>
      <w:r w:rsidR="00DB71B0">
        <w:t>C</w:t>
      </w:r>
      <w:r>
        <w:t>ontract goal and by compliance reviews conducted by the</w:t>
      </w:r>
      <w:r w:rsidR="009C29AE">
        <w:t xml:space="preserve"> </w:t>
      </w:r>
      <w:r w:rsidR="001D0FA4">
        <w:t>Owner</w:t>
      </w:r>
      <w:r>
        <w:t>.</w:t>
      </w:r>
    </w:p>
    <w:p w14:paraId="5A8C52F3" w14:textId="32D6E40F" w:rsidR="007831A5" w:rsidRDefault="007831A5" w:rsidP="002F1219">
      <w:pPr>
        <w:pStyle w:val="NoSpacing"/>
      </w:pPr>
      <w:r>
        <w:t xml:space="preserve">A Contractor’s failure to comply with the requirements of this Special Provision </w:t>
      </w:r>
      <w:r w:rsidR="00DB71B0">
        <w:t xml:space="preserve">will </w:t>
      </w:r>
      <w:r>
        <w:t xml:space="preserve">constitute a material breach of this </w:t>
      </w:r>
      <w:r w:rsidR="00DB71B0">
        <w:t>C</w:t>
      </w:r>
      <w:r>
        <w:t xml:space="preserve">ontract. In such a case, the </w:t>
      </w:r>
      <w:r w:rsidR="001D0FA4">
        <w:t xml:space="preserve">Owner </w:t>
      </w:r>
      <w:r>
        <w:t xml:space="preserve">reserves the right to employ remedies as the </w:t>
      </w:r>
      <w:r w:rsidR="001D0FA4">
        <w:t xml:space="preserve">Owner </w:t>
      </w:r>
      <w:r>
        <w:t xml:space="preserve">deems appropriate in the terms of the </w:t>
      </w:r>
      <w:r w:rsidR="00DB71B0">
        <w:t>C</w:t>
      </w:r>
      <w:r>
        <w:t>ontract.</w:t>
      </w:r>
    </w:p>
    <w:p w14:paraId="5457136F" w14:textId="77777777" w:rsidR="007831A5" w:rsidRPr="00B351A5" w:rsidRDefault="007831A5" w:rsidP="00C50CD4">
      <w:pPr>
        <w:pStyle w:val="Heading2"/>
        <w:numPr>
          <w:ilvl w:val="1"/>
          <w:numId w:val="31"/>
        </w:numPr>
        <w:tabs>
          <w:tab w:val="clear" w:pos="1800"/>
          <w:tab w:val="num" w:pos="1440"/>
        </w:tabs>
        <w:ind w:left="1440"/>
        <w:rPr>
          <w:sz w:val="24"/>
          <w:szCs w:val="24"/>
        </w:rPr>
      </w:pPr>
      <w:r w:rsidRPr="00A13B41">
        <w:t>Article B</w:t>
      </w:r>
      <w:r w:rsidR="00AB69F4">
        <w:t>—</w:t>
      </w:r>
      <w:r w:rsidRPr="00A13B41">
        <w:t>No SBE Goal</w:t>
      </w:r>
      <w:r w:rsidRPr="00B716AC">
        <w:rPr>
          <w:b w:val="0"/>
          <w:bCs/>
          <w:sz w:val="24"/>
          <w:szCs w:val="24"/>
        </w:rPr>
        <w:t>.</w:t>
      </w:r>
    </w:p>
    <w:p w14:paraId="2B917D64" w14:textId="545F469E" w:rsidR="007831A5" w:rsidRPr="00B351A5" w:rsidRDefault="007831A5" w:rsidP="00C50CD4">
      <w:pPr>
        <w:pStyle w:val="Heading3"/>
        <w:numPr>
          <w:ilvl w:val="2"/>
          <w:numId w:val="32"/>
        </w:numPr>
      </w:pPr>
      <w:r>
        <w:rPr>
          <w:b/>
          <w:bCs/>
        </w:rPr>
        <w:t>Policy</w:t>
      </w:r>
      <w:r>
        <w:t xml:space="preserve">. </w:t>
      </w:r>
      <w:r w:rsidRPr="00B351A5">
        <w:t xml:space="preserve">It is the </w:t>
      </w:r>
      <w:r w:rsidR="000367C1">
        <w:t>Owner</w:t>
      </w:r>
      <w:r w:rsidR="000367C1" w:rsidRPr="00B351A5">
        <w:t xml:space="preserve">’s </w:t>
      </w:r>
      <w:r w:rsidRPr="00B351A5">
        <w:t xml:space="preserve">policy that SBEs </w:t>
      </w:r>
      <w:r w:rsidR="00901BA3" w:rsidRPr="00B351A5">
        <w:t xml:space="preserve">will </w:t>
      </w:r>
      <w:r w:rsidRPr="00B351A5">
        <w:t xml:space="preserve">have an opportunity to participate in the performance of </w:t>
      </w:r>
      <w:r w:rsidR="00B423E2">
        <w:t>C</w:t>
      </w:r>
      <w:r w:rsidRPr="00B351A5">
        <w:t xml:space="preserve">ontracts. </w:t>
      </w:r>
    </w:p>
    <w:p w14:paraId="078426AB" w14:textId="77777777" w:rsidR="007831A5" w:rsidRPr="00B351A5" w:rsidRDefault="007831A5" w:rsidP="00C50CD4">
      <w:pPr>
        <w:pStyle w:val="Heading3"/>
        <w:numPr>
          <w:ilvl w:val="2"/>
          <w:numId w:val="32"/>
        </w:numPr>
      </w:pPr>
      <w:r w:rsidRPr="4FC1FF24">
        <w:rPr>
          <w:b/>
          <w:bCs/>
        </w:rPr>
        <w:t>Contractor</w:t>
      </w:r>
      <w:r w:rsidR="00AB69F4" w:rsidRPr="4FC1FF24">
        <w:rPr>
          <w:b/>
          <w:bCs/>
        </w:rPr>
        <w:t>’</w:t>
      </w:r>
      <w:r w:rsidRPr="4FC1FF24">
        <w:rPr>
          <w:b/>
          <w:bCs/>
        </w:rPr>
        <w:t>s Responsibilities</w:t>
      </w:r>
      <w:r>
        <w:t xml:space="preserve">. If there is no SBE goal, the Contractor </w:t>
      </w:r>
      <w:r w:rsidR="00AB69F4">
        <w:t xml:space="preserve">must </w:t>
      </w:r>
      <w:r>
        <w:t xml:space="preserve">offer SBEs an opportunity to participate in the performance of </w:t>
      </w:r>
      <w:r w:rsidR="00B423E2">
        <w:t>C</w:t>
      </w:r>
      <w:r>
        <w:t>ontracts and subcontracts.</w:t>
      </w:r>
      <w:r w:rsidR="00C06A38">
        <w:t xml:space="preserve"> I</w:t>
      </w:r>
      <w:r w:rsidR="00B423E2">
        <w:t>f</w:t>
      </w:r>
      <w:r w:rsidR="00C06A38">
        <w:t xml:space="preserve"> an SBE is used</w:t>
      </w:r>
      <w:r w:rsidR="00AB69F4">
        <w:t>,</w:t>
      </w:r>
      <w:r w:rsidR="00C06A38">
        <w:t xml:space="preserve"> the requirements </w:t>
      </w:r>
      <w:r w:rsidR="00B423E2">
        <w:t>in accordance with</w:t>
      </w:r>
      <w:r w:rsidR="00C06A38">
        <w:t xml:space="preserve"> Section 2.1.4</w:t>
      </w:r>
      <w:r w:rsidR="00B423E2">
        <w:t>., “Determination of SBE Participation,”</w:t>
      </w:r>
      <w:r w:rsidR="00C06A38">
        <w:t xml:space="preserve"> </w:t>
      </w:r>
      <w:r w:rsidR="00B423E2">
        <w:t xml:space="preserve">will </w:t>
      </w:r>
      <w:r w:rsidR="00774410">
        <w:t>apply</w:t>
      </w:r>
      <w:r w:rsidR="00C06A38">
        <w:t>.</w:t>
      </w:r>
    </w:p>
    <w:p w14:paraId="73CC3094" w14:textId="77777777" w:rsidR="007831A5" w:rsidRDefault="007831A5" w:rsidP="00C50CD4">
      <w:pPr>
        <w:pStyle w:val="Heading3"/>
        <w:numPr>
          <w:ilvl w:val="2"/>
          <w:numId w:val="32"/>
        </w:numPr>
      </w:pPr>
      <w:r w:rsidRPr="00B351A5">
        <w:rPr>
          <w:b/>
          <w:bCs/>
        </w:rPr>
        <w:t>Prohibit Discrimination</w:t>
      </w:r>
      <w:r w:rsidRPr="00B351A5">
        <w:t>.</w:t>
      </w:r>
      <w:r>
        <w:t xml:space="preserve"> The Contractor and any subcontractor </w:t>
      </w:r>
      <w:r w:rsidR="00B5274F">
        <w:t xml:space="preserve">will </w:t>
      </w:r>
      <w:r>
        <w:t xml:space="preserve">not discriminate </w:t>
      </w:r>
      <w:proofErr w:type="gramStart"/>
      <w:r>
        <w:t>on the basis of</w:t>
      </w:r>
      <w:proofErr w:type="gramEnd"/>
      <w:r>
        <w:t xml:space="preserve"> race, color, national origin, religion, age, disability</w:t>
      </w:r>
      <w:r w:rsidR="00B5274F">
        <w:t>,</w:t>
      </w:r>
      <w:r>
        <w:t xml:space="preserve"> or sex in the award and performance of </w:t>
      </w:r>
      <w:r w:rsidR="00B5274F">
        <w:t>C</w:t>
      </w:r>
      <w:r>
        <w:t xml:space="preserve">ontracts. These nondiscrimination requirements </w:t>
      </w:r>
      <w:r w:rsidR="00B5274F">
        <w:t xml:space="preserve">must </w:t>
      </w:r>
      <w:r>
        <w:t>be incorporated into any subcontract and purchase order.</w:t>
      </w:r>
    </w:p>
    <w:p w14:paraId="7B70A263" w14:textId="49DE466A" w:rsidR="007831A5" w:rsidRDefault="007831A5" w:rsidP="00C50CD4">
      <w:pPr>
        <w:pStyle w:val="Heading3"/>
        <w:numPr>
          <w:ilvl w:val="2"/>
          <w:numId w:val="32"/>
        </w:numPr>
      </w:pPr>
      <w:r w:rsidRPr="00B716AC">
        <w:rPr>
          <w:b/>
          <w:bCs/>
        </w:rPr>
        <w:t>Records and Reports</w:t>
      </w:r>
      <w:r>
        <w:t>.</w:t>
      </w:r>
      <w:r w:rsidR="00B351A5">
        <w:t xml:space="preserve"> </w:t>
      </w:r>
      <w:r w:rsidR="00F02BF6">
        <w:t xml:space="preserve">The Contractor </w:t>
      </w:r>
      <w:r w:rsidR="00B423E2">
        <w:t>must</w:t>
      </w:r>
      <w:r w:rsidR="00F02BF6">
        <w:t xml:space="preserve"> submit annual reports </w:t>
      </w:r>
      <w:r w:rsidR="005D4452">
        <w:t xml:space="preserve">pertinent to </w:t>
      </w:r>
      <w:r w:rsidR="00F02BF6">
        <w:t>SBE</w:t>
      </w:r>
      <w:r w:rsidR="005D4452">
        <w:t>s</w:t>
      </w:r>
      <w:r w:rsidR="00F02BF6">
        <w:t xml:space="preserve"> (including HUB</w:t>
      </w:r>
      <w:r w:rsidR="005D4452">
        <w:t>s</w:t>
      </w:r>
      <w:r w:rsidR="00F02BF6">
        <w:t xml:space="preserve"> and DBE</w:t>
      </w:r>
      <w:r w:rsidR="005D4452">
        <w:t>s</w:t>
      </w:r>
      <w:r w:rsidR="00F02BF6">
        <w:t>)</w:t>
      </w:r>
      <w:r w:rsidR="00A97337">
        <w:t xml:space="preserve"> to the </w:t>
      </w:r>
      <w:r w:rsidR="000367C1">
        <w:t>Owner’</w:t>
      </w:r>
      <w:r w:rsidR="00A97337">
        <w:t>s Office</w:t>
      </w:r>
      <w:r w:rsidR="00F02BF6">
        <w:t xml:space="preserve"> by August 31 or at project completion, whichever comes first. </w:t>
      </w:r>
    </w:p>
    <w:p w14:paraId="2B129D49" w14:textId="6E7B4752" w:rsidR="007831A5" w:rsidRDefault="007831A5" w:rsidP="002F1219">
      <w:pPr>
        <w:pStyle w:val="NoSpacing"/>
      </w:pPr>
      <w:r>
        <w:lastRenderedPageBreak/>
        <w:t xml:space="preserve">These reports will be required until all SBE </w:t>
      </w:r>
      <w:proofErr w:type="gramStart"/>
      <w:r>
        <w:t>subcontracting</w:t>
      </w:r>
      <w:proofErr w:type="gramEnd"/>
      <w:r>
        <w:t xml:space="preserve"> or supply activity is completed. The SBE Progress Report </w:t>
      </w:r>
      <w:r w:rsidR="005D4452">
        <w:t>must</w:t>
      </w:r>
      <w:r>
        <w:t xml:space="preserve"> be used for reporting. Upon completion of the </w:t>
      </w:r>
      <w:r w:rsidR="00C50688">
        <w:t>C</w:t>
      </w:r>
      <w:r>
        <w:t xml:space="preserve">ontract and </w:t>
      </w:r>
      <w:r w:rsidR="005D4452">
        <w:t>before</w:t>
      </w:r>
      <w:r>
        <w:t xml:space="preserve"> receiving the final payment, the Contractor </w:t>
      </w:r>
      <w:r w:rsidR="005D4452">
        <w:t>must</w:t>
      </w:r>
      <w:r w:rsidR="00C50688">
        <w:t xml:space="preserve"> </w:t>
      </w:r>
      <w:r>
        <w:t xml:space="preserve">submit the SBE Final Report to </w:t>
      </w:r>
      <w:r w:rsidR="004F79B9">
        <w:t xml:space="preserve">the </w:t>
      </w:r>
      <w:r w:rsidR="000367C1">
        <w:t>Owner</w:t>
      </w:r>
      <w:r w:rsidR="00C30ACE">
        <w:t xml:space="preserve">’s </w:t>
      </w:r>
      <w:r w:rsidR="005D4452">
        <w:t>O</w:t>
      </w:r>
      <w:r w:rsidR="00C30ACE">
        <w:t xml:space="preserve">ffice. </w:t>
      </w:r>
      <w:r>
        <w:t xml:space="preserve">These forms may be obtained from </w:t>
      </w:r>
      <w:r w:rsidR="000367C1">
        <w:t xml:space="preserve">the Owner </w:t>
      </w:r>
      <w:r>
        <w:t xml:space="preserve">and reproduced as necessary. The </w:t>
      </w:r>
      <w:r w:rsidR="000367C1">
        <w:t xml:space="preserve">Owner </w:t>
      </w:r>
      <w:r>
        <w:t xml:space="preserve">may verify the amounts being reported as paid to SBEs by </w:t>
      </w:r>
      <w:r w:rsidR="005D4452">
        <w:t xml:space="preserve">randomly </w:t>
      </w:r>
      <w:r>
        <w:t>requesting copies of invoices and cancelled checks paid to SBEs.</w:t>
      </w:r>
    </w:p>
    <w:p w14:paraId="0428D3F6" w14:textId="77777777" w:rsidR="007831A5" w:rsidRDefault="007831A5" w:rsidP="004F79B9">
      <w:pPr>
        <w:pStyle w:val="NoSpacing"/>
      </w:pPr>
      <w:r>
        <w:t xml:space="preserve">SBE subcontractors and suppliers should be identified on the report by SBE </w:t>
      </w:r>
      <w:r w:rsidR="00055033">
        <w:t>c</w:t>
      </w:r>
      <w:r>
        <w:t xml:space="preserve">ertification </w:t>
      </w:r>
      <w:r w:rsidR="00055033">
        <w:t>c</w:t>
      </w:r>
      <w:r>
        <w:t>umber, name</w:t>
      </w:r>
      <w:r w:rsidR="00D602DE">
        <w:t>,</w:t>
      </w:r>
      <w:r>
        <w:t xml:space="preserve"> and the amount of actual payment made.</w:t>
      </w:r>
    </w:p>
    <w:p w14:paraId="2D584110" w14:textId="0576213B" w:rsidR="005D4452" w:rsidRDefault="007831A5" w:rsidP="003367E0">
      <w:pPr>
        <w:pStyle w:val="NoSpacing"/>
      </w:pPr>
      <w:r>
        <w:t>All such records must be retained for 3 yr</w:t>
      </w:r>
      <w:r w:rsidR="005D4452">
        <w:t>.</w:t>
      </w:r>
      <w:r>
        <w:t xml:space="preserve"> following completion of the </w:t>
      </w:r>
      <w:r w:rsidR="00D602DE">
        <w:t>C</w:t>
      </w:r>
      <w:r>
        <w:t xml:space="preserve">ontract work and be available at reasonable times and places for inspection by authorized representatives of the </w:t>
      </w:r>
      <w:r w:rsidR="000367C1">
        <w:t>Owner</w:t>
      </w:r>
      <w:r>
        <w:t>.</w:t>
      </w:r>
    </w:p>
    <w:sectPr w:rsidR="005D4452" w:rsidSect="00B70D95">
      <w:headerReference w:type="default" r:id="rId13"/>
      <w:footerReference w:type="default" r:id="rId14"/>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FE002" w14:textId="77777777" w:rsidR="00123F30" w:rsidRDefault="00123F30" w:rsidP="00AC0475">
      <w:pPr>
        <w:spacing w:after="0" w:line="240" w:lineRule="auto"/>
      </w:pPr>
      <w:r>
        <w:separator/>
      </w:r>
    </w:p>
  </w:endnote>
  <w:endnote w:type="continuationSeparator" w:id="0">
    <w:p w14:paraId="04DCBF02" w14:textId="77777777" w:rsidR="00123F30" w:rsidRDefault="00123F30" w:rsidP="00AC0475">
      <w:pPr>
        <w:spacing w:after="0" w:line="240" w:lineRule="auto"/>
      </w:pPr>
      <w:r>
        <w:continuationSeparator/>
      </w:r>
    </w:p>
  </w:endnote>
  <w:endnote w:type="continuationNotice" w:id="1">
    <w:p w14:paraId="274DDD22" w14:textId="77777777" w:rsidR="00123F30" w:rsidRDefault="00123F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altName w:val="Webdings"/>
    <w:panose1 w:val="05030102010509060703"/>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CCDAA" w14:textId="38746680" w:rsidR="00C23588" w:rsidRDefault="00C23588" w:rsidP="000C4556">
    <w:pPr>
      <w:pStyle w:val="Footer"/>
      <w:numPr>
        <w:ilvl w:val="8"/>
        <w:numId w:val="29"/>
      </w:numPr>
      <w:spacing w:after="0" w:line="240" w:lineRule="auto"/>
      <w:jc w:val="right"/>
      <w:outlineLvl w:val="8"/>
    </w:pPr>
    <w:r>
      <w:fldChar w:fldCharType="begin"/>
    </w:r>
    <w:r>
      <w:instrText xml:space="preserve"> PAGE </w:instrText>
    </w:r>
    <w:r>
      <w:fldChar w:fldCharType="separate"/>
    </w:r>
    <w:r w:rsidR="00E36FBC">
      <w:rPr>
        <w:noProof/>
      </w:rPr>
      <w:t>1</w:t>
    </w:r>
    <w:r>
      <w:fldChar w:fldCharType="end"/>
    </w:r>
    <w:r w:rsidR="00E36FBC">
      <w:tab/>
    </w:r>
    <w:r w:rsidR="00F85464">
      <w:t>03/2024</w:t>
    </w:r>
  </w:p>
  <w:p w14:paraId="6ECADA4E" w14:textId="0DAC966D" w:rsidR="00E36FBC" w:rsidRDefault="00E36FBC" w:rsidP="000C4556">
    <w:pPr>
      <w:pStyle w:val="Footer"/>
      <w:numPr>
        <w:ilvl w:val="8"/>
        <w:numId w:val="29"/>
      </w:numPr>
      <w:spacing w:after="0" w:line="240" w:lineRule="auto"/>
      <w:jc w:val="right"/>
      <w:outlineLvl w:val="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F2D43" w14:textId="77777777" w:rsidR="00123F30" w:rsidRDefault="00123F30" w:rsidP="00AC0475">
      <w:pPr>
        <w:spacing w:after="0" w:line="240" w:lineRule="auto"/>
      </w:pPr>
      <w:r>
        <w:separator/>
      </w:r>
    </w:p>
  </w:footnote>
  <w:footnote w:type="continuationSeparator" w:id="0">
    <w:p w14:paraId="657842EE" w14:textId="77777777" w:rsidR="00123F30" w:rsidRDefault="00123F30" w:rsidP="00AC0475">
      <w:pPr>
        <w:spacing w:after="0" w:line="240" w:lineRule="auto"/>
      </w:pPr>
      <w:r>
        <w:continuationSeparator/>
      </w:r>
    </w:p>
  </w:footnote>
  <w:footnote w:type="continuationNotice" w:id="1">
    <w:p w14:paraId="63814A1B" w14:textId="77777777" w:rsidR="00123F30" w:rsidRDefault="00123F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59D96" w14:textId="7F60A294" w:rsidR="00AC0475" w:rsidRPr="00AC0475" w:rsidRDefault="00FC338F" w:rsidP="0076764F">
    <w:pPr>
      <w:pStyle w:val="Header"/>
      <w:rPr>
        <w:b/>
        <w:szCs w:val="20"/>
      </w:rPr>
    </w:pPr>
    <w:r>
      <w:rPr>
        <w:b/>
        <w:szCs w:val="20"/>
      </w:rPr>
      <w:t>2024 Specifications</w:t>
    </w:r>
    <w:r>
      <w:rPr>
        <w:b/>
        <w:szCs w:val="20"/>
      </w:rPr>
      <w:tab/>
    </w:r>
    <w:r>
      <w:rPr>
        <w:b/>
        <w:szCs w:val="20"/>
      </w:rPr>
      <w:tab/>
    </w:r>
    <w:r w:rsidR="00163C6B">
      <w:rPr>
        <w:b/>
        <w:szCs w:val="20"/>
      </w:rPr>
      <w:t>000-</w:t>
    </w:r>
    <w:r w:rsidR="00857F8F">
      <w:rPr>
        <w:b/>
        <w:szCs w:val="20"/>
      </w:rPr>
      <w:t>019</w:t>
    </w:r>
    <w:r w:rsidR="0059610C">
      <w:rPr>
        <w:b/>
        <w:szCs w:val="20"/>
      </w:rPr>
      <w:t>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FF"/>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FFFFFF"/>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FFFFFF"/>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FFFFFF"/>
    <w:lvl w:ilvl="0">
      <w:start w:val="1"/>
      <w:numFmt w:val="bullet"/>
      <w:pStyle w:val="Heading1"/>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pStyle w:val="Heading7"/>
      <w:lvlText w:val=""/>
      <w:lvlJc w:val="left"/>
      <w:pPr>
        <w:tabs>
          <w:tab w:val="num" w:pos="360"/>
        </w:tabs>
        <w:ind w:left="360" w:hanging="360"/>
      </w:pPr>
      <w:rPr>
        <w:rFonts w:ascii="Webdings" w:hAnsi="Webdings" w:hint="default"/>
      </w:rPr>
    </w:lvl>
  </w:abstractNum>
  <w:abstractNum w:abstractNumId="10" w15:restartNumberingAfterBreak="0">
    <w:nsid w:val="3EF9287D"/>
    <w:multiLevelType w:val="multilevel"/>
    <w:tmpl w:val="FFFFFFFF"/>
    <w:lvl w:ilvl="0">
      <w:start w:val="1"/>
      <w:numFmt w:val="decimal"/>
      <w:lvlText w:val="%1."/>
      <w:lvlJc w:val="left"/>
      <w:pPr>
        <w:tabs>
          <w:tab w:val="num" w:pos="1440"/>
        </w:tabs>
        <w:ind w:left="1440" w:hanging="1440"/>
      </w:pPr>
      <w:rPr>
        <w:rFonts w:ascii="Arial Narrow" w:hAnsi="Arial Narrow" w:cs="Times New Roman" w:hint="default"/>
        <w:b/>
        <w:i w:val="0"/>
        <w:sz w:val="24"/>
      </w:rPr>
    </w:lvl>
    <w:lvl w:ilvl="1">
      <w:start w:val="1"/>
      <w:numFmt w:val="decimal"/>
      <w:lvlText w:val="%1.%2."/>
      <w:lvlJc w:val="left"/>
      <w:pPr>
        <w:tabs>
          <w:tab w:val="num" w:pos="1800"/>
        </w:tabs>
        <w:ind w:left="1800" w:hanging="1440"/>
      </w:pPr>
      <w:rPr>
        <w:rFonts w:ascii="Arial Narrow" w:hAnsi="Arial Narrow" w:cs="Times New Roman" w:hint="default"/>
        <w:b w:val="0"/>
        <w:i w:val="0"/>
        <w:sz w:val="20"/>
        <w:szCs w:val="20"/>
      </w:rPr>
    </w:lvl>
    <w:lvl w:ilvl="2">
      <w:start w:val="1"/>
      <w:numFmt w:val="decimal"/>
      <w:lvlText w:val="%1.%2.%3."/>
      <w:lvlJc w:val="left"/>
      <w:pPr>
        <w:tabs>
          <w:tab w:val="num" w:pos="1440"/>
        </w:tabs>
        <w:ind w:left="1440" w:hanging="1440"/>
      </w:pPr>
      <w:rPr>
        <w:rFonts w:cs="Times New Roman"/>
      </w:rPr>
    </w:lvl>
    <w:lvl w:ilvl="3">
      <w:start w:val="1"/>
      <w:numFmt w:val="decimal"/>
      <w:lvlText w:val="%1.%2.%3.%4."/>
      <w:lvlJc w:val="left"/>
      <w:pPr>
        <w:tabs>
          <w:tab w:val="num" w:pos="1440"/>
        </w:tabs>
        <w:ind w:left="1440" w:hanging="1440"/>
      </w:pPr>
      <w:rPr>
        <w:rFonts w:ascii="Arial Narrow" w:hAnsi="Arial Narrow" w:cs="Times New Roman" w:hint="default"/>
        <w:b w:val="0"/>
        <w:i w:val="0"/>
        <w:sz w:val="20"/>
        <w:szCs w:val="20"/>
      </w:rPr>
    </w:lvl>
    <w:lvl w:ilvl="4">
      <w:start w:val="1"/>
      <w:numFmt w:val="decimal"/>
      <w:lvlText w:val="%1.%2.%3.%4.%5."/>
      <w:lvlJc w:val="left"/>
      <w:pPr>
        <w:tabs>
          <w:tab w:val="num" w:pos="1440"/>
        </w:tabs>
        <w:ind w:left="1440" w:hanging="1440"/>
      </w:pPr>
      <w:rPr>
        <w:rFonts w:ascii="Arial Narrow" w:hAnsi="Arial Narrow" w:cs="Times New Roman" w:hint="default"/>
        <w:b w:val="0"/>
        <w:i w:val="0"/>
        <w:sz w:val="20"/>
        <w:szCs w:val="20"/>
      </w:rPr>
    </w:lvl>
    <w:lvl w:ilvl="5">
      <w:start w:val="1"/>
      <w:numFmt w:val="decimal"/>
      <w:lvlText w:val="%1.%2.%3.%4.%5.%6."/>
      <w:lvlJc w:val="left"/>
      <w:pPr>
        <w:tabs>
          <w:tab w:val="num" w:pos="1440"/>
        </w:tabs>
        <w:ind w:left="1440" w:hanging="1440"/>
      </w:pPr>
      <w:rPr>
        <w:rFonts w:ascii="Arial Narrow" w:hAnsi="Arial Narrow" w:cs="Times New Roman" w:hint="default"/>
        <w:b w:val="0"/>
        <w:i w:val="0"/>
        <w:sz w:val="20"/>
        <w:szCs w:val="20"/>
      </w:rPr>
    </w:lvl>
    <w:lvl w:ilvl="6">
      <w:start w:val="1"/>
      <w:numFmt w:val="decimal"/>
      <w:lvlText w:val="%1.%2.%3.%4.%5.%6.%7."/>
      <w:lvlJc w:val="left"/>
      <w:pPr>
        <w:tabs>
          <w:tab w:val="num" w:pos="1440"/>
        </w:tabs>
        <w:ind w:left="1440" w:hanging="1440"/>
      </w:pPr>
      <w:rPr>
        <w:rFonts w:ascii="Arial Narrow" w:hAnsi="Arial Narrow" w:cs="Times New Roman" w:hint="default"/>
        <w:b w:val="0"/>
        <w:i w:val="0"/>
        <w:sz w:val="20"/>
        <w:szCs w:val="20"/>
      </w:rPr>
    </w:lvl>
    <w:lvl w:ilvl="7">
      <w:start w:val="1"/>
      <w:numFmt w:val="decimal"/>
      <w:lvlText w:val="%1.%2.%3.%4.%5.%6.%7.%8."/>
      <w:lvlJc w:val="left"/>
      <w:pPr>
        <w:tabs>
          <w:tab w:val="num" w:pos="1440"/>
        </w:tabs>
        <w:ind w:left="1440" w:hanging="1440"/>
      </w:pPr>
      <w:rPr>
        <w:rFonts w:ascii="Arial Narrow" w:hAnsi="Arial Narrow" w:cs="Times New Roman" w:hint="default"/>
        <w:b w:val="0"/>
        <w:i w:val="0"/>
        <w:sz w:val="20"/>
        <w:szCs w:val="20"/>
      </w:rPr>
    </w:lvl>
    <w:lvl w:ilvl="8">
      <w:start w:val="1"/>
      <w:numFmt w:val="decimal"/>
      <w:lvlText w:val="%1.%2.%3.%4.%5.%6.%7.%8.%9."/>
      <w:lvlJc w:val="left"/>
      <w:pPr>
        <w:tabs>
          <w:tab w:val="num" w:pos="5040"/>
        </w:tabs>
        <w:ind w:left="4320" w:hanging="1440"/>
      </w:pPr>
      <w:rPr>
        <w:rFonts w:cs="Times New Roman"/>
      </w:rPr>
    </w:lvl>
  </w:abstractNum>
  <w:abstractNum w:abstractNumId="11" w15:restartNumberingAfterBreak="0">
    <w:nsid w:val="40315E5F"/>
    <w:multiLevelType w:val="multilevel"/>
    <w:tmpl w:val="FFFFFFFF"/>
    <w:lvl w:ilvl="0">
      <w:start w:val="1"/>
      <w:numFmt w:val="upperRoman"/>
      <w:suff w:val="nothing"/>
      <w:lvlText w:val="DIVISION %1"/>
      <w:lvlJc w:val="left"/>
      <w:rPr>
        <w:rFonts w:cs="Times New Roman"/>
      </w:rPr>
    </w:lvl>
    <w:lvl w:ilvl="1">
      <w:start w:val="345"/>
      <w:numFmt w:val="decimal"/>
      <w:suff w:val="nothing"/>
      <w:lvlText w:val="ITEM %2"/>
      <w:lvlJc w:val="left"/>
      <w:rPr>
        <w:rFonts w:cs="Times New Roman"/>
      </w:rPr>
    </w:lvl>
    <w:lvl w:ilvl="2">
      <w:start w:val="1"/>
      <w:numFmt w:val="decimal"/>
      <w:suff w:val="space"/>
      <w:lvlText w:val="%2.%3. "/>
      <w:lvlJc w:val="left"/>
      <w:rPr>
        <w:rFonts w:cs="Times New Roman"/>
        <w:b/>
        <w:i w:val="0"/>
      </w:rPr>
    </w:lvl>
    <w:lvl w:ilvl="3">
      <w:start w:val="1"/>
      <w:numFmt w:val="upperLetter"/>
      <w:suff w:val="space"/>
      <w:lvlText w:val="%4. "/>
      <w:lvlJc w:val="left"/>
      <w:pPr>
        <w:ind w:left="288"/>
      </w:pPr>
      <w:rPr>
        <w:rFonts w:cs="Times New Roman"/>
        <w:b/>
        <w:i w:val="0"/>
      </w:rPr>
    </w:lvl>
    <w:lvl w:ilvl="4">
      <w:start w:val="1"/>
      <w:numFmt w:val="decimal"/>
      <w:suff w:val="space"/>
      <w:lvlText w:val="%5. "/>
      <w:lvlJc w:val="left"/>
      <w:pPr>
        <w:ind w:left="576"/>
      </w:pPr>
      <w:rPr>
        <w:rFonts w:cs="Times New Roman"/>
        <w:b/>
        <w:i w:val="0"/>
      </w:rPr>
    </w:lvl>
    <w:lvl w:ilvl="5">
      <w:start w:val="1"/>
      <w:numFmt w:val="lowerLetter"/>
      <w:suff w:val="space"/>
      <w:lvlText w:val="%6. "/>
      <w:lvlJc w:val="left"/>
      <w:pPr>
        <w:ind w:left="864"/>
      </w:pPr>
      <w:rPr>
        <w:rFonts w:cs="Times New Roman"/>
        <w:b/>
        <w:i w:val="0"/>
      </w:rPr>
    </w:lvl>
    <w:lvl w:ilvl="6">
      <w:start w:val="1"/>
      <w:numFmt w:val="decimal"/>
      <w:suff w:val="space"/>
      <w:lvlText w:val="(%7) "/>
      <w:lvlJc w:val="left"/>
      <w:pPr>
        <w:ind w:left="1152"/>
      </w:pPr>
      <w:rPr>
        <w:rFonts w:cs="Times New Roman"/>
        <w:b/>
        <w:i w:val="0"/>
      </w:rPr>
    </w:lvl>
    <w:lvl w:ilvl="7">
      <w:start w:val="1"/>
      <w:numFmt w:val="lowerLetter"/>
      <w:suff w:val="space"/>
      <w:lvlText w:val="(%8) "/>
      <w:lvlJc w:val="left"/>
      <w:pPr>
        <w:ind w:left="1440"/>
      </w:pPr>
      <w:rPr>
        <w:rFonts w:cs="Times New Roman"/>
        <w:b/>
        <w:i w:val="0"/>
      </w:rPr>
    </w:lvl>
    <w:lvl w:ilvl="8">
      <w:start w:val="1"/>
      <w:numFmt w:val="none"/>
      <w:suff w:val="nothing"/>
      <w:lvlText w:val=""/>
      <w:lvlJc w:val="left"/>
      <w:rPr>
        <w:rFonts w:cs="Times New Roman"/>
      </w:rPr>
    </w:lvl>
  </w:abstractNum>
  <w:num w:numId="1" w16cid:durableId="692266405">
    <w:abstractNumId w:val="9"/>
  </w:num>
  <w:num w:numId="2" w16cid:durableId="88739944">
    <w:abstractNumId w:val="7"/>
  </w:num>
  <w:num w:numId="3" w16cid:durableId="1230119950">
    <w:abstractNumId w:val="6"/>
  </w:num>
  <w:num w:numId="4" w16cid:durableId="455493284">
    <w:abstractNumId w:val="9"/>
  </w:num>
  <w:num w:numId="5" w16cid:durableId="1085151978">
    <w:abstractNumId w:val="7"/>
  </w:num>
  <w:num w:numId="6" w16cid:durableId="1159494430">
    <w:abstractNumId w:val="6"/>
  </w:num>
  <w:num w:numId="7" w16cid:durableId="307247636">
    <w:abstractNumId w:val="9"/>
  </w:num>
  <w:num w:numId="8" w16cid:durableId="1221095301">
    <w:abstractNumId w:val="7"/>
  </w:num>
  <w:num w:numId="9" w16cid:durableId="418217702">
    <w:abstractNumId w:val="6"/>
  </w:num>
  <w:num w:numId="10" w16cid:durableId="43141409">
    <w:abstractNumId w:val="9"/>
  </w:num>
  <w:num w:numId="11" w16cid:durableId="1276987667">
    <w:abstractNumId w:val="7"/>
  </w:num>
  <w:num w:numId="12" w16cid:durableId="762652867">
    <w:abstractNumId w:val="6"/>
  </w:num>
  <w:num w:numId="13" w16cid:durableId="51126384">
    <w:abstractNumId w:val="9"/>
  </w:num>
  <w:num w:numId="14" w16cid:durableId="677195133">
    <w:abstractNumId w:val="7"/>
  </w:num>
  <w:num w:numId="15" w16cid:durableId="1164012389">
    <w:abstractNumId w:val="6"/>
  </w:num>
  <w:num w:numId="16" w16cid:durableId="1443498380">
    <w:abstractNumId w:val="9"/>
  </w:num>
  <w:num w:numId="17" w16cid:durableId="1615749345">
    <w:abstractNumId w:val="7"/>
  </w:num>
  <w:num w:numId="18" w16cid:durableId="1966421836">
    <w:abstractNumId w:val="6"/>
  </w:num>
  <w:num w:numId="19" w16cid:durableId="215549798">
    <w:abstractNumId w:val="9"/>
  </w:num>
  <w:num w:numId="20" w16cid:durableId="42025500">
    <w:abstractNumId w:val="7"/>
  </w:num>
  <w:num w:numId="21" w16cid:durableId="856634">
    <w:abstractNumId w:val="6"/>
  </w:num>
  <w:num w:numId="22" w16cid:durableId="1909799187">
    <w:abstractNumId w:val="9"/>
  </w:num>
  <w:num w:numId="23" w16cid:durableId="1096827861">
    <w:abstractNumId w:val="7"/>
  </w:num>
  <w:num w:numId="24" w16cid:durableId="1953394183">
    <w:abstractNumId w:val="6"/>
  </w:num>
  <w:num w:numId="25" w16cid:durableId="1241138826">
    <w:abstractNumId w:val="4"/>
  </w:num>
  <w:num w:numId="26" w16cid:durableId="1382486167">
    <w:abstractNumId w:val="8"/>
  </w:num>
  <w:num w:numId="27" w16cid:durableId="391271716">
    <w:abstractNumId w:val="1"/>
  </w:num>
  <w:num w:numId="28" w16cid:durableId="235749409">
    <w:abstractNumId w:val="0"/>
  </w:num>
  <w:num w:numId="29" w16cid:durableId="1946231593">
    <w:abstractNumId w:val="11"/>
    <w:lvlOverride w:ilvl="0">
      <w:startOverride w:val="1"/>
    </w:lvlOverride>
    <w:lvlOverride w:ilvl="1">
      <w:startOverride w:val="34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9710934">
    <w:abstractNumId w:val="9"/>
  </w:num>
  <w:num w:numId="31" w16cid:durableId="596520900">
    <w:abstractNumId w:val="10"/>
  </w:num>
  <w:num w:numId="32" w16cid:durableId="803811893">
    <w:abstractNumId w:val="10"/>
  </w:num>
  <w:num w:numId="33" w16cid:durableId="1512455714">
    <w:abstractNumId w:val="4"/>
  </w:num>
  <w:num w:numId="34" w16cid:durableId="1788616529">
    <w:abstractNumId w:val="4"/>
  </w:num>
  <w:num w:numId="35" w16cid:durableId="500001794">
    <w:abstractNumId w:val="5"/>
  </w:num>
  <w:num w:numId="36" w16cid:durableId="1548838859">
    <w:abstractNumId w:val="3"/>
  </w:num>
  <w:num w:numId="37" w16cid:durableId="597174664">
    <w:abstractNumId w:val="2"/>
  </w:num>
  <w:num w:numId="38" w16cid:durableId="196831282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11F"/>
    <w:rsid w:val="00011FFD"/>
    <w:rsid w:val="0001778B"/>
    <w:rsid w:val="00022305"/>
    <w:rsid w:val="0002445B"/>
    <w:rsid w:val="00025204"/>
    <w:rsid w:val="00035E04"/>
    <w:rsid w:val="000367C1"/>
    <w:rsid w:val="00041E04"/>
    <w:rsid w:val="00051F80"/>
    <w:rsid w:val="00055033"/>
    <w:rsid w:val="00061DF8"/>
    <w:rsid w:val="00077C39"/>
    <w:rsid w:val="0008796F"/>
    <w:rsid w:val="00087993"/>
    <w:rsid w:val="00091A16"/>
    <w:rsid w:val="00097E74"/>
    <w:rsid w:val="000A3007"/>
    <w:rsid w:val="000A5AA4"/>
    <w:rsid w:val="000C1880"/>
    <w:rsid w:val="000C3287"/>
    <w:rsid w:val="000C4556"/>
    <w:rsid w:val="001120B9"/>
    <w:rsid w:val="00123F30"/>
    <w:rsid w:val="001362B7"/>
    <w:rsid w:val="00161BB9"/>
    <w:rsid w:val="001627D1"/>
    <w:rsid w:val="00163C6B"/>
    <w:rsid w:val="0016797C"/>
    <w:rsid w:val="00177751"/>
    <w:rsid w:val="001D0FA4"/>
    <w:rsid w:val="001E4B37"/>
    <w:rsid w:val="00200DEE"/>
    <w:rsid w:val="00220D3D"/>
    <w:rsid w:val="00230887"/>
    <w:rsid w:val="002411A3"/>
    <w:rsid w:val="002451F0"/>
    <w:rsid w:val="002533BD"/>
    <w:rsid w:val="00276649"/>
    <w:rsid w:val="002803B0"/>
    <w:rsid w:val="002872AC"/>
    <w:rsid w:val="00287D52"/>
    <w:rsid w:val="002B0361"/>
    <w:rsid w:val="002C1CD7"/>
    <w:rsid w:val="002E5435"/>
    <w:rsid w:val="002E60AE"/>
    <w:rsid w:val="002F06FD"/>
    <w:rsid w:val="002F1219"/>
    <w:rsid w:val="00301D5F"/>
    <w:rsid w:val="00310A77"/>
    <w:rsid w:val="00325C5E"/>
    <w:rsid w:val="00326452"/>
    <w:rsid w:val="00332B24"/>
    <w:rsid w:val="003367E0"/>
    <w:rsid w:val="00345348"/>
    <w:rsid w:val="00362408"/>
    <w:rsid w:val="003668A3"/>
    <w:rsid w:val="0037706B"/>
    <w:rsid w:val="0039224F"/>
    <w:rsid w:val="00393540"/>
    <w:rsid w:val="003A1F4A"/>
    <w:rsid w:val="003B5BBD"/>
    <w:rsid w:val="003C63FA"/>
    <w:rsid w:val="003F05BB"/>
    <w:rsid w:val="00421BDC"/>
    <w:rsid w:val="00432ECD"/>
    <w:rsid w:val="00453A23"/>
    <w:rsid w:val="00456691"/>
    <w:rsid w:val="0046753B"/>
    <w:rsid w:val="00473241"/>
    <w:rsid w:val="004900CE"/>
    <w:rsid w:val="00494837"/>
    <w:rsid w:val="004A5115"/>
    <w:rsid w:val="004B099C"/>
    <w:rsid w:val="004B0B9B"/>
    <w:rsid w:val="004B6158"/>
    <w:rsid w:val="004B6164"/>
    <w:rsid w:val="004C57A9"/>
    <w:rsid w:val="004C63CD"/>
    <w:rsid w:val="004D2697"/>
    <w:rsid w:val="004D64E9"/>
    <w:rsid w:val="004E1ADD"/>
    <w:rsid w:val="004E41F4"/>
    <w:rsid w:val="004F68A4"/>
    <w:rsid w:val="004F79B9"/>
    <w:rsid w:val="00503EF4"/>
    <w:rsid w:val="0051247E"/>
    <w:rsid w:val="00550F1F"/>
    <w:rsid w:val="0057677A"/>
    <w:rsid w:val="0059610C"/>
    <w:rsid w:val="005A0751"/>
    <w:rsid w:val="005A58DE"/>
    <w:rsid w:val="005B5495"/>
    <w:rsid w:val="005C2DE0"/>
    <w:rsid w:val="005C53AF"/>
    <w:rsid w:val="005D2521"/>
    <w:rsid w:val="005D2A8B"/>
    <w:rsid w:val="005D4452"/>
    <w:rsid w:val="005E0637"/>
    <w:rsid w:val="00651248"/>
    <w:rsid w:val="00674907"/>
    <w:rsid w:val="0068610A"/>
    <w:rsid w:val="00686909"/>
    <w:rsid w:val="006B3192"/>
    <w:rsid w:val="006B6206"/>
    <w:rsid w:val="006D7ED4"/>
    <w:rsid w:val="006E1C93"/>
    <w:rsid w:val="007075D5"/>
    <w:rsid w:val="00725D6F"/>
    <w:rsid w:val="00735324"/>
    <w:rsid w:val="00751B21"/>
    <w:rsid w:val="0076764F"/>
    <w:rsid w:val="00767C3C"/>
    <w:rsid w:val="00770449"/>
    <w:rsid w:val="00774410"/>
    <w:rsid w:val="00774739"/>
    <w:rsid w:val="00780EA9"/>
    <w:rsid w:val="007828E1"/>
    <w:rsid w:val="007831A5"/>
    <w:rsid w:val="0079030F"/>
    <w:rsid w:val="00797189"/>
    <w:rsid w:val="00797CBC"/>
    <w:rsid w:val="007A6F47"/>
    <w:rsid w:val="007B39FC"/>
    <w:rsid w:val="007B5D13"/>
    <w:rsid w:val="007C68B7"/>
    <w:rsid w:val="007D5CDD"/>
    <w:rsid w:val="007D5DB8"/>
    <w:rsid w:val="007F0C1C"/>
    <w:rsid w:val="007F2F75"/>
    <w:rsid w:val="007F5A42"/>
    <w:rsid w:val="00810A83"/>
    <w:rsid w:val="00820570"/>
    <w:rsid w:val="008423FD"/>
    <w:rsid w:val="00851C3B"/>
    <w:rsid w:val="0085784E"/>
    <w:rsid w:val="00857F8F"/>
    <w:rsid w:val="00860067"/>
    <w:rsid w:val="00875F6C"/>
    <w:rsid w:val="008A2DE1"/>
    <w:rsid w:val="008C3062"/>
    <w:rsid w:val="008C5DE9"/>
    <w:rsid w:val="008D2089"/>
    <w:rsid w:val="008F3219"/>
    <w:rsid w:val="00901BA3"/>
    <w:rsid w:val="009226A8"/>
    <w:rsid w:val="0092319B"/>
    <w:rsid w:val="00934EDB"/>
    <w:rsid w:val="00951EC5"/>
    <w:rsid w:val="00966F28"/>
    <w:rsid w:val="0097311F"/>
    <w:rsid w:val="00977E77"/>
    <w:rsid w:val="009A78FD"/>
    <w:rsid w:val="009B3D5F"/>
    <w:rsid w:val="009B5D91"/>
    <w:rsid w:val="009B6953"/>
    <w:rsid w:val="009C29AE"/>
    <w:rsid w:val="009D6926"/>
    <w:rsid w:val="009E2564"/>
    <w:rsid w:val="00A13B41"/>
    <w:rsid w:val="00A43533"/>
    <w:rsid w:val="00A61F4E"/>
    <w:rsid w:val="00A8037D"/>
    <w:rsid w:val="00A860C6"/>
    <w:rsid w:val="00A92949"/>
    <w:rsid w:val="00A946DF"/>
    <w:rsid w:val="00A97337"/>
    <w:rsid w:val="00AB2847"/>
    <w:rsid w:val="00AB69F4"/>
    <w:rsid w:val="00AC0475"/>
    <w:rsid w:val="00AD077F"/>
    <w:rsid w:val="00AD1AF9"/>
    <w:rsid w:val="00AD76C5"/>
    <w:rsid w:val="00AD7772"/>
    <w:rsid w:val="00AE1F25"/>
    <w:rsid w:val="00AE74CA"/>
    <w:rsid w:val="00B22E5B"/>
    <w:rsid w:val="00B24D12"/>
    <w:rsid w:val="00B31F07"/>
    <w:rsid w:val="00B351A5"/>
    <w:rsid w:val="00B36FEE"/>
    <w:rsid w:val="00B423E2"/>
    <w:rsid w:val="00B5274F"/>
    <w:rsid w:val="00B636D8"/>
    <w:rsid w:val="00B70D95"/>
    <w:rsid w:val="00B716AC"/>
    <w:rsid w:val="00B7393D"/>
    <w:rsid w:val="00B82174"/>
    <w:rsid w:val="00B83944"/>
    <w:rsid w:val="00BA22B3"/>
    <w:rsid w:val="00BC600A"/>
    <w:rsid w:val="00BD16D9"/>
    <w:rsid w:val="00BD25BD"/>
    <w:rsid w:val="00BF02CD"/>
    <w:rsid w:val="00BF5CDC"/>
    <w:rsid w:val="00C0083F"/>
    <w:rsid w:val="00C028AB"/>
    <w:rsid w:val="00C06A38"/>
    <w:rsid w:val="00C14630"/>
    <w:rsid w:val="00C23588"/>
    <w:rsid w:val="00C236EE"/>
    <w:rsid w:val="00C30ACE"/>
    <w:rsid w:val="00C32E77"/>
    <w:rsid w:val="00C337C9"/>
    <w:rsid w:val="00C3441F"/>
    <w:rsid w:val="00C418C5"/>
    <w:rsid w:val="00C50688"/>
    <w:rsid w:val="00C50CD4"/>
    <w:rsid w:val="00C72A19"/>
    <w:rsid w:val="00C8480D"/>
    <w:rsid w:val="00CA3E8D"/>
    <w:rsid w:val="00CA457F"/>
    <w:rsid w:val="00CD0464"/>
    <w:rsid w:val="00CD0E5F"/>
    <w:rsid w:val="00CE698D"/>
    <w:rsid w:val="00D20AF9"/>
    <w:rsid w:val="00D562B5"/>
    <w:rsid w:val="00D602DE"/>
    <w:rsid w:val="00D61B33"/>
    <w:rsid w:val="00D80B4D"/>
    <w:rsid w:val="00DA0257"/>
    <w:rsid w:val="00DB0465"/>
    <w:rsid w:val="00DB5395"/>
    <w:rsid w:val="00DB71B0"/>
    <w:rsid w:val="00DB7B59"/>
    <w:rsid w:val="00DF429A"/>
    <w:rsid w:val="00DF6B7A"/>
    <w:rsid w:val="00E02C5B"/>
    <w:rsid w:val="00E2240F"/>
    <w:rsid w:val="00E36FBC"/>
    <w:rsid w:val="00E45E8D"/>
    <w:rsid w:val="00E5636C"/>
    <w:rsid w:val="00E7331F"/>
    <w:rsid w:val="00E81403"/>
    <w:rsid w:val="00E903D6"/>
    <w:rsid w:val="00E907A7"/>
    <w:rsid w:val="00E92AC2"/>
    <w:rsid w:val="00EA6486"/>
    <w:rsid w:val="00EB63DA"/>
    <w:rsid w:val="00EC4A4E"/>
    <w:rsid w:val="00EC6925"/>
    <w:rsid w:val="00ED5682"/>
    <w:rsid w:val="00EE02A8"/>
    <w:rsid w:val="00F02BF6"/>
    <w:rsid w:val="00F111EF"/>
    <w:rsid w:val="00F22CF1"/>
    <w:rsid w:val="00F61FA2"/>
    <w:rsid w:val="00F84307"/>
    <w:rsid w:val="00F85464"/>
    <w:rsid w:val="00F9473B"/>
    <w:rsid w:val="00FA0455"/>
    <w:rsid w:val="00FA617E"/>
    <w:rsid w:val="00FA621C"/>
    <w:rsid w:val="00FB1CB0"/>
    <w:rsid w:val="00FB7B8B"/>
    <w:rsid w:val="00FC338F"/>
    <w:rsid w:val="00FC660F"/>
    <w:rsid w:val="00FD5D0B"/>
    <w:rsid w:val="00FF5859"/>
    <w:rsid w:val="4FC1F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1A24E6"/>
  <w14:defaultImageDpi w14:val="0"/>
  <w15:docId w15:val="{0CD8EA0D-AF3D-4D51-91F8-52F44362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9" w:unhideWhenUsed="1"/>
    <w:lsdException w:name="toc 1" w:semiHidden="1" w:uiPriority="98" w:unhideWhenUsed="1"/>
    <w:lsdException w:name="toc 2" w:semiHidden="1" w:uiPriority="98" w:unhideWhenUsed="1"/>
    <w:lsdException w:name="toc 3" w:semiHidden="1" w:uiPriority="98" w:unhideWhenUsed="1"/>
    <w:lsdException w:name="toc 4" w:semiHidden="1" w:uiPriority="98" w:unhideWhenUsed="1"/>
    <w:lsdException w:name="toc 5" w:semiHidden="1" w:uiPriority="98" w:unhideWhenUsed="1"/>
    <w:lsdException w:name="toc 6" w:semiHidden="1" w:uiPriority="98" w:unhideWhenUsed="1"/>
    <w:lsdException w:name="toc 7" w:semiHidden="1" w:uiPriority="98" w:unhideWhenUsed="1"/>
    <w:lsdException w:name="toc 8" w:semiHidden="1" w:uiPriority="98" w:unhideWhenUsed="1"/>
    <w:lsdException w:name="toc 9" w:semiHidden="1" w:uiPriority="98" w:unhideWhenUsed="1"/>
    <w:lsdException w:name="footer" w:semiHidden="1" w:uiPriority="0" w:unhideWhenUsed="1"/>
    <w:lsdException w:name="caption" w:semiHidden="1" w:uiPriority="98" w:unhideWhenUsed="1" w:qFormat="1"/>
    <w:lsdException w:name="table of authorities" w:semiHidden="1" w:unhideWhenUsed="1"/>
    <w:lsdException w:name="List" w:semiHidden="1" w:unhideWhenUsed="1"/>
    <w:lsdException w:name="List Bullet" w:semiHidden="1" w:uiPriority="0" w:unhideWhenUsed="1" w:qFormat="1"/>
    <w:lsdException w:name="Title" w:uiPriority="0"/>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0"/>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lsdException w:name="Intense Emphasis" w:uiPriority="98"/>
    <w:lsdException w:name="Subtle Reference" w:uiPriority="98"/>
    <w:lsdException w:name="Intense Reference" w:uiPriority="98"/>
    <w:lsdException w:name="Book Title" w:uiPriority="98"/>
    <w:lsdException w:name="Bibliography" w:semiHidden="1" w:uiPriority="98" w:unhideWhenUsed="1"/>
    <w:lsdException w:name="TOC Heading" w:semiHidden="1" w:uiPriority="9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rsid w:val="00F84307"/>
    <w:pPr>
      <w:spacing w:after="200" w:line="276" w:lineRule="auto"/>
    </w:pPr>
    <w:rPr>
      <w:rFonts w:ascii="Arial Narrow" w:hAnsi="Arial Narrow" w:cs="Times New Roman"/>
      <w:sz w:val="22"/>
      <w:szCs w:val="22"/>
    </w:rPr>
  </w:style>
  <w:style w:type="paragraph" w:styleId="Heading1">
    <w:name w:val="heading 1"/>
    <w:aliases w:val="Article"/>
    <w:basedOn w:val="Normal"/>
    <w:next w:val="BodyText"/>
    <w:link w:val="Heading1Char"/>
    <w:uiPriority w:val="9"/>
    <w:qFormat/>
    <w:rsid w:val="00C50CD4"/>
    <w:pPr>
      <w:keepNext/>
      <w:numPr>
        <w:numId w:val="11"/>
      </w:numPr>
      <w:pBdr>
        <w:top w:val="single" w:sz="4" w:space="1" w:color="auto"/>
      </w:pBdr>
      <w:tabs>
        <w:tab w:val="num" w:pos="1440"/>
      </w:tabs>
      <w:spacing w:before="240" w:after="60" w:line="240" w:lineRule="auto"/>
      <w:ind w:left="1440" w:hanging="1440"/>
      <w:outlineLvl w:val="0"/>
    </w:pPr>
    <w:rPr>
      <w:b/>
      <w:caps/>
      <w:kern w:val="28"/>
      <w:sz w:val="24"/>
      <w:szCs w:val="20"/>
    </w:rPr>
  </w:style>
  <w:style w:type="paragraph" w:styleId="Heading2">
    <w:name w:val="heading 2"/>
    <w:aliases w:val="Section,Item,Section Level 1"/>
    <w:basedOn w:val="Normal"/>
    <w:next w:val="NoSpacing"/>
    <w:link w:val="Heading2Char"/>
    <w:uiPriority w:val="99"/>
    <w:qFormat/>
    <w:rsid w:val="00C50CD4"/>
    <w:pPr>
      <w:numPr>
        <w:ilvl w:val="1"/>
        <w:numId w:val="13"/>
      </w:numPr>
      <w:tabs>
        <w:tab w:val="clear" w:pos="360"/>
        <w:tab w:val="num" w:pos="1440"/>
        <w:tab w:val="num" w:pos="1800"/>
      </w:tabs>
      <w:spacing w:before="240" w:after="60" w:line="240" w:lineRule="auto"/>
      <w:ind w:left="1440" w:hanging="1440"/>
      <w:outlineLvl w:val="1"/>
    </w:pPr>
    <w:rPr>
      <w:b/>
      <w:sz w:val="20"/>
      <w:szCs w:val="20"/>
    </w:rPr>
  </w:style>
  <w:style w:type="paragraph" w:styleId="Heading3">
    <w:name w:val="heading 3"/>
    <w:aliases w:val="Subsection 1"/>
    <w:basedOn w:val="Normal"/>
    <w:next w:val="NoSpacing"/>
    <w:link w:val="Heading3Char"/>
    <w:uiPriority w:val="2"/>
    <w:qFormat/>
    <w:rsid w:val="00C50CD4"/>
    <w:pPr>
      <w:tabs>
        <w:tab w:val="num" w:pos="720"/>
        <w:tab w:val="num" w:pos="1440"/>
      </w:tabs>
      <w:spacing w:before="240" w:after="60" w:line="240" w:lineRule="auto"/>
      <w:ind w:left="1440" w:hanging="1440"/>
      <w:outlineLvl w:val="2"/>
    </w:pPr>
    <w:rPr>
      <w:sz w:val="20"/>
      <w:szCs w:val="20"/>
    </w:rPr>
  </w:style>
  <w:style w:type="paragraph" w:styleId="Heading4">
    <w:name w:val="heading 4"/>
    <w:aliases w:val="Subsection 2"/>
    <w:basedOn w:val="Normal"/>
    <w:next w:val="NoSpacing"/>
    <w:link w:val="Heading4Char"/>
    <w:uiPriority w:val="3"/>
    <w:qFormat/>
    <w:rsid w:val="00C0083F"/>
    <w:pPr>
      <w:numPr>
        <w:ilvl w:val="3"/>
        <w:numId w:val="4"/>
      </w:numPr>
      <w:tabs>
        <w:tab w:val="clear" w:pos="360"/>
        <w:tab w:val="num" w:pos="1440"/>
        <w:tab w:val="num" w:pos="1800"/>
      </w:tabs>
      <w:spacing w:before="240" w:after="60" w:line="240" w:lineRule="auto"/>
      <w:ind w:left="1440" w:hanging="1440"/>
      <w:outlineLvl w:val="3"/>
    </w:pPr>
    <w:rPr>
      <w:sz w:val="20"/>
      <w:szCs w:val="20"/>
    </w:rPr>
  </w:style>
  <w:style w:type="paragraph" w:styleId="Heading5">
    <w:name w:val="heading 5"/>
    <w:aliases w:val="Subsection 3"/>
    <w:basedOn w:val="Normal"/>
    <w:next w:val="BodyText"/>
    <w:link w:val="Heading5Char"/>
    <w:uiPriority w:val="98"/>
    <w:rsid w:val="00C0083F"/>
    <w:pPr>
      <w:numPr>
        <w:ilvl w:val="4"/>
        <w:numId w:val="4"/>
      </w:numPr>
      <w:tabs>
        <w:tab w:val="clear" w:pos="360"/>
        <w:tab w:val="num" w:pos="1440"/>
        <w:tab w:val="num" w:pos="1800"/>
      </w:tabs>
      <w:spacing w:before="240" w:after="60" w:line="240" w:lineRule="auto"/>
      <w:ind w:left="1440" w:hanging="1440"/>
      <w:outlineLvl w:val="4"/>
    </w:pPr>
    <w:rPr>
      <w:sz w:val="20"/>
      <w:szCs w:val="20"/>
    </w:rPr>
  </w:style>
  <w:style w:type="paragraph" w:styleId="Heading6">
    <w:name w:val="heading 6"/>
    <w:basedOn w:val="Normal"/>
    <w:next w:val="BodyText"/>
    <w:link w:val="Heading6Char"/>
    <w:uiPriority w:val="98"/>
    <w:rsid w:val="00C0083F"/>
    <w:pPr>
      <w:numPr>
        <w:ilvl w:val="5"/>
        <w:numId w:val="4"/>
      </w:numPr>
      <w:tabs>
        <w:tab w:val="clear" w:pos="360"/>
        <w:tab w:val="num" w:pos="1440"/>
        <w:tab w:val="num" w:pos="1800"/>
      </w:tabs>
      <w:spacing w:before="240" w:after="60" w:line="240" w:lineRule="auto"/>
      <w:ind w:left="1440" w:hanging="1440"/>
      <w:outlineLvl w:val="5"/>
    </w:pPr>
    <w:rPr>
      <w:sz w:val="20"/>
      <w:szCs w:val="20"/>
    </w:rPr>
  </w:style>
  <w:style w:type="paragraph" w:styleId="Heading7">
    <w:name w:val="heading 7"/>
    <w:aliases w:val="Subsection 5"/>
    <w:basedOn w:val="Normal"/>
    <w:next w:val="BodyText"/>
    <w:link w:val="Heading7Char"/>
    <w:uiPriority w:val="98"/>
    <w:rsid w:val="00C0083F"/>
    <w:pPr>
      <w:numPr>
        <w:ilvl w:val="6"/>
        <w:numId w:val="4"/>
      </w:numPr>
      <w:tabs>
        <w:tab w:val="clear" w:pos="360"/>
        <w:tab w:val="num" w:pos="1440"/>
        <w:tab w:val="num" w:pos="1800"/>
      </w:tabs>
      <w:spacing w:before="240" w:after="60" w:line="240" w:lineRule="auto"/>
      <w:ind w:left="1440" w:hanging="1440"/>
      <w:outlineLvl w:val="6"/>
    </w:pPr>
    <w:rPr>
      <w:sz w:val="20"/>
      <w:szCs w:val="20"/>
    </w:rPr>
  </w:style>
  <w:style w:type="paragraph" w:styleId="Heading8">
    <w:name w:val="heading 8"/>
    <w:aliases w:val="Subsection 6"/>
    <w:basedOn w:val="Normal"/>
    <w:next w:val="BodyText"/>
    <w:link w:val="Heading8Char"/>
    <w:uiPriority w:val="98"/>
    <w:rsid w:val="00C0083F"/>
    <w:pPr>
      <w:tabs>
        <w:tab w:val="num" w:pos="1440"/>
        <w:tab w:val="num" w:pos="1800"/>
      </w:tabs>
      <w:spacing w:before="240" w:after="60" w:line="240" w:lineRule="auto"/>
      <w:ind w:left="1440" w:hanging="1440"/>
      <w:outlineLvl w:val="7"/>
    </w:pPr>
    <w:rPr>
      <w:sz w:val="20"/>
      <w:szCs w:val="20"/>
    </w:rPr>
  </w:style>
  <w:style w:type="paragraph" w:styleId="Heading9">
    <w:name w:val="heading 9"/>
    <w:basedOn w:val="Normal"/>
    <w:next w:val="Normal"/>
    <w:link w:val="Heading9Char"/>
    <w:uiPriority w:val="98"/>
    <w:unhideWhenUsed/>
    <w:rsid w:val="00332B24"/>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rticle Char"/>
    <w:basedOn w:val="DefaultParagraphFont"/>
    <w:link w:val="Heading1"/>
    <w:uiPriority w:val="9"/>
    <w:locked/>
    <w:rsid w:val="00C50CD4"/>
    <w:rPr>
      <w:rFonts w:ascii="Arial Narrow" w:hAnsi="Arial Narrow" w:cs="Times New Roman"/>
      <w:b/>
      <w:caps/>
      <w:kern w:val="28"/>
      <w:sz w:val="24"/>
    </w:rPr>
  </w:style>
  <w:style w:type="character" w:customStyle="1" w:styleId="Heading2Char">
    <w:name w:val="Heading 2 Char"/>
    <w:aliases w:val="Section Char,Item Char,Section Level 1 Char"/>
    <w:basedOn w:val="DefaultParagraphFont"/>
    <w:link w:val="Heading2"/>
    <w:uiPriority w:val="99"/>
    <w:locked/>
    <w:rsid w:val="00C50CD4"/>
    <w:rPr>
      <w:rFonts w:ascii="Arial Narrow" w:hAnsi="Arial Narrow" w:cs="Times New Roman"/>
      <w:b/>
    </w:rPr>
  </w:style>
  <w:style w:type="character" w:customStyle="1" w:styleId="Heading3Char">
    <w:name w:val="Heading 3 Char"/>
    <w:aliases w:val="Subsection 1 Char"/>
    <w:basedOn w:val="DefaultParagraphFont"/>
    <w:link w:val="Heading3"/>
    <w:uiPriority w:val="2"/>
    <w:locked/>
    <w:rsid w:val="00C50CD4"/>
    <w:rPr>
      <w:rFonts w:ascii="Arial Narrow" w:hAnsi="Arial Narrow" w:cs="Times New Roman"/>
    </w:rPr>
  </w:style>
  <w:style w:type="character" w:customStyle="1" w:styleId="Heading4Char">
    <w:name w:val="Heading 4 Char"/>
    <w:aliases w:val="Subsection 2 Char"/>
    <w:basedOn w:val="DefaultParagraphFont"/>
    <w:link w:val="Heading4"/>
    <w:uiPriority w:val="3"/>
    <w:locked/>
    <w:rsid w:val="00F84307"/>
    <w:rPr>
      <w:rFonts w:ascii="Arial Narrow" w:hAnsi="Arial Narrow" w:cs="Times New Roman"/>
    </w:rPr>
  </w:style>
  <w:style w:type="character" w:customStyle="1" w:styleId="Heading5Char">
    <w:name w:val="Heading 5 Char"/>
    <w:aliases w:val="Subsection 3 Char"/>
    <w:basedOn w:val="DefaultParagraphFont"/>
    <w:link w:val="Heading5"/>
    <w:uiPriority w:val="98"/>
    <w:locked/>
    <w:rsid w:val="00F84307"/>
    <w:rPr>
      <w:rFonts w:ascii="Arial Narrow" w:hAnsi="Arial Narrow" w:cs="Times New Roman"/>
    </w:rPr>
  </w:style>
  <w:style w:type="character" w:customStyle="1" w:styleId="Heading6Char">
    <w:name w:val="Heading 6 Char"/>
    <w:basedOn w:val="DefaultParagraphFont"/>
    <w:link w:val="Heading6"/>
    <w:uiPriority w:val="98"/>
    <w:locked/>
    <w:rsid w:val="00F84307"/>
    <w:rPr>
      <w:rFonts w:ascii="Arial Narrow" w:hAnsi="Arial Narrow" w:cs="Times New Roman"/>
    </w:rPr>
  </w:style>
  <w:style w:type="character" w:customStyle="1" w:styleId="Heading7Char">
    <w:name w:val="Heading 7 Char"/>
    <w:aliases w:val="Subsection 5 Char"/>
    <w:basedOn w:val="DefaultParagraphFont"/>
    <w:link w:val="Heading7"/>
    <w:uiPriority w:val="98"/>
    <w:locked/>
    <w:rsid w:val="00F84307"/>
    <w:rPr>
      <w:rFonts w:ascii="Arial Narrow" w:hAnsi="Arial Narrow" w:cs="Times New Roman"/>
    </w:rPr>
  </w:style>
  <w:style w:type="character" w:customStyle="1" w:styleId="Heading8Char">
    <w:name w:val="Heading 8 Char"/>
    <w:aliases w:val="Subsection 6 Char"/>
    <w:basedOn w:val="DefaultParagraphFont"/>
    <w:link w:val="Heading8"/>
    <w:uiPriority w:val="98"/>
    <w:locked/>
    <w:rsid w:val="00F84307"/>
    <w:rPr>
      <w:rFonts w:ascii="Arial Narrow" w:hAnsi="Arial Narrow" w:cs="Times New Roman"/>
    </w:rPr>
  </w:style>
  <w:style w:type="character" w:customStyle="1" w:styleId="Heading9Char">
    <w:name w:val="Heading 9 Char"/>
    <w:basedOn w:val="DefaultParagraphFont"/>
    <w:link w:val="Heading9"/>
    <w:uiPriority w:val="98"/>
    <w:locked/>
    <w:rsid w:val="00F84307"/>
    <w:rPr>
      <w:rFonts w:ascii="Cambria" w:hAnsi="Cambria" w:cs="Times New Roman"/>
      <w:i/>
      <w:color w:val="404040"/>
    </w:rPr>
  </w:style>
  <w:style w:type="paragraph" w:styleId="Subtitle">
    <w:name w:val="Subtitle"/>
    <w:basedOn w:val="Normal"/>
    <w:link w:val="SubtitleChar"/>
    <w:uiPriority w:val="98"/>
    <w:rsid w:val="00686909"/>
    <w:pPr>
      <w:spacing w:after="60" w:line="240" w:lineRule="auto"/>
    </w:pPr>
    <w:rPr>
      <w:b/>
      <w:sz w:val="36"/>
      <w:szCs w:val="36"/>
    </w:rPr>
  </w:style>
  <w:style w:type="character" w:customStyle="1" w:styleId="SubtitleChar">
    <w:name w:val="Subtitle Char"/>
    <w:basedOn w:val="DefaultParagraphFont"/>
    <w:link w:val="Subtitle"/>
    <w:uiPriority w:val="98"/>
    <w:locked/>
    <w:rsid w:val="00F84307"/>
    <w:rPr>
      <w:rFonts w:ascii="Arial Narrow" w:hAnsi="Arial Narrow" w:cs="Times New Roman"/>
      <w:b/>
      <w:sz w:val="36"/>
    </w:rPr>
  </w:style>
  <w:style w:type="paragraph" w:styleId="Title">
    <w:name w:val="Title"/>
    <w:basedOn w:val="Normal"/>
    <w:link w:val="TitleChar"/>
    <w:uiPriority w:val="98"/>
    <w:rsid w:val="00686909"/>
    <w:pPr>
      <w:spacing w:before="240" w:after="360" w:line="240" w:lineRule="auto"/>
    </w:pPr>
    <w:rPr>
      <w:b/>
      <w:kern w:val="28"/>
      <w:sz w:val="36"/>
      <w:szCs w:val="20"/>
    </w:rPr>
  </w:style>
  <w:style w:type="character" w:customStyle="1" w:styleId="TitleChar">
    <w:name w:val="Title Char"/>
    <w:basedOn w:val="DefaultParagraphFont"/>
    <w:link w:val="Title"/>
    <w:uiPriority w:val="98"/>
    <w:locked/>
    <w:rsid w:val="00F84307"/>
    <w:rPr>
      <w:rFonts w:ascii="Arial Narrow" w:hAnsi="Arial Narrow" w:cs="Times New Roman"/>
      <w:b/>
      <w:kern w:val="28"/>
      <w:sz w:val="36"/>
    </w:rPr>
  </w:style>
  <w:style w:type="paragraph" w:customStyle="1" w:styleId="Supertitle">
    <w:name w:val="Supertitle"/>
    <w:basedOn w:val="Normal"/>
    <w:uiPriority w:val="98"/>
    <w:rsid w:val="00AD7772"/>
    <w:pPr>
      <w:keepNext/>
      <w:pageBreakBefore/>
      <w:pBdr>
        <w:top w:val="single" w:sz="4" w:space="1" w:color="auto"/>
      </w:pBdr>
      <w:tabs>
        <w:tab w:val="right" w:pos="8640"/>
      </w:tabs>
      <w:spacing w:before="120" w:after="60" w:line="240" w:lineRule="auto"/>
    </w:pPr>
    <w:rPr>
      <w:b/>
      <w:sz w:val="2"/>
      <w:szCs w:val="2"/>
    </w:rPr>
  </w:style>
  <w:style w:type="paragraph" w:styleId="BodyText">
    <w:name w:val="Body Text"/>
    <w:aliases w:val="No Numbering"/>
    <w:basedOn w:val="NoSpacing"/>
    <w:link w:val="BodyTextChar"/>
    <w:uiPriority w:val="99"/>
    <w:unhideWhenUsed/>
    <w:rsid w:val="00BF02CD"/>
  </w:style>
  <w:style w:type="character" w:customStyle="1" w:styleId="BodyTextChar">
    <w:name w:val="Body Text Char"/>
    <w:aliases w:val="No Numbering Char"/>
    <w:basedOn w:val="DefaultParagraphFont"/>
    <w:link w:val="BodyText"/>
    <w:uiPriority w:val="99"/>
    <w:locked/>
    <w:rsid w:val="00BF02CD"/>
    <w:rPr>
      <w:rFonts w:ascii="Arial Narrow" w:hAnsi="Arial Narrow" w:cs="Times New Roman"/>
    </w:rPr>
  </w:style>
  <w:style w:type="paragraph" w:customStyle="1" w:styleId="TBL-Title">
    <w:name w:val="TBL-Title"/>
    <w:basedOn w:val="Normal"/>
    <w:next w:val="Normal"/>
    <w:uiPriority w:val="8"/>
    <w:rsid w:val="007075D5"/>
    <w:pPr>
      <w:keepNext/>
      <w:spacing w:after="0" w:line="240" w:lineRule="auto"/>
      <w:jc w:val="center"/>
    </w:pPr>
    <w:rPr>
      <w:b/>
      <w:sz w:val="18"/>
      <w:szCs w:val="20"/>
    </w:rPr>
  </w:style>
  <w:style w:type="paragraph" w:customStyle="1" w:styleId="TBL-Number">
    <w:name w:val="TBL-Number"/>
    <w:basedOn w:val="TBL-Title"/>
    <w:uiPriority w:val="8"/>
    <w:rsid w:val="007075D5"/>
  </w:style>
  <w:style w:type="paragraph" w:customStyle="1" w:styleId="TBL-Text">
    <w:name w:val="TBL-Text"/>
    <w:basedOn w:val="Normal"/>
    <w:uiPriority w:val="8"/>
    <w:rsid w:val="007075D5"/>
    <w:pPr>
      <w:keepNext/>
      <w:spacing w:after="0" w:line="240" w:lineRule="auto"/>
    </w:pPr>
    <w:rPr>
      <w:sz w:val="18"/>
      <w:szCs w:val="20"/>
    </w:rPr>
  </w:style>
  <w:style w:type="paragraph" w:customStyle="1" w:styleId="TBL-ColumnHead">
    <w:name w:val="TBL-Column Head"/>
    <w:basedOn w:val="TBL-Text"/>
    <w:uiPriority w:val="8"/>
    <w:rsid w:val="00177751"/>
    <w:pPr>
      <w:jc w:val="center"/>
    </w:pPr>
    <w:rPr>
      <w:b/>
    </w:rPr>
  </w:style>
  <w:style w:type="paragraph" w:customStyle="1" w:styleId="TBLNotation">
    <w:name w:val="TBL Notation"/>
    <w:basedOn w:val="TBL-Text"/>
    <w:uiPriority w:val="8"/>
    <w:rsid w:val="007075D5"/>
    <w:pPr>
      <w:tabs>
        <w:tab w:val="num" w:pos="1440"/>
      </w:tabs>
      <w:ind w:left="360" w:hanging="360"/>
    </w:pPr>
  </w:style>
  <w:style w:type="paragraph" w:styleId="ListBullet">
    <w:name w:val="List Bullet"/>
    <w:basedOn w:val="Normal"/>
    <w:uiPriority w:val="4"/>
    <w:qFormat/>
    <w:rsid w:val="00AE74CA"/>
    <w:pPr>
      <w:tabs>
        <w:tab w:val="num" w:pos="360"/>
        <w:tab w:val="left" w:pos="1800"/>
      </w:tabs>
      <w:spacing w:after="60"/>
      <w:ind w:left="360" w:hanging="360"/>
      <w:contextualSpacing/>
    </w:pPr>
    <w:rPr>
      <w:sz w:val="20"/>
    </w:rPr>
  </w:style>
  <w:style w:type="paragraph" w:customStyle="1" w:styleId="Figure">
    <w:name w:val="Figure"/>
    <w:basedOn w:val="Normal"/>
    <w:next w:val="Normal"/>
    <w:uiPriority w:val="98"/>
    <w:rsid w:val="004D64E9"/>
    <w:pPr>
      <w:spacing w:before="120" w:after="0" w:line="240" w:lineRule="auto"/>
      <w:jc w:val="center"/>
      <w:outlineLvl w:val="8"/>
    </w:pPr>
    <w:rPr>
      <w:b/>
      <w:sz w:val="20"/>
      <w:szCs w:val="20"/>
    </w:rPr>
  </w:style>
  <w:style w:type="paragraph" w:customStyle="1" w:styleId="FigureTitle">
    <w:name w:val="Figure Title"/>
    <w:basedOn w:val="Figure"/>
    <w:next w:val="BodyText"/>
    <w:uiPriority w:val="98"/>
    <w:rsid w:val="003668A3"/>
    <w:pPr>
      <w:spacing w:before="0"/>
    </w:pPr>
  </w:style>
  <w:style w:type="paragraph" w:customStyle="1" w:styleId="FigureNumber">
    <w:name w:val="Figure Number"/>
    <w:basedOn w:val="Figure"/>
    <w:next w:val="FigureTitle"/>
    <w:uiPriority w:val="98"/>
    <w:rsid w:val="003668A3"/>
    <w:pPr>
      <w:spacing w:before="0"/>
    </w:pPr>
  </w:style>
  <w:style w:type="paragraph" w:styleId="Header">
    <w:name w:val="header"/>
    <w:basedOn w:val="Normal"/>
    <w:link w:val="HeaderChar"/>
    <w:uiPriority w:val="99"/>
    <w:unhideWhenUsed/>
    <w:rsid w:val="00494837"/>
    <w:pPr>
      <w:tabs>
        <w:tab w:val="center" w:pos="4680"/>
        <w:tab w:val="right" w:pos="9360"/>
      </w:tabs>
    </w:pPr>
    <w:rPr>
      <w:sz w:val="20"/>
    </w:rPr>
  </w:style>
  <w:style w:type="character" w:customStyle="1" w:styleId="HeaderChar">
    <w:name w:val="Header Char"/>
    <w:basedOn w:val="DefaultParagraphFont"/>
    <w:link w:val="Header"/>
    <w:uiPriority w:val="99"/>
    <w:locked/>
    <w:rsid w:val="00494837"/>
    <w:rPr>
      <w:rFonts w:ascii="Times New Roman" w:hAnsi="Times New Roman" w:cs="Times New Roman"/>
      <w:sz w:val="22"/>
    </w:rPr>
  </w:style>
  <w:style w:type="paragraph" w:styleId="Footer">
    <w:name w:val="footer"/>
    <w:basedOn w:val="Normal"/>
    <w:link w:val="FooterChar"/>
    <w:uiPriority w:val="98"/>
    <w:unhideWhenUsed/>
    <w:rsid w:val="00494837"/>
    <w:pPr>
      <w:tabs>
        <w:tab w:val="center" w:pos="4680"/>
        <w:tab w:val="right" w:pos="9360"/>
      </w:tabs>
    </w:pPr>
    <w:rPr>
      <w:sz w:val="20"/>
    </w:rPr>
  </w:style>
  <w:style w:type="character" w:customStyle="1" w:styleId="FooterChar">
    <w:name w:val="Footer Char"/>
    <w:basedOn w:val="DefaultParagraphFont"/>
    <w:link w:val="Footer"/>
    <w:uiPriority w:val="98"/>
    <w:locked/>
    <w:rsid w:val="00F84307"/>
    <w:rPr>
      <w:rFonts w:ascii="Arial Narrow" w:hAnsi="Arial Narrow" w:cs="Times New Roman"/>
      <w:sz w:val="22"/>
    </w:rPr>
  </w:style>
  <w:style w:type="paragraph" w:customStyle="1" w:styleId="Equation">
    <w:name w:val="Equation"/>
    <w:basedOn w:val="BodyText"/>
    <w:next w:val="Equationwhere"/>
    <w:uiPriority w:val="98"/>
    <w:rsid w:val="004D64E9"/>
    <w:pPr>
      <w:spacing w:before="200" w:after="200"/>
    </w:pPr>
  </w:style>
  <w:style w:type="paragraph" w:customStyle="1" w:styleId="Equationwhere">
    <w:name w:val="Equation (where:)"/>
    <w:basedOn w:val="Equation"/>
    <w:uiPriority w:val="98"/>
    <w:rsid w:val="00C028AB"/>
    <w:pPr>
      <w:spacing w:before="120" w:after="60"/>
    </w:pPr>
  </w:style>
  <w:style w:type="paragraph" w:customStyle="1" w:styleId="EquationLegend">
    <w:name w:val="Equation Legend"/>
    <w:basedOn w:val="Equationwhere"/>
    <w:uiPriority w:val="98"/>
    <w:rsid w:val="00C028AB"/>
    <w:pPr>
      <w:spacing w:before="60" w:after="0"/>
      <w:ind w:left="1800"/>
    </w:pPr>
  </w:style>
  <w:style w:type="paragraph" w:customStyle="1" w:styleId="TBL-TextCtr">
    <w:name w:val="TBL - Text Ctr"/>
    <w:basedOn w:val="TBL-Text"/>
    <w:uiPriority w:val="8"/>
    <w:rsid w:val="007075D5"/>
    <w:pPr>
      <w:jc w:val="center"/>
    </w:pPr>
  </w:style>
  <w:style w:type="paragraph" w:customStyle="1" w:styleId="TBL-ColumnHeadLeft">
    <w:name w:val="TBL - Column Head Left"/>
    <w:basedOn w:val="TBL-ColumnHead"/>
    <w:uiPriority w:val="8"/>
    <w:rsid w:val="00686909"/>
    <w:pPr>
      <w:jc w:val="left"/>
    </w:pPr>
  </w:style>
  <w:style w:type="character" w:styleId="PlaceholderText">
    <w:name w:val="Placeholder Text"/>
    <w:basedOn w:val="DefaultParagraphFont"/>
    <w:uiPriority w:val="99"/>
    <w:semiHidden/>
    <w:rsid w:val="00A43533"/>
    <w:rPr>
      <w:rFonts w:cs="Times New Roman"/>
      <w:color w:val="808080"/>
    </w:rPr>
  </w:style>
  <w:style w:type="paragraph" w:customStyle="1" w:styleId="SpecItemNumber">
    <w:name w:val="Spec Item Number"/>
    <w:basedOn w:val="Title"/>
    <w:next w:val="SpecTitle"/>
    <w:uiPriority w:val="6"/>
    <w:qFormat/>
    <w:rsid w:val="00686909"/>
    <w:pPr>
      <w:spacing w:after="120"/>
    </w:pPr>
  </w:style>
  <w:style w:type="paragraph" w:customStyle="1" w:styleId="SpecTitle">
    <w:name w:val="Spec Title"/>
    <w:basedOn w:val="Subtitle"/>
    <w:next w:val="Heading1"/>
    <w:uiPriority w:val="7"/>
    <w:qFormat/>
    <w:rsid w:val="00686909"/>
  </w:style>
  <w:style w:type="paragraph" w:styleId="ListBullet2">
    <w:name w:val="List Bullet 2"/>
    <w:basedOn w:val="Normal"/>
    <w:uiPriority w:val="99"/>
    <w:unhideWhenUsed/>
    <w:rsid w:val="00686909"/>
    <w:pPr>
      <w:tabs>
        <w:tab w:val="num" w:pos="720"/>
        <w:tab w:val="num" w:pos="1080"/>
        <w:tab w:val="num" w:pos="1440"/>
        <w:tab w:val="num" w:pos="1800"/>
      </w:tabs>
      <w:spacing w:after="60" w:line="240" w:lineRule="auto"/>
      <w:ind w:left="720" w:hanging="360"/>
      <w:contextualSpacing/>
    </w:pPr>
    <w:rPr>
      <w:sz w:val="20"/>
      <w:szCs w:val="20"/>
    </w:rPr>
  </w:style>
  <w:style w:type="paragraph" w:styleId="ListBullet3">
    <w:name w:val="List Bullet 3"/>
    <w:basedOn w:val="ListBullet2"/>
    <w:uiPriority w:val="99"/>
    <w:unhideWhenUsed/>
    <w:rsid w:val="00550F1F"/>
    <w:pPr>
      <w:tabs>
        <w:tab w:val="num" w:pos="2340"/>
      </w:tabs>
      <w:ind w:left="2333"/>
    </w:pPr>
  </w:style>
  <w:style w:type="paragraph" w:styleId="NoSpacing">
    <w:name w:val="No Spacing"/>
    <w:aliases w:val="Main Body Text"/>
    <w:basedOn w:val="Normal"/>
    <w:uiPriority w:val="5"/>
    <w:qFormat/>
    <w:rsid w:val="00686909"/>
    <w:pPr>
      <w:spacing w:before="240" w:after="60" w:line="240" w:lineRule="auto"/>
      <w:ind w:left="1440"/>
    </w:pPr>
    <w:rPr>
      <w:sz w:val="20"/>
      <w:szCs w:val="20"/>
    </w:rPr>
  </w:style>
  <w:style w:type="table" w:styleId="TableGrid">
    <w:name w:val="Table Grid"/>
    <w:basedOn w:val="TableNormal"/>
    <w:uiPriority w:val="59"/>
    <w:rsid w:val="007075D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99"/>
    <w:qFormat/>
    <w:rsid w:val="007831A5"/>
    <w:rPr>
      <w:rFonts w:cs="Times New Roman"/>
      <w:i/>
      <w:iCs/>
    </w:rPr>
  </w:style>
  <w:style w:type="paragraph" w:customStyle="1" w:styleId="Default">
    <w:name w:val="Default"/>
    <w:uiPriority w:val="99"/>
    <w:rsid w:val="007831A5"/>
    <w:pPr>
      <w:autoSpaceDE w:val="0"/>
      <w:autoSpaceDN w:val="0"/>
      <w:adjustRightInd w:val="0"/>
    </w:pPr>
    <w:rPr>
      <w:rFonts w:ascii="Times New Roman" w:hAnsi="Times New Roman" w:cs="Times New Roman"/>
      <w:color w:val="000000"/>
      <w:sz w:val="24"/>
      <w:szCs w:val="24"/>
    </w:rPr>
  </w:style>
  <w:style w:type="character" w:styleId="Strong">
    <w:name w:val="Strong"/>
    <w:basedOn w:val="DefaultParagraphFont"/>
    <w:uiPriority w:val="99"/>
    <w:qFormat/>
    <w:rsid w:val="007831A5"/>
    <w:rPr>
      <w:rFonts w:cs="Times New Roman"/>
      <w:b/>
      <w:bCs/>
    </w:rPr>
  </w:style>
  <w:style w:type="paragraph" w:styleId="BalloonText">
    <w:name w:val="Balloon Text"/>
    <w:basedOn w:val="Normal"/>
    <w:link w:val="BalloonTextChar"/>
    <w:uiPriority w:val="99"/>
    <w:semiHidden/>
    <w:unhideWhenUsed/>
    <w:rsid w:val="002E6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E60AE"/>
    <w:rPr>
      <w:rFonts w:ascii="Segoe UI" w:hAnsi="Segoe UI" w:cs="Segoe UI"/>
      <w:sz w:val="18"/>
      <w:szCs w:val="18"/>
    </w:rPr>
  </w:style>
  <w:style w:type="character" w:styleId="CommentReference">
    <w:name w:val="annotation reference"/>
    <w:basedOn w:val="DefaultParagraphFont"/>
    <w:uiPriority w:val="99"/>
    <w:rsid w:val="002411A3"/>
    <w:rPr>
      <w:rFonts w:cs="Times New Roman"/>
      <w:sz w:val="16"/>
      <w:szCs w:val="16"/>
    </w:rPr>
  </w:style>
  <w:style w:type="paragraph" w:styleId="CommentText">
    <w:name w:val="annotation text"/>
    <w:basedOn w:val="Normal"/>
    <w:link w:val="CommentTextChar"/>
    <w:uiPriority w:val="99"/>
    <w:rsid w:val="002411A3"/>
    <w:pPr>
      <w:spacing w:line="240" w:lineRule="auto"/>
    </w:pPr>
    <w:rPr>
      <w:sz w:val="20"/>
      <w:szCs w:val="20"/>
    </w:rPr>
  </w:style>
  <w:style w:type="character" w:customStyle="1" w:styleId="CommentTextChar">
    <w:name w:val="Comment Text Char"/>
    <w:basedOn w:val="DefaultParagraphFont"/>
    <w:link w:val="CommentText"/>
    <w:uiPriority w:val="99"/>
    <w:locked/>
    <w:rsid w:val="002411A3"/>
    <w:rPr>
      <w:rFonts w:ascii="Arial Narrow" w:hAnsi="Arial Narrow" w:cs="Times New Roman"/>
    </w:rPr>
  </w:style>
  <w:style w:type="paragraph" w:styleId="CommentSubject">
    <w:name w:val="annotation subject"/>
    <w:basedOn w:val="CommentText"/>
    <w:next w:val="CommentText"/>
    <w:link w:val="CommentSubjectChar"/>
    <w:uiPriority w:val="99"/>
    <w:rsid w:val="002411A3"/>
    <w:rPr>
      <w:b/>
      <w:bCs/>
    </w:rPr>
  </w:style>
  <w:style w:type="character" w:customStyle="1" w:styleId="CommentSubjectChar">
    <w:name w:val="Comment Subject Char"/>
    <w:basedOn w:val="CommentTextChar"/>
    <w:link w:val="CommentSubject"/>
    <w:uiPriority w:val="99"/>
    <w:locked/>
    <w:rsid w:val="002411A3"/>
    <w:rPr>
      <w:rFonts w:ascii="Arial Narrow" w:hAnsi="Arial Narrow" w:cs="Times New Roman"/>
      <w:b/>
      <w:bCs/>
    </w:rPr>
  </w:style>
  <w:style w:type="paragraph" w:styleId="Revision">
    <w:name w:val="Revision"/>
    <w:hidden/>
    <w:uiPriority w:val="99"/>
    <w:semiHidden/>
    <w:rsid w:val="00A13B41"/>
    <w:rPr>
      <w:rFonts w:ascii="Arial Narrow" w:hAnsi="Arial Narrow" w:cs="Times New Roman"/>
      <w:sz w:val="22"/>
      <w:szCs w:val="22"/>
    </w:rPr>
  </w:style>
  <w:style w:type="character" w:styleId="Hyperlink">
    <w:name w:val="Hyperlink"/>
    <w:basedOn w:val="DefaultParagraphFont"/>
    <w:uiPriority w:val="99"/>
    <w:rsid w:val="00F22CF1"/>
    <w:rPr>
      <w:rFonts w:cs="Times New Roman"/>
      <w:color w:val="0000FF" w:themeColor="hyperlink"/>
      <w:u w:val="single"/>
    </w:rPr>
  </w:style>
  <w:style w:type="character" w:styleId="UnresolvedMention">
    <w:name w:val="Unresolved Mention"/>
    <w:basedOn w:val="DefaultParagraphFont"/>
    <w:uiPriority w:val="99"/>
    <w:semiHidden/>
    <w:unhideWhenUsed/>
    <w:rsid w:val="00F22CF1"/>
    <w:rPr>
      <w:rFonts w:cs="Times New Roman"/>
      <w:color w:val="605E5C"/>
      <w:shd w:val="clear" w:color="auto" w:fill="E1DFDD"/>
    </w:rPr>
  </w:style>
  <w:style w:type="character" w:styleId="FollowedHyperlink">
    <w:name w:val="FollowedHyperlink"/>
    <w:basedOn w:val="DefaultParagraphFont"/>
    <w:uiPriority w:val="99"/>
    <w:rsid w:val="00F22CF1"/>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060785">
      <w:marLeft w:val="0"/>
      <w:marRight w:val="0"/>
      <w:marTop w:val="0"/>
      <w:marBottom w:val="0"/>
      <w:divBdr>
        <w:top w:val="none" w:sz="0" w:space="0" w:color="auto"/>
        <w:left w:val="none" w:sz="0" w:space="0" w:color="auto"/>
        <w:bottom w:val="none" w:sz="0" w:space="0" w:color="auto"/>
        <w:right w:val="none" w:sz="0" w:space="0" w:color="auto"/>
      </w:divBdr>
    </w:div>
    <w:div w:id="12580607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xdot.txdotcm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2007-2%20TxDOT%202004%20Spec%20Book%20Update\Templates\2014%20Standard%20Specification%20Ite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E1A7CB5EB40D458DCC19F6B2645D8D" ma:contentTypeVersion="4" ma:contentTypeDescription="Create a new document." ma:contentTypeScope="" ma:versionID="1cdc67da9e4924dee85c4ff4438231ef">
  <xsd:schema xmlns:xsd="http://www.w3.org/2001/XMLSchema" xmlns:xs="http://www.w3.org/2001/XMLSchema" xmlns:p="http://schemas.microsoft.com/office/2006/metadata/properties" xmlns:ns2="ab1e4c56-ea8e-4403-a6bf-639f95a16829" targetNamespace="http://schemas.microsoft.com/office/2006/metadata/properties" ma:root="true" ma:fieldsID="349b106a01256cdf3c1dd9d6e5a7f7c4" ns2:_="">
    <xsd:import namespace="ab1e4c56-ea8e-4403-a6bf-639f95a168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e4c56-ea8e-4403-a6bf-639f95a168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CBF2EC-4398-47E0-B637-46418F4080C6}">
  <ds:schemaRefs>
    <ds:schemaRef ds:uri="http://schemas.openxmlformats.org/officeDocument/2006/bibliography"/>
  </ds:schemaRefs>
</ds:datastoreItem>
</file>

<file path=customXml/itemProps2.xml><?xml version="1.0" encoding="utf-8"?>
<ds:datastoreItem xmlns:ds="http://schemas.openxmlformats.org/officeDocument/2006/customXml" ds:itemID="{0B888932-5504-4B61-A2C5-152513D6B413}">
  <ds:schemaRefs>
    <ds:schemaRef ds:uri="http://schemas.microsoft.com/sharepoint/v3/contenttype/forms"/>
  </ds:schemaRefs>
</ds:datastoreItem>
</file>

<file path=customXml/itemProps3.xml><?xml version="1.0" encoding="utf-8"?>
<ds:datastoreItem xmlns:ds="http://schemas.openxmlformats.org/officeDocument/2006/customXml" ds:itemID="{9FCE4674-6D38-4BF5-87A8-6B27D6241002}">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ab1e4c56-ea8e-4403-a6bf-639f95a16829"/>
    <ds:schemaRef ds:uri="http://www.w3.org/XML/1998/namespace"/>
    <ds:schemaRef ds:uri="http://purl.org/dc/elements/1.1/"/>
  </ds:schemaRefs>
</ds:datastoreItem>
</file>

<file path=customXml/itemProps4.xml><?xml version="1.0" encoding="utf-8"?>
<ds:datastoreItem xmlns:ds="http://schemas.openxmlformats.org/officeDocument/2006/customXml" ds:itemID="{FD57D80E-2B47-4B62-A17B-663DDC6E9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e4c56-ea8e-4403-a6bf-639f95a16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2014 Standard Specification Item Template.dotx</Template>
  <TotalTime>3</TotalTime>
  <Pages>4</Pages>
  <Words>1745</Words>
  <Characters>9470</Characters>
  <Application>Microsoft Office Word</Application>
  <DocSecurity>0</DocSecurity>
  <Lines>78</Lines>
  <Paragraphs>22</Paragraphs>
  <ScaleCrop>false</ScaleCrop>
  <Company>Microsoft</Company>
  <LinksUpToDate>false</LinksUpToDate>
  <CharactersWithSpaces>11193</CharactersWithSpaces>
  <SharedDoc>false</SharedDoc>
  <HLinks>
    <vt:vector size="6" baseType="variant">
      <vt:variant>
        <vt:i4>2162796</vt:i4>
      </vt:variant>
      <vt:variant>
        <vt:i4>0</vt:i4>
      </vt:variant>
      <vt:variant>
        <vt:i4>0</vt:i4>
      </vt:variant>
      <vt:variant>
        <vt:i4>5</vt:i4>
      </vt:variant>
      <vt:variant>
        <vt:lpwstr>https://txdot.txdotcms.com/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Barfuss</dc:creator>
  <cp:keywords/>
  <dc:description/>
  <cp:lastModifiedBy>TxDOT</cp:lastModifiedBy>
  <cp:revision>5</cp:revision>
  <cp:lastPrinted>2014-09-16T22:08:00Z</cp:lastPrinted>
  <dcterms:created xsi:type="dcterms:W3CDTF">2024-02-27T22:02:00Z</dcterms:created>
  <dcterms:modified xsi:type="dcterms:W3CDTF">2024-02-28T20:34:00Z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0x010100CEE1A7CB5EB40D458DCC19F6B2645D8D</vt:lpwstr>
  </property>
</Properties>
</file>