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CC63" w14:textId="77777777" w:rsidR="00AD5110" w:rsidRPr="0002598E" w:rsidRDefault="00AD5110">
      <w:pPr>
        <w:jc w:val="center"/>
        <w:rPr>
          <w:szCs w:val="24"/>
        </w:rPr>
      </w:pPr>
      <w:r>
        <w:rPr>
          <w:szCs w:val="24"/>
          <w:lang w:val="es"/>
        </w:rPr>
        <w:t>Fecha:</w:t>
      </w:r>
      <w:r>
        <w:rPr>
          <w:szCs w:val="24"/>
          <w:lang w:val="es"/>
        </w:rPr>
        <w:fldChar w:fldCharType="begin">
          <w:ffData>
            <w:name w:val="Text1"/>
            <w:enabled/>
            <w:calcOnExit w:val="0"/>
            <w:textInput/>
          </w:ffData>
        </w:fldChar>
      </w:r>
      <w:bookmarkStart w:id="0" w:name="Text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0"/>
    </w:p>
    <w:p w14:paraId="7968D265" w14:textId="77777777" w:rsidR="00AD5110" w:rsidRPr="0002598E" w:rsidRDefault="00AD5110">
      <w:pPr>
        <w:jc w:val="center"/>
        <w:rPr>
          <w:szCs w:val="24"/>
          <w:u w:val="single"/>
        </w:rPr>
      </w:pPr>
    </w:p>
    <w:tbl>
      <w:tblPr>
        <w:tblW w:w="0" w:type="auto"/>
        <w:tblLayout w:type="fixed"/>
        <w:tblLook w:val="0000" w:firstRow="0" w:lastRow="0" w:firstColumn="0" w:lastColumn="0" w:noHBand="0" w:noVBand="0"/>
      </w:tblPr>
      <w:tblGrid>
        <w:gridCol w:w="4788"/>
        <w:gridCol w:w="4680"/>
      </w:tblGrid>
      <w:tr w:rsidR="00AD5110" w:rsidRPr="00597386" w14:paraId="47C1023A" w14:textId="77777777">
        <w:tc>
          <w:tcPr>
            <w:tcW w:w="4788" w:type="dxa"/>
          </w:tcPr>
          <w:p w14:paraId="455C6434" w14:textId="77777777" w:rsidR="00AD5110" w:rsidRPr="0002598E" w:rsidRDefault="00AD5110">
            <w:pPr>
              <w:jc w:val="both"/>
              <w:rPr>
                <w:szCs w:val="24"/>
              </w:rPr>
            </w:pPr>
            <w:r>
              <w:rPr>
                <w:szCs w:val="24"/>
                <w:lang w:val="es"/>
              </w:rPr>
              <w:t xml:space="preserve">Condado: </w:t>
            </w:r>
            <w:r>
              <w:rPr>
                <w:szCs w:val="24"/>
                <w:lang w:val="es"/>
              </w:rPr>
              <w:fldChar w:fldCharType="begin">
                <w:ffData>
                  <w:name w:val="Text4"/>
                  <w:enabled/>
                  <w:calcOnExit w:val="0"/>
                  <w:textInput/>
                </w:ffData>
              </w:fldChar>
            </w:r>
            <w:bookmarkStart w:id="1" w:name="Text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
          </w:p>
        </w:tc>
        <w:tc>
          <w:tcPr>
            <w:tcW w:w="4680" w:type="dxa"/>
          </w:tcPr>
          <w:p w14:paraId="047CEDF2" w14:textId="77777777" w:rsidR="00AD5110" w:rsidRPr="00597386" w:rsidRDefault="00AD5110" w:rsidP="00636281">
            <w:pPr>
              <w:ind w:left="870"/>
              <w:jc w:val="both"/>
              <w:rPr>
                <w:szCs w:val="24"/>
                <w:lang w:val="es-VE"/>
              </w:rPr>
            </w:pPr>
            <w:r>
              <w:rPr>
                <w:szCs w:val="24"/>
                <w:lang w:val="es"/>
              </w:rPr>
              <w:t>N.</w:t>
            </w:r>
            <w:r>
              <w:rPr>
                <w:szCs w:val="24"/>
                <w:vertAlign w:val="superscript"/>
                <w:lang w:val="es"/>
              </w:rPr>
              <w:t>o</w:t>
            </w:r>
            <w:r>
              <w:rPr>
                <w:szCs w:val="24"/>
                <w:lang w:val="es"/>
              </w:rPr>
              <w:t xml:space="preserve"> de proyecto federal: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AD5110" w:rsidRPr="0002598E" w14:paraId="54D5773B" w14:textId="77777777">
        <w:tc>
          <w:tcPr>
            <w:tcW w:w="4788" w:type="dxa"/>
          </w:tcPr>
          <w:p w14:paraId="527F5671" w14:textId="412F3FF3" w:rsidR="00AD5110" w:rsidRPr="00597386" w:rsidRDefault="00635BE0">
            <w:pPr>
              <w:jc w:val="both"/>
              <w:rPr>
                <w:szCs w:val="24"/>
                <w:lang w:val="es-VE"/>
              </w:rPr>
            </w:pPr>
            <w:r>
              <w:rPr>
                <w:szCs w:val="24"/>
                <w:lang w:val="es"/>
              </w:rPr>
              <w:t>Numero</w:t>
            </w:r>
            <w:r w:rsidR="00AD5110">
              <w:rPr>
                <w:szCs w:val="24"/>
                <w:lang w:val="es"/>
              </w:rPr>
              <w:t xml:space="preserve"> de Derecho de Paso (Right-of-Way, ROW) en Sección Controlada (Control Section Job, CSJ): </w:t>
            </w:r>
            <w:r w:rsidR="00AD5110">
              <w:rPr>
                <w:szCs w:val="24"/>
                <w:lang w:val="es"/>
              </w:rPr>
              <w:fldChar w:fldCharType="begin">
                <w:ffData>
                  <w:name w:val="Text5"/>
                  <w:enabled/>
                  <w:calcOnExit w:val="0"/>
                  <w:textInput/>
                </w:ffData>
              </w:fldChar>
            </w:r>
            <w:bookmarkStart w:id="2" w:name="Text5"/>
            <w:r w:rsidR="00AD5110">
              <w:rPr>
                <w:szCs w:val="24"/>
                <w:lang w:val="es"/>
              </w:rPr>
              <w:instrText xml:space="preserve"> FORMTEXT </w:instrText>
            </w:r>
            <w:r w:rsidR="00AD5110">
              <w:rPr>
                <w:szCs w:val="24"/>
                <w:lang w:val="es"/>
              </w:rPr>
            </w:r>
            <w:r w:rsidR="00AD5110">
              <w:rPr>
                <w:szCs w:val="24"/>
                <w:lang w:val="es"/>
              </w:rPr>
              <w:fldChar w:fldCharType="separate"/>
            </w:r>
            <w:r w:rsidR="00AD5110">
              <w:rPr>
                <w:noProof/>
                <w:szCs w:val="24"/>
                <w:lang w:val="es"/>
              </w:rPr>
              <w:t>     </w:t>
            </w:r>
            <w:r w:rsidR="00AD5110">
              <w:rPr>
                <w:szCs w:val="24"/>
                <w:lang w:val="es"/>
              </w:rPr>
              <w:fldChar w:fldCharType="end"/>
            </w:r>
            <w:bookmarkEnd w:id="2"/>
          </w:p>
        </w:tc>
        <w:tc>
          <w:tcPr>
            <w:tcW w:w="4680" w:type="dxa"/>
          </w:tcPr>
          <w:p w14:paraId="7A24120D" w14:textId="77777777" w:rsidR="00AD5110" w:rsidRPr="0002598E" w:rsidRDefault="00AD5110" w:rsidP="00636281">
            <w:pPr>
              <w:ind w:left="870"/>
              <w:jc w:val="both"/>
              <w:rPr>
                <w:szCs w:val="24"/>
              </w:rPr>
            </w:pPr>
            <w:proofErr w:type="spellStart"/>
            <w:r>
              <w:rPr>
                <w:szCs w:val="24"/>
                <w:lang w:val="es"/>
              </w:rPr>
              <w:t>N.</w:t>
            </w:r>
            <w:r>
              <w:rPr>
                <w:szCs w:val="24"/>
                <w:vertAlign w:val="superscript"/>
                <w:lang w:val="es"/>
              </w:rPr>
              <w:t>o</w:t>
            </w:r>
            <w:proofErr w:type="spellEnd"/>
            <w:r>
              <w:rPr>
                <w:szCs w:val="24"/>
                <w:lang w:val="es"/>
              </w:rPr>
              <w:t xml:space="preserve"> de autopista: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AD5110" w:rsidRPr="0002598E" w14:paraId="4EE76EB5" w14:textId="77777777">
        <w:tc>
          <w:tcPr>
            <w:tcW w:w="4788" w:type="dxa"/>
          </w:tcPr>
          <w:p w14:paraId="1C4BEBAD" w14:textId="1FA35438" w:rsidR="00AD5110" w:rsidRPr="0002598E" w:rsidRDefault="00AD5110">
            <w:pPr>
              <w:jc w:val="both"/>
              <w:rPr>
                <w:szCs w:val="24"/>
              </w:rPr>
            </w:pPr>
            <w:r>
              <w:rPr>
                <w:szCs w:val="24"/>
                <w:lang w:val="es"/>
              </w:rPr>
              <w:t xml:space="preserve">Identificación de lote: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c>
          <w:tcPr>
            <w:tcW w:w="4680" w:type="dxa"/>
          </w:tcPr>
          <w:p w14:paraId="279D0C23" w14:textId="77777777" w:rsidR="00AD5110" w:rsidRPr="0002598E" w:rsidRDefault="00AD5110">
            <w:pPr>
              <w:jc w:val="both"/>
              <w:rPr>
                <w:szCs w:val="24"/>
              </w:rPr>
            </w:pPr>
          </w:p>
        </w:tc>
      </w:tr>
      <w:tr w:rsidR="00AD5110" w:rsidRPr="00597386" w14:paraId="4D19A2E5" w14:textId="77777777">
        <w:trPr>
          <w:cantSplit/>
        </w:trPr>
        <w:tc>
          <w:tcPr>
            <w:tcW w:w="9468" w:type="dxa"/>
            <w:gridSpan w:val="2"/>
          </w:tcPr>
          <w:p w14:paraId="1F8F0759" w14:textId="77777777" w:rsidR="00AD5110" w:rsidRPr="00597386" w:rsidRDefault="00AD5110">
            <w:pPr>
              <w:jc w:val="both"/>
              <w:rPr>
                <w:szCs w:val="24"/>
                <w:lang w:val="es-VE"/>
              </w:rPr>
            </w:pPr>
            <w:r>
              <w:rPr>
                <w:szCs w:val="24"/>
                <w:lang w:val="es"/>
              </w:rPr>
              <w:t xml:space="preserve">Límites del proyecto:  desde </w:t>
            </w:r>
            <w:r>
              <w:rPr>
                <w:szCs w:val="24"/>
                <w:lang w:val="es"/>
              </w:rPr>
              <w:fldChar w:fldCharType="begin">
                <w:ffData>
                  <w:name w:val="Text2"/>
                  <w:enabled/>
                  <w:calcOnExit w:val="0"/>
                  <w:textInput/>
                </w:ffData>
              </w:fldChar>
            </w:r>
            <w:bookmarkStart w:id="3" w:name="Text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3"/>
            <w:r>
              <w:rPr>
                <w:szCs w:val="24"/>
                <w:lang w:val="es"/>
              </w:rPr>
              <w:t xml:space="preserve"> hasta </w:t>
            </w:r>
            <w:r>
              <w:rPr>
                <w:szCs w:val="24"/>
                <w:lang w:val="es"/>
              </w:rPr>
              <w:fldChar w:fldCharType="begin">
                <w:ffData>
                  <w:name w:val="Text3"/>
                  <w:enabled/>
                  <w:calcOnExit w:val="0"/>
                  <w:textInput/>
                </w:ffData>
              </w:fldChar>
            </w:r>
            <w:bookmarkStart w:id="4" w:name="Text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4"/>
          </w:p>
        </w:tc>
      </w:tr>
    </w:tbl>
    <w:p w14:paraId="6B8B028E" w14:textId="77777777" w:rsidR="00AD5110" w:rsidRPr="00597386" w:rsidRDefault="00AD5110">
      <w:pPr>
        <w:jc w:val="both"/>
        <w:rPr>
          <w:szCs w:val="24"/>
          <w:lang w:val="es-VE"/>
        </w:rPr>
      </w:pPr>
    </w:p>
    <w:tbl>
      <w:tblPr>
        <w:tblW w:w="0" w:type="auto"/>
        <w:tblLayout w:type="fixed"/>
        <w:tblLook w:val="0000" w:firstRow="0" w:lastRow="0" w:firstColumn="0" w:lastColumn="0" w:noHBand="0" w:noVBand="0"/>
      </w:tblPr>
      <w:tblGrid>
        <w:gridCol w:w="4608"/>
      </w:tblGrid>
      <w:tr w:rsidR="00AD5110" w:rsidRPr="0002598E" w14:paraId="1A96C1D7" w14:textId="77777777">
        <w:tc>
          <w:tcPr>
            <w:tcW w:w="4608" w:type="dxa"/>
          </w:tcPr>
          <w:p w14:paraId="4EEDF9D8" w14:textId="77777777" w:rsidR="00AD5110" w:rsidRPr="0002598E" w:rsidRDefault="00AD5110">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AD5110" w:rsidRPr="0002598E" w14:paraId="546448F1" w14:textId="77777777">
        <w:tc>
          <w:tcPr>
            <w:tcW w:w="4608" w:type="dxa"/>
          </w:tcPr>
          <w:p w14:paraId="24971DF0" w14:textId="77777777" w:rsidR="00AD5110" w:rsidRPr="0002598E" w:rsidRDefault="00AD5110">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AD5110" w:rsidRPr="0002598E" w14:paraId="4699184C" w14:textId="77777777">
        <w:tc>
          <w:tcPr>
            <w:tcW w:w="4608" w:type="dxa"/>
          </w:tcPr>
          <w:p w14:paraId="264F2DB4" w14:textId="77777777" w:rsidR="00AD5110" w:rsidRPr="0002598E" w:rsidRDefault="00AD5110">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bl>
    <w:p w14:paraId="7A460781" w14:textId="77777777" w:rsidR="00AD5110" w:rsidRPr="0002598E" w:rsidRDefault="00AD5110">
      <w:pPr>
        <w:jc w:val="both"/>
        <w:rPr>
          <w:szCs w:val="24"/>
        </w:rPr>
      </w:pPr>
    </w:p>
    <w:p w14:paraId="6B9ACF48" w14:textId="6841AE5A" w:rsidR="00AD5110" w:rsidRDefault="00AD5110">
      <w:pPr>
        <w:jc w:val="both"/>
        <w:rPr>
          <w:szCs w:val="24"/>
          <w:lang w:val="es"/>
        </w:rPr>
      </w:pPr>
      <w:r>
        <w:rPr>
          <w:szCs w:val="24"/>
          <w:lang w:val="es"/>
        </w:rPr>
        <w:t xml:space="preserve">Estimado/a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w:t>
      </w:r>
    </w:p>
    <w:p w14:paraId="3ACAACFB" w14:textId="0C5ADD72" w:rsidR="00597386" w:rsidRDefault="00597386">
      <w:pPr>
        <w:jc w:val="both"/>
        <w:rPr>
          <w:szCs w:val="24"/>
          <w:lang w:val="es"/>
        </w:rPr>
      </w:pPr>
    </w:p>
    <w:p w14:paraId="01E87053" w14:textId="2E2D918A" w:rsidR="00597386" w:rsidRDefault="00597386" w:rsidP="00597386">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EA7807"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14EE241A" w14:textId="77777777" w:rsidR="00597386" w:rsidRPr="0002598E" w:rsidRDefault="00597386">
      <w:pPr>
        <w:jc w:val="both"/>
        <w:rPr>
          <w:szCs w:val="24"/>
        </w:rPr>
      </w:pPr>
    </w:p>
    <w:p w14:paraId="11625B05" w14:textId="77777777" w:rsidR="00AD5110" w:rsidRPr="00597386" w:rsidRDefault="00AD5110">
      <w:pPr>
        <w:jc w:val="both"/>
        <w:rPr>
          <w:szCs w:val="24"/>
          <w:lang w:val="es-VE"/>
        </w:rPr>
      </w:pPr>
      <w:r>
        <w:rPr>
          <w:szCs w:val="24"/>
          <w:lang w:val="es"/>
        </w:rPr>
        <w:t>Tome nota de todas y cada una de las declaraciones siguientes:</w:t>
      </w:r>
    </w:p>
    <w:p w14:paraId="054A7D5A" w14:textId="77777777" w:rsidR="00AD5110" w:rsidRPr="00597386" w:rsidRDefault="00AD5110">
      <w:pPr>
        <w:jc w:val="both"/>
        <w:rPr>
          <w:szCs w:val="24"/>
          <w:lang w:val="es-VE"/>
        </w:rPr>
      </w:pPr>
    </w:p>
    <w:p w14:paraId="15B79175" w14:textId="77777777" w:rsidR="00AD5110" w:rsidRPr="00597386" w:rsidRDefault="00AD5110">
      <w:pPr>
        <w:numPr>
          <w:ilvl w:val="0"/>
          <w:numId w:val="3"/>
        </w:numPr>
        <w:jc w:val="both"/>
        <w:rPr>
          <w:szCs w:val="24"/>
          <w:lang w:val="es-VE"/>
        </w:rPr>
      </w:pPr>
      <w:r>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3E53EBFA" w14:textId="77777777" w:rsidR="00AD5110" w:rsidRPr="00597386" w:rsidRDefault="00AD5110">
      <w:pPr>
        <w:widowControl w:val="0"/>
        <w:tabs>
          <w:tab w:val="left" w:pos="0"/>
        </w:tabs>
        <w:rPr>
          <w:szCs w:val="24"/>
          <w:lang w:val="es-VE"/>
        </w:rPr>
      </w:pPr>
    </w:p>
    <w:p w14:paraId="3490B1AF" w14:textId="77777777" w:rsidR="00AD5110" w:rsidRPr="00597386" w:rsidRDefault="00AD5110">
      <w:pPr>
        <w:numPr>
          <w:ilvl w:val="0"/>
          <w:numId w:val="3"/>
        </w:numPr>
        <w:jc w:val="both"/>
        <w:rPr>
          <w:szCs w:val="24"/>
          <w:lang w:val="es-VE"/>
        </w:rPr>
      </w:pPr>
      <w:r>
        <w:rPr>
          <w:szCs w:val="24"/>
          <w:lang w:val="es"/>
        </w:rPr>
        <w:t>También puede tener derecho a los costos de mudanza, como se explica en nuestro folleto. Sin embargo, estos costos se limitan a los bienes muebles y no incluyen los costos de mudanza de bienes inmuebles.</w:t>
      </w:r>
    </w:p>
    <w:p w14:paraId="2DFD5493" w14:textId="77777777" w:rsidR="00AD5110" w:rsidRPr="00597386" w:rsidRDefault="00AD5110">
      <w:pPr>
        <w:ind w:left="720" w:hanging="360"/>
        <w:jc w:val="both"/>
        <w:rPr>
          <w:szCs w:val="24"/>
          <w:lang w:val="es-VE"/>
        </w:rPr>
      </w:pPr>
    </w:p>
    <w:p w14:paraId="6AA2689C" w14:textId="6B8B0F95" w:rsidR="00AD5110" w:rsidRPr="00597386" w:rsidRDefault="00AD5110">
      <w:pPr>
        <w:numPr>
          <w:ilvl w:val="0"/>
          <w:numId w:val="3"/>
        </w:numPr>
        <w:jc w:val="both"/>
        <w:rPr>
          <w:szCs w:val="24"/>
          <w:lang w:val="es-VE"/>
        </w:rPr>
      </w:pPr>
      <w:r>
        <w:rPr>
          <w:szCs w:val="24"/>
          <w:lang w:val="es"/>
        </w:rPr>
        <w:t>La solicitud de los pagos de asistencia para la reubicación debe realizarse por escrito en formularios estándar proporcionados por e</w:t>
      </w:r>
      <w:r w:rsidR="00597386">
        <w:rPr>
          <w:szCs w:val="24"/>
          <w:lang w:val="es"/>
        </w:rPr>
        <w:t>l</w:t>
      </w:r>
      <w:r>
        <w:rPr>
          <w:szCs w:val="24"/>
          <w:lang w:val="es"/>
        </w:rPr>
        <w:t xml:space="preserve"> Departamento</w:t>
      </w:r>
      <w:r w:rsidR="00597386">
        <w:rPr>
          <w:szCs w:val="24"/>
          <w:lang w:val="es"/>
        </w:rPr>
        <w:t xml:space="preserve"> de Transporte de Texas</w:t>
      </w:r>
      <w:r>
        <w:rPr>
          <w:szCs w:val="24"/>
          <w:lang w:val="es"/>
        </w:rPr>
        <w:t xml:space="preserve"> y debe </w:t>
      </w:r>
      <w:r>
        <w:rPr>
          <w:szCs w:val="24"/>
          <w:lang w:val="es"/>
        </w:rPr>
        <w:lastRenderedPageBreak/>
        <w:t>presentarse ante el mismo a más tardar dieciocho (18) meses después de la fecha en que realmente se mudará del lote.</w:t>
      </w:r>
    </w:p>
    <w:p w14:paraId="7394275F" w14:textId="77777777" w:rsidR="00AD5110" w:rsidRPr="00597386" w:rsidRDefault="00AD5110">
      <w:pPr>
        <w:jc w:val="both"/>
        <w:rPr>
          <w:szCs w:val="24"/>
          <w:lang w:val="es-VE"/>
        </w:rPr>
      </w:pPr>
    </w:p>
    <w:p w14:paraId="15B76DA3" w14:textId="77777777" w:rsidR="00AD5110" w:rsidRPr="00597386" w:rsidRDefault="00AD5110">
      <w:pPr>
        <w:numPr>
          <w:ilvl w:val="0"/>
          <w:numId w:val="3"/>
        </w:numPr>
        <w:jc w:val="both"/>
        <w:rPr>
          <w:szCs w:val="24"/>
          <w:lang w:val="es-VE"/>
        </w:rPr>
      </w:pPr>
      <w:r>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38F5BF16" w14:textId="77777777" w:rsidR="00AD5110" w:rsidRPr="00597386" w:rsidRDefault="00AD5110">
      <w:pPr>
        <w:ind w:left="720" w:hanging="360"/>
        <w:jc w:val="both"/>
        <w:rPr>
          <w:szCs w:val="24"/>
          <w:lang w:val="es-VE"/>
        </w:rPr>
      </w:pPr>
    </w:p>
    <w:p w14:paraId="46B083A9" w14:textId="77777777" w:rsidR="00AD5110" w:rsidRPr="00597386" w:rsidRDefault="00AD5110">
      <w:pPr>
        <w:numPr>
          <w:ilvl w:val="0"/>
          <w:numId w:val="3"/>
        </w:numPr>
        <w:jc w:val="both"/>
        <w:rPr>
          <w:szCs w:val="24"/>
          <w:lang w:val="es-VE"/>
        </w:rPr>
      </w:pPr>
      <w:r>
        <w:rPr>
          <w:szCs w:val="24"/>
          <w:lang w:val="es"/>
        </w:rPr>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7CB7CDF9" w14:textId="77777777" w:rsidR="00AD5110" w:rsidRPr="00597386" w:rsidRDefault="00AD5110">
      <w:pPr>
        <w:jc w:val="both"/>
        <w:rPr>
          <w:szCs w:val="24"/>
          <w:lang w:val="es-VE"/>
        </w:rPr>
      </w:pPr>
    </w:p>
    <w:p w14:paraId="7D53201B" w14:textId="77777777" w:rsidR="00597386" w:rsidRDefault="00AD5110">
      <w:pPr>
        <w:jc w:val="both"/>
        <w:rPr>
          <w:szCs w:val="24"/>
          <w:lang w:val="es"/>
        </w:rPr>
      </w:pPr>
      <w:r>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w:t>
      </w:r>
    </w:p>
    <w:p w14:paraId="1E634FF9" w14:textId="77777777" w:rsidR="00597386" w:rsidRDefault="00597386">
      <w:pPr>
        <w:jc w:val="both"/>
        <w:rPr>
          <w:szCs w:val="24"/>
          <w:lang w:val="es"/>
        </w:rPr>
      </w:pPr>
    </w:p>
    <w:p w14:paraId="3265B2A8" w14:textId="7903B5D3" w:rsidR="00AD5110" w:rsidRPr="00597386" w:rsidRDefault="00AD5110">
      <w:pPr>
        <w:jc w:val="both"/>
        <w:rPr>
          <w:szCs w:val="24"/>
          <w:lang w:val="es-VE"/>
        </w:rPr>
      </w:pPr>
      <w:r>
        <w:rPr>
          <w:szCs w:val="24"/>
          <w:lang w:val="es"/>
        </w:rPr>
        <w:t xml:space="preserve">Si desea alguna ayuda de este tipo, comuníquese con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o visite la oficina del Departamento de Transporte de Texas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caso de que no pueda comunicarse con nuestra oficina entre las 8 a. m. y las 5 p. m., puede llamar 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entre las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Nuestra persona de contacto colaborará con usted para programar una cita a la hora y en el lugar que le resulte más conveniente.</w:t>
      </w:r>
    </w:p>
    <w:p w14:paraId="0283B1C6" w14:textId="1777F99C" w:rsidR="00AD5110" w:rsidRPr="00597386" w:rsidRDefault="00745605">
      <w:pPr>
        <w:jc w:val="both"/>
        <w:rPr>
          <w:szCs w:val="24"/>
          <w:lang w:val="es-VE"/>
        </w:rPr>
      </w:pPr>
      <w:r w:rsidRPr="00636FF4">
        <w:rPr>
          <w:noProof/>
          <w:sz w:val="20"/>
          <w:u w:val="single"/>
          <w:lang w:val="es-US"/>
        </w:rPr>
        <w:drawing>
          <wp:anchor distT="0" distB="0" distL="114300" distR="114300" simplePos="0" relativeHeight="251659264" behindDoc="1" locked="0" layoutInCell="1" allowOverlap="1" wp14:anchorId="7AA502A6" wp14:editId="109A175A">
            <wp:simplePos x="0" y="0"/>
            <wp:positionH relativeFrom="column">
              <wp:posOffset>213360</wp:posOffset>
            </wp:positionH>
            <wp:positionV relativeFrom="paragraph">
              <wp:posOffset>91440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1147AB23" w14:textId="77777777" w:rsidR="00AD5110" w:rsidRPr="00597386" w:rsidRDefault="00AD5110">
      <w:pPr>
        <w:ind w:left="4320"/>
        <w:jc w:val="both"/>
        <w:rPr>
          <w:szCs w:val="24"/>
          <w:lang w:val="es-VE"/>
        </w:rPr>
      </w:pPr>
      <w:r>
        <w:rPr>
          <w:szCs w:val="24"/>
          <w:lang w:val="es"/>
        </w:rPr>
        <w:t>Atentamente,</w:t>
      </w:r>
    </w:p>
    <w:p w14:paraId="057D05A8" w14:textId="6A88A6E8" w:rsidR="00AD5110" w:rsidRPr="00597386" w:rsidRDefault="00AD5110">
      <w:pPr>
        <w:ind w:left="4320"/>
        <w:jc w:val="both"/>
        <w:rPr>
          <w:szCs w:val="24"/>
          <w:lang w:val="es-VE"/>
        </w:rPr>
      </w:pPr>
    </w:p>
    <w:p w14:paraId="284EC165" w14:textId="77777777" w:rsidR="00AD5110" w:rsidRPr="00597386" w:rsidRDefault="00AD5110">
      <w:pPr>
        <w:ind w:left="4320"/>
        <w:jc w:val="both"/>
        <w:rPr>
          <w:szCs w:val="24"/>
          <w:lang w:val="es-VE"/>
        </w:rPr>
      </w:pPr>
    </w:p>
    <w:p w14:paraId="705DFE7B" w14:textId="77777777" w:rsidR="00AD5110" w:rsidRPr="00597386" w:rsidRDefault="00AD5110">
      <w:pPr>
        <w:ind w:left="4320"/>
        <w:jc w:val="both"/>
        <w:rPr>
          <w:szCs w:val="24"/>
          <w:u w:val="single"/>
          <w:lang w:val="es-VE"/>
        </w:rPr>
      </w:pP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p>
    <w:p w14:paraId="60F896C3" w14:textId="77777777" w:rsidR="00AD5110" w:rsidRPr="00597386" w:rsidRDefault="00AD5110">
      <w:pPr>
        <w:ind w:left="4320"/>
        <w:jc w:val="both"/>
        <w:rPr>
          <w:szCs w:val="24"/>
          <w:lang w:val="es-VE"/>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p w14:paraId="3BBCAE34" w14:textId="6A059969" w:rsidR="00AD5110" w:rsidRPr="00597386" w:rsidRDefault="00AD5110">
      <w:pPr>
        <w:ind w:left="4320"/>
        <w:jc w:val="both"/>
        <w:rPr>
          <w:szCs w:val="24"/>
          <w:lang w:val="es-VE"/>
        </w:rPr>
      </w:pPr>
      <w:r>
        <w:rPr>
          <w:szCs w:val="24"/>
          <w:lang w:val="es"/>
        </w:rPr>
        <w:t xml:space="preserve">Distrito de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Departamento de Transporte de Texas.</w:t>
      </w:r>
    </w:p>
    <w:p w14:paraId="5073C1ED" w14:textId="77777777" w:rsidR="00AD5110" w:rsidRPr="00597386" w:rsidRDefault="00AD5110">
      <w:pPr>
        <w:jc w:val="both"/>
        <w:rPr>
          <w:szCs w:val="24"/>
          <w:lang w:val="es-VE"/>
        </w:rPr>
      </w:pPr>
    </w:p>
    <w:p w14:paraId="03E3946B" w14:textId="77777777" w:rsidR="00AD5110" w:rsidRPr="00597386" w:rsidRDefault="00AD5110">
      <w:pPr>
        <w:jc w:val="both"/>
        <w:rPr>
          <w:szCs w:val="24"/>
          <w:lang w:val="es-VE"/>
        </w:rPr>
      </w:pPr>
    </w:p>
    <w:p w14:paraId="4CC16EE3" w14:textId="77777777" w:rsidR="00AD5110" w:rsidRPr="00597386" w:rsidRDefault="00AD5110">
      <w:pPr>
        <w:jc w:val="both"/>
        <w:rPr>
          <w:szCs w:val="24"/>
          <w:lang w:val="es-VE"/>
        </w:rPr>
      </w:pPr>
    </w:p>
    <w:p w14:paraId="33C7E623" w14:textId="77777777" w:rsidR="00AD5110" w:rsidRPr="0002598E" w:rsidRDefault="00AD5110">
      <w:pPr>
        <w:jc w:val="both"/>
        <w:rPr>
          <w:szCs w:val="24"/>
        </w:rPr>
      </w:pPr>
      <w:r>
        <w:rPr>
          <w:szCs w:val="24"/>
          <w:lang w:val="es"/>
        </w:rPr>
        <w:t>Adjunto(s)</w:t>
      </w:r>
    </w:p>
    <w:sectPr w:rsidR="00AD5110" w:rsidRPr="0002598E" w:rsidSect="001966B4">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26CF" w14:textId="77777777" w:rsidR="000726DA" w:rsidRDefault="000726DA">
      <w:r>
        <w:separator/>
      </w:r>
    </w:p>
  </w:endnote>
  <w:endnote w:type="continuationSeparator" w:id="0">
    <w:p w14:paraId="146E4A7E" w14:textId="77777777" w:rsidR="000726DA" w:rsidRDefault="0007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B4D5" w14:textId="77777777" w:rsidR="0002598E" w:rsidRDefault="0002598E" w:rsidP="0002598E">
    <w:pPr>
      <w:keepLines/>
      <w:ind w:right="568"/>
      <w:rPr>
        <w:rFonts w:ascii="Arial" w:hAnsi="Arial" w:cs="Arial"/>
        <w:sz w:val="14"/>
        <w:szCs w:val="14"/>
      </w:rPr>
    </w:pPr>
  </w:p>
  <w:p w14:paraId="11D34CF5" w14:textId="526E4968" w:rsidR="00CA058F" w:rsidRPr="00597386" w:rsidRDefault="0002598E" w:rsidP="0002598E">
    <w:pPr>
      <w:keepLines/>
      <w:ind w:right="568"/>
      <w:rPr>
        <w:rFonts w:ascii="Arial" w:hAnsi="Arial" w:cs="Arial"/>
        <w:sz w:val="14"/>
        <w:szCs w:val="14"/>
        <w:lang w:val="es-VE"/>
      </w:rPr>
    </w:pPr>
    <w:r>
      <w:rPr>
        <w:rFonts w:ascii="Arial" w:hAnsi="Arial" w:cs="Arial"/>
        <w:sz w:val="14"/>
        <w:szCs w:val="14"/>
        <w:lang w:val="es"/>
      </w:rPr>
      <w:t>Formulario ROW-LPA-RONRC</w:t>
    </w:r>
    <w:r w:rsidR="00635BE0">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EA7807">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636281">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636281">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72DF" w14:textId="77777777" w:rsidR="0002598E" w:rsidRDefault="0002598E" w:rsidP="0002598E">
    <w:pPr>
      <w:keepLines/>
      <w:ind w:right="568"/>
      <w:rPr>
        <w:rFonts w:ascii="Arial" w:hAnsi="Arial" w:cs="Arial"/>
        <w:sz w:val="14"/>
        <w:szCs w:val="14"/>
      </w:rPr>
    </w:pPr>
  </w:p>
  <w:p w14:paraId="230E67EE" w14:textId="63C246B2" w:rsidR="00CA058F" w:rsidRPr="00597386" w:rsidRDefault="0002598E" w:rsidP="0002598E">
    <w:pPr>
      <w:keepLines/>
      <w:ind w:right="568"/>
      <w:rPr>
        <w:rFonts w:ascii="Arial" w:hAnsi="Arial" w:cs="Arial"/>
        <w:sz w:val="14"/>
        <w:szCs w:val="14"/>
        <w:lang w:val="es-VE"/>
      </w:rPr>
    </w:pPr>
    <w:r>
      <w:rPr>
        <w:rFonts w:ascii="Arial" w:hAnsi="Arial" w:cs="Arial"/>
        <w:sz w:val="14"/>
        <w:szCs w:val="14"/>
        <w:lang w:val="es"/>
      </w:rPr>
      <w:t>Formulario ROW-LPA-RONRC</w:t>
    </w:r>
    <w:r w:rsidR="00635BE0">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EA7807">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636281">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636281">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8435" w14:textId="77777777" w:rsidR="000726DA" w:rsidRDefault="000726DA">
      <w:r>
        <w:separator/>
      </w:r>
    </w:p>
  </w:footnote>
  <w:footnote w:type="continuationSeparator" w:id="0">
    <w:p w14:paraId="2871AC2C" w14:textId="77777777" w:rsidR="000726DA" w:rsidRDefault="00072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3B77" w14:textId="5B3028FD" w:rsidR="00221EDD" w:rsidRDefault="000726DA">
    <w:pPr>
      <w:pStyle w:val="Header"/>
    </w:pPr>
    <w:r>
      <w:rPr>
        <w:noProof/>
      </w:rPr>
      <w:pict w14:anchorId="65071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9204"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3568" w14:textId="66B40848" w:rsidR="00CA058F" w:rsidRDefault="000726DA">
    <w:pPr>
      <w:pStyle w:val="Header"/>
    </w:pPr>
    <w:r>
      <w:rPr>
        <w:noProof/>
      </w:rPr>
      <w:pict w14:anchorId="3BE42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9205"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16455A" w:rsidRPr="007C2F32" w14:paraId="57406D74" w14:textId="77777777" w:rsidTr="009B5D2F">
      <w:tc>
        <w:tcPr>
          <w:tcW w:w="4855" w:type="dxa"/>
        </w:tcPr>
        <w:p w14:paraId="59617530" w14:textId="77777777" w:rsidR="0016455A" w:rsidRPr="007C2F32" w:rsidRDefault="0016455A" w:rsidP="0016455A">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0AD98E9A" w14:textId="77777777" w:rsidR="0016455A" w:rsidRPr="007C2F32" w:rsidRDefault="0016455A" w:rsidP="0016455A">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16455A" w:rsidRPr="00597386" w14:paraId="253A7A1A" w14:textId="77777777" w:rsidTr="009B5D2F">
      <w:tc>
        <w:tcPr>
          <w:tcW w:w="4855" w:type="dxa"/>
        </w:tcPr>
        <w:p w14:paraId="5DB3EE3B" w14:textId="77777777" w:rsidR="0016455A" w:rsidRPr="007C2F32" w:rsidRDefault="0016455A" w:rsidP="0016455A">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5AC72745" w14:textId="77777777" w:rsidR="0016455A" w:rsidRPr="007C2F32" w:rsidRDefault="0016455A" w:rsidP="0016455A">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3A7CA7EA" w14:textId="78BABB8A" w:rsidR="00CA058F" w:rsidRDefault="000726DA">
    <w:pPr>
      <w:pStyle w:val="Header"/>
    </w:pPr>
    <w:r>
      <w:rPr>
        <w:noProof/>
      </w:rPr>
      <w:pict w14:anchorId="01162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49203"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90E6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abstractNum w:abstractNumId="2" w15:restartNumberingAfterBreak="0">
    <w:nsid w:val="5A746230"/>
    <w:multiLevelType w:val="singleLevel"/>
    <w:tmpl w:val="15FA866C"/>
    <w:lvl w:ilvl="0">
      <w:start w:val="1"/>
      <w:numFmt w:val="decimal"/>
      <w:lvlText w:val="%1."/>
      <w:lvlJc w:val="left"/>
      <w:pPr>
        <w:tabs>
          <w:tab w:val="num" w:pos="720"/>
        </w:tabs>
        <w:ind w:left="72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QSKvTVeVz3JQDYamLoToF1CN5s7GbYWGeC+uX+Cdb7J0GHQKfw2mb3v3dwY1DsFN/30gJuz4WYev3idfPo5w==" w:salt="1XbA1X8UEFQbTySb3U3il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10"/>
    <w:rsid w:val="0002598E"/>
    <w:rsid w:val="000726DA"/>
    <w:rsid w:val="00075460"/>
    <w:rsid w:val="000A677C"/>
    <w:rsid w:val="000B399E"/>
    <w:rsid w:val="00155020"/>
    <w:rsid w:val="00160A3C"/>
    <w:rsid w:val="0016455A"/>
    <w:rsid w:val="001966B4"/>
    <w:rsid w:val="00221EDD"/>
    <w:rsid w:val="00261ACE"/>
    <w:rsid w:val="00342804"/>
    <w:rsid w:val="0043233B"/>
    <w:rsid w:val="004E7C0D"/>
    <w:rsid w:val="00592F30"/>
    <w:rsid w:val="00597386"/>
    <w:rsid w:val="005B59C9"/>
    <w:rsid w:val="00635BE0"/>
    <w:rsid w:val="00636281"/>
    <w:rsid w:val="00653C70"/>
    <w:rsid w:val="00745605"/>
    <w:rsid w:val="00782400"/>
    <w:rsid w:val="00785B22"/>
    <w:rsid w:val="0082085F"/>
    <w:rsid w:val="00841552"/>
    <w:rsid w:val="008B59EC"/>
    <w:rsid w:val="008E08A1"/>
    <w:rsid w:val="009A53CC"/>
    <w:rsid w:val="009B6EF2"/>
    <w:rsid w:val="009D71BF"/>
    <w:rsid w:val="009F6B9A"/>
    <w:rsid w:val="00A34A57"/>
    <w:rsid w:val="00AB0F0F"/>
    <w:rsid w:val="00AD5110"/>
    <w:rsid w:val="00C174F7"/>
    <w:rsid w:val="00C235B0"/>
    <w:rsid w:val="00C448BC"/>
    <w:rsid w:val="00CA058F"/>
    <w:rsid w:val="00CC7D0D"/>
    <w:rsid w:val="00D149C7"/>
    <w:rsid w:val="00E534A0"/>
    <w:rsid w:val="00EA7807"/>
    <w:rsid w:val="00FB369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D1B9A7"/>
  <w15:docId w15:val="{F6EF7CCA-4281-446A-BD32-88ED0713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A57"/>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16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97386"/>
    <w:rPr>
      <w:sz w:val="16"/>
      <w:szCs w:val="16"/>
    </w:rPr>
  </w:style>
  <w:style w:type="paragraph" w:styleId="CommentText">
    <w:name w:val="annotation text"/>
    <w:basedOn w:val="Normal"/>
    <w:link w:val="CommentTextChar"/>
    <w:semiHidden/>
    <w:unhideWhenUsed/>
    <w:rsid w:val="00597386"/>
    <w:rPr>
      <w:sz w:val="20"/>
    </w:rPr>
  </w:style>
  <w:style w:type="character" w:customStyle="1" w:styleId="CommentTextChar">
    <w:name w:val="Comment Text Char"/>
    <w:basedOn w:val="DefaultParagraphFont"/>
    <w:link w:val="CommentText"/>
    <w:semiHidden/>
    <w:rsid w:val="00597386"/>
  </w:style>
  <w:style w:type="paragraph" w:styleId="CommentSubject">
    <w:name w:val="annotation subject"/>
    <w:basedOn w:val="CommentText"/>
    <w:next w:val="CommentText"/>
    <w:link w:val="CommentSubjectChar"/>
    <w:semiHidden/>
    <w:unhideWhenUsed/>
    <w:rsid w:val="00597386"/>
    <w:rPr>
      <w:b/>
      <w:bCs/>
    </w:rPr>
  </w:style>
  <w:style w:type="character" w:customStyle="1" w:styleId="CommentSubjectChar">
    <w:name w:val="Comment Subject Char"/>
    <w:basedOn w:val="CommentTextChar"/>
    <w:link w:val="CommentSubject"/>
    <w:semiHidden/>
    <w:rsid w:val="00597386"/>
    <w:rPr>
      <w:b/>
      <w:bCs/>
    </w:rPr>
  </w:style>
  <w:style w:type="paragraph" w:styleId="BalloonText">
    <w:name w:val="Balloon Text"/>
    <w:basedOn w:val="Normal"/>
    <w:link w:val="BalloonTextChar"/>
    <w:semiHidden/>
    <w:unhideWhenUsed/>
    <w:rsid w:val="00597386"/>
    <w:rPr>
      <w:rFonts w:ascii="Segoe UI" w:hAnsi="Segoe UI" w:cs="Segoe UI"/>
      <w:sz w:val="18"/>
      <w:szCs w:val="18"/>
    </w:rPr>
  </w:style>
  <w:style w:type="character" w:customStyle="1" w:styleId="BalloonTextChar">
    <w:name w:val="Balloon Text Char"/>
    <w:basedOn w:val="DefaultParagraphFont"/>
    <w:link w:val="BalloonText"/>
    <w:semiHidden/>
    <w:rsid w:val="00597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2CQQKEH6ZJYR-945898380-690</_dlc_DocId>
    <_dlc_DocIdUrl xmlns="515352fc-4bfb-4416-a00c-6833a8a01107">
      <Url>https://txdot.sharepoint.com/sites/division-itd/imd/applications/Plan-Admin-ENT-Systems/_layouts/15/DocIdRedir.aspx?ID=2CQQKEH6ZJYR-945898380-690</Url>
      <Description>2CQQKEH6ZJYR-945898380-690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CD4A4B-1665-48AB-870E-FF6ECBAFCF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C573B2-A7F0-4DD1-B35C-D397AE04CEB0}"/>
</file>

<file path=customXml/itemProps3.xml><?xml version="1.0" encoding="utf-8"?>
<ds:datastoreItem xmlns:ds="http://schemas.openxmlformats.org/officeDocument/2006/customXml" ds:itemID="{02766689-CC85-4DCF-B75E-2AC7A80C2993}">
  <ds:schemaRefs>
    <ds:schemaRef ds:uri="http://schemas.microsoft.com/sharepoint/v3/contenttype/forms"/>
  </ds:schemaRefs>
</ds:datastoreItem>
</file>

<file path=customXml/itemProps4.xml><?xml version="1.0" encoding="utf-8"?>
<ds:datastoreItem xmlns:ds="http://schemas.openxmlformats.org/officeDocument/2006/customXml" ds:itemID="{B00F4491-18F7-442B-BCEB-1FA9297D61C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2011-07-20T20:15:00Z</cp:lastPrinted>
  <dcterms:created xsi:type="dcterms:W3CDTF">2022-01-31T12:23:00Z</dcterms:created>
  <dcterms:modified xsi:type="dcterms:W3CDTF">2022-01-31T12:24:00Z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d5f33914-ec37-4ba6-9401-d82a2d5fbf3e</vt:lpwstr>
  </property>
</Properties>
</file>