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EFD7" w14:textId="54F0E793" w:rsidR="00883D3B" w:rsidRPr="00DB3F6C" w:rsidRDefault="00883D3B">
      <w:pPr>
        <w:rPr>
          <w:rFonts w:ascii="Verdana" w:hAnsi="Verdana"/>
        </w:rPr>
      </w:pPr>
    </w:p>
    <w:p w14:paraId="58B08712" w14:textId="43D93619" w:rsidR="00680B4E" w:rsidRPr="00DB3F6C" w:rsidRDefault="00680B4E" w:rsidP="00285AA3">
      <w:pPr>
        <w:spacing w:after="0"/>
        <w:jc w:val="center"/>
        <w:rPr>
          <w:rFonts w:ascii="Verdana" w:hAnsi="Verdana" w:cs="Arial"/>
          <w:b/>
          <w:sz w:val="28"/>
          <w:szCs w:val="28"/>
        </w:rPr>
      </w:pPr>
      <w:bookmarkStart w:id="0" w:name="_Hlk199419444"/>
      <w:r w:rsidRPr="00DB3F6C">
        <w:rPr>
          <w:rFonts w:ascii="Verdana" w:hAnsi="Verdana" w:cs="Arial"/>
          <w:b/>
          <w:sz w:val="28"/>
          <w:szCs w:val="28"/>
        </w:rPr>
        <w:t xml:space="preserve">Professional Engineering Procurement Services </w:t>
      </w:r>
      <w:r w:rsidR="00A9039B" w:rsidRPr="00DB3F6C">
        <w:rPr>
          <w:rFonts w:ascii="Verdana" w:hAnsi="Verdana" w:cs="Arial"/>
          <w:b/>
          <w:sz w:val="28"/>
          <w:szCs w:val="28"/>
        </w:rPr>
        <w:t xml:space="preserve">(PEPS) </w:t>
      </w:r>
      <w:r w:rsidRPr="00DB3F6C">
        <w:rPr>
          <w:rFonts w:ascii="Verdana" w:hAnsi="Verdana" w:cs="Arial"/>
          <w:b/>
          <w:sz w:val="28"/>
          <w:szCs w:val="28"/>
        </w:rPr>
        <w:t>Division</w:t>
      </w:r>
      <w:bookmarkEnd w:id="0"/>
    </w:p>
    <w:p w14:paraId="073AA9F7" w14:textId="6B422FB3" w:rsidR="00680B4E" w:rsidRPr="00DB3F6C" w:rsidRDefault="00EE1056" w:rsidP="00285AA3">
      <w:pPr>
        <w:pStyle w:val="Header"/>
        <w:jc w:val="center"/>
        <w:rPr>
          <w:rFonts w:ascii="Verdana" w:hAnsi="Verdana" w:cs="Arial"/>
          <w:b/>
          <w:sz w:val="28"/>
          <w:szCs w:val="28"/>
        </w:rPr>
      </w:pPr>
      <w:r w:rsidRPr="00DB3F6C">
        <w:rPr>
          <w:rFonts w:ascii="Verdana" w:hAnsi="Verdana" w:cs="Arial"/>
          <w:b/>
          <w:sz w:val="28"/>
          <w:szCs w:val="28"/>
        </w:rPr>
        <w:t xml:space="preserve">Solicitation No. </w:t>
      </w:r>
      <w:r w:rsidR="00D302EC" w:rsidRPr="00DB3F6C">
        <w:rPr>
          <w:rFonts w:ascii="Verdana" w:hAnsi="Verdana" w:cs="Arial"/>
          <w:b/>
          <w:sz w:val="28"/>
          <w:szCs w:val="28"/>
        </w:rPr>
        <w:t>601CT0000006394</w:t>
      </w:r>
    </w:p>
    <w:p w14:paraId="709715D6" w14:textId="0F0EBE75" w:rsidR="00A9039B" w:rsidRPr="00DB3F6C" w:rsidRDefault="00F30D35" w:rsidP="00285AA3">
      <w:pPr>
        <w:pStyle w:val="Header"/>
        <w:tabs>
          <w:tab w:val="clear" w:pos="9360"/>
          <w:tab w:val="right" w:pos="10800"/>
        </w:tabs>
        <w:jc w:val="center"/>
        <w:rPr>
          <w:rFonts w:ascii="Verdana" w:hAnsi="Verdana" w:cs="Arial"/>
          <w:b/>
          <w:sz w:val="28"/>
          <w:szCs w:val="28"/>
        </w:rPr>
      </w:pPr>
      <w:r w:rsidRPr="00DB3F6C">
        <w:rPr>
          <w:rFonts w:ascii="Verdana" w:hAnsi="Verdana" w:cs="Arial"/>
          <w:b/>
          <w:sz w:val="28"/>
          <w:szCs w:val="28"/>
        </w:rPr>
        <w:t>Pre-</w:t>
      </w:r>
      <w:r w:rsidR="00D302EC" w:rsidRPr="00DB3F6C">
        <w:rPr>
          <w:rFonts w:ascii="Verdana" w:hAnsi="Verdana" w:cs="Arial"/>
          <w:b/>
          <w:sz w:val="28"/>
          <w:szCs w:val="28"/>
        </w:rPr>
        <w:t xml:space="preserve">RFP Meeting </w:t>
      </w:r>
      <w:r w:rsidR="00A9039B" w:rsidRPr="00DB3F6C">
        <w:rPr>
          <w:rFonts w:ascii="Verdana" w:hAnsi="Verdana" w:cs="Arial"/>
          <w:b/>
          <w:sz w:val="28"/>
          <w:szCs w:val="28"/>
        </w:rPr>
        <w:t>Questions &amp; Answers (Q&amp;A)</w:t>
      </w:r>
    </w:p>
    <w:p w14:paraId="6F2D99EA" w14:textId="652CCE40" w:rsidR="00680B4E" w:rsidRPr="00DB3F6C" w:rsidRDefault="00F30D35" w:rsidP="00285AA3">
      <w:pPr>
        <w:pStyle w:val="Header"/>
        <w:jc w:val="center"/>
        <w:rPr>
          <w:rFonts w:ascii="Verdana" w:hAnsi="Verdana" w:cs="Arial"/>
          <w:b/>
          <w:sz w:val="28"/>
          <w:szCs w:val="28"/>
        </w:rPr>
      </w:pPr>
      <w:r w:rsidRPr="00DB3F6C">
        <w:rPr>
          <w:rFonts w:ascii="Verdana" w:hAnsi="Verdana" w:cs="Arial"/>
          <w:b/>
          <w:sz w:val="28"/>
          <w:szCs w:val="28"/>
        </w:rPr>
        <w:t>Pre-</w:t>
      </w:r>
      <w:r w:rsidR="00D302EC" w:rsidRPr="00DB3F6C">
        <w:rPr>
          <w:rFonts w:ascii="Verdana" w:hAnsi="Verdana" w:cs="Arial"/>
          <w:b/>
          <w:sz w:val="28"/>
          <w:szCs w:val="28"/>
        </w:rPr>
        <w:t xml:space="preserve">RFP Meeting </w:t>
      </w:r>
      <w:r w:rsidR="005C5415" w:rsidRPr="00DB3F6C">
        <w:rPr>
          <w:rFonts w:ascii="Verdana" w:hAnsi="Verdana" w:cs="Arial"/>
          <w:b/>
          <w:sz w:val="28"/>
          <w:szCs w:val="28"/>
        </w:rPr>
        <w:t xml:space="preserve">Q&amp;A </w:t>
      </w:r>
      <w:r w:rsidR="00680B4E" w:rsidRPr="00DB3F6C">
        <w:rPr>
          <w:rFonts w:ascii="Verdana" w:hAnsi="Verdana" w:cs="Arial"/>
          <w:b/>
          <w:sz w:val="28"/>
          <w:szCs w:val="28"/>
        </w:rPr>
        <w:t xml:space="preserve">Posting Date: </w:t>
      </w:r>
      <w:r w:rsidR="007848BB" w:rsidRPr="00DB3F6C">
        <w:rPr>
          <w:rFonts w:ascii="Verdana" w:hAnsi="Verdana" w:cs="Arial"/>
          <w:b/>
          <w:sz w:val="28"/>
          <w:szCs w:val="28"/>
        </w:rPr>
        <w:t>12</w:t>
      </w:r>
      <w:r w:rsidR="00680B4E" w:rsidRPr="00DB3F6C">
        <w:rPr>
          <w:rFonts w:ascii="Verdana" w:hAnsi="Verdana" w:cs="Arial"/>
          <w:b/>
          <w:sz w:val="28"/>
          <w:szCs w:val="28"/>
        </w:rPr>
        <w:t>/</w:t>
      </w:r>
      <w:r w:rsidR="007848BB" w:rsidRPr="00DB3F6C">
        <w:rPr>
          <w:rFonts w:ascii="Verdana" w:hAnsi="Verdana" w:cs="Arial"/>
          <w:b/>
          <w:sz w:val="28"/>
          <w:szCs w:val="28"/>
        </w:rPr>
        <w:t>15</w:t>
      </w:r>
      <w:r w:rsidR="00680B4E" w:rsidRPr="00DB3F6C">
        <w:rPr>
          <w:rFonts w:ascii="Verdana" w:hAnsi="Verdana" w:cs="Arial"/>
          <w:b/>
          <w:sz w:val="28"/>
          <w:szCs w:val="28"/>
        </w:rPr>
        <w:t>/</w:t>
      </w:r>
      <w:r w:rsidR="007848BB" w:rsidRPr="00DB3F6C">
        <w:rPr>
          <w:rFonts w:ascii="Verdana" w:hAnsi="Verdana" w:cs="Arial"/>
          <w:b/>
          <w:sz w:val="28"/>
          <w:szCs w:val="28"/>
        </w:rPr>
        <w:t>2025</w:t>
      </w:r>
    </w:p>
    <w:p w14:paraId="4376AADB" w14:textId="77777777" w:rsidR="00EE1056" w:rsidRPr="00DB3F6C" w:rsidRDefault="00EE1056" w:rsidP="00680B4E">
      <w:pPr>
        <w:pStyle w:val="Header"/>
        <w:jc w:val="center"/>
        <w:rPr>
          <w:rFonts w:ascii="Verdana" w:hAnsi="Verdana" w:cs="Arial"/>
          <w:b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4770"/>
        <w:gridCol w:w="4950"/>
      </w:tblGrid>
      <w:tr w:rsidR="00D3177E" w:rsidRPr="00263417" w14:paraId="011233DE" w14:textId="77777777" w:rsidTr="007848BB">
        <w:trPr>
          <w:tblHeader/>
        </w:trPr>
        <w:tc>
          <w:tcPr>
            <w:tcW w:w="1075" w:type="dxa"/>
            <w:shd w:val="clear" w:color="auto" w:fill="FBD4B4" w:themeFill="accent6" w:themeFillTint="66"/>
          </w:tcPr>
          <w:p w14:paraId="3A856F59" w14:textId="77777777" w:rsidR="00D3177E" w:rsidRPr="00DB3F6C" w:rsidRDefault="00D3177E" w:rsidP="00F71B3A">
            <w:pPr>
              <w:jc w:val="center"/>
              <w:rPr>
                <w:rFonts w:ascii="Verdana" w:hAnsi="Verdana"/>
                <w:b/>
              </w:rPr>
            </w:pPr>
            <w:r w:rsidRPr="00DB3F6C">
              <w:rPr>
                <w:rFonts w:ascii="Verdana" w:hAnsi="Verdana"/>
                <w:b/>
              </w:rPr>
              <w:t>Ref #</w:t>
            </w:r>
          </w:p>
        </w:tc>
        <w:tc>
          <w:tcPr>
            <w:tcW w:w="4770" w:type="dxa"/>
            <w:shd w:val="clear" w:color="auto" w:fill="FBD4B4" w:themeFill="accent6" w:themeFillTint="66"/>
          </w:tcPr>
          <w:p w14:paraId="2C0D705E" w14:textId="77777777" w:rsidR="00D3177E" w:rsidRPr="00DB3F6C" w:rsidRDefault="00D3177E" w:rsidP="00F71B3A">
            <w:pPr>
              <w:jc w:val="center"/>
              <w:rPr>
                <w:rFonts w:ascii="Verdana" w:hAnsi="Verdana"/>
                <w:b/>
              </w:rPr>
            </w:pPr>
            <w:r w:rsidRPr="00DB3F6C">
              <w:rPr>
                <w:rFonts w:ascii="Verdana" w:hAnsi="Verdana"/>
                <w:b/>
              </w:rPr>
              <w:t>Provider Question</w:t>
            </w:r>
          </w:p>
        </w:tc>
        <w:tc>
          <w:tcPr>
            <w:tcW w:w="4950" w:type="dxa"/>
            <w:shd w:val="clear" w:color="auto" w:fill="FBD4B4" w:themeFill="accent6" w:themeFillTint="66"/>
          </w:tcPr>
          <w:p w14:paraId="1A9C811F" w14:textId="77777777" w:rsidR="00D3177E" w:rsidRPr="00DB3F6C" w:rsidRDefault="00D3177E" w:rsidP="00F71B3A">
            <w:pPr>
              <w:jc w:val="center"/>
              <w:rPr>
                <w:rFonts w:ascii="Verdana" w:hAnsi="Verdana"/>
                <w:b/>
              </w:rPr>
            </w:pPr>
            <w:r w:rsidRPr="00DB3F6C">
              <w:rPr>
                <w:rFonts w:ascii="Verdana" w:hAnsi="Verdana"/>
                <w:b/>
              </w:rPr>
              <w:t>TxDOT Answer</w:t>
            </w:r>
          </w:p>
        </w:tc>
      </w:tr>
      <w:tr w:rsidR="00D3177E" w:rsidRPr="00263417" w14:paraId="7DF56CEB" w14:textId="77777777" w:rsidTr="007848BB">
        <w:tc>
          <w:tcPr>
            <w:tcW w:w="1075" w:type="dxa"/>
          </w:tcPr>
          <w:p w14:paraId="325C8891" w14:textId="77777777" w:rsidR="00D3177E" w:rsidRPr="00DB3F6C" w:rsidRDefault="00D3177E" w:rsidP="00D3177E">
            <w:pPr>
              <w:pStyle w:val="ListParagraph"/>
              <w:numPr>
                <w:ilvl w:val="0"/>
                <w:numId w:val="10"/>
              </w:numPr>
              <w:ind w:left="720"/>
              <w:jc w:val="center"/>
              <w:rPr>
                <w:rFonts w:ascii="Verdana" w:hAnsi="Verdana"/>
              </w:rPr>
            </w:pPr>
          </w:p>
        </w:tc>
        <w:tc>
          <w:tcPr>
            <w:tcW w:w="4770" w:type="dxa"/>
          </w:tcPr>
          <w:p w14:paraId="22EFF001" w14:textId="01126310" w:rsidR="00D3177E" w:rsidRPr="00DB3F6C" w:rsidRDefault="00D302EC" w:rsidP="00F71B3A">
            <w:pPr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 xml:space="preserve">Will </w:t>
            </w:r>
            <w:r w:rsidR="007848BB" w:rsidRPr="00DB3F6C">
              <w:rPr>
                <w:rFonts w:ascii="Verdana" w:hAnsi="Verdana"/>
              </w:rPr>
              <w:t>the firm who is awarded this contract be precluded from future traffic contracts that include ITS fiber design and/or future utility engineering contracts related to joint duct bank design</w:t>
            </w:r>
            <w:r w:rsidRPr="00DB3F6C">
              <w:rPr>
                <w:rFonts w:ascii="Verdana" w:hAnsi="Verdana"/>
              </w:rPr>
              <w:t>?</w:t>
            </w:r>
          </w:p>
        </w:tc>
        <w:tc>
          <w:tcPr>
            <w:tcW w:w="4950" w:type="dxa"/>
          </w:tcPr>
          <w:p w14:paraId="69D726B9" w14:textId="71BD32FC" w:rsidR="00D3177E" w:rsidRPr="00DB3F6C" w:rsidRDefault="00D75D5B" w:rsidP="00F71B3A">
            <w:pPr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>Preclusions are determined on a case-to-case basis.</w:t>
            </w:r>
          </w:p>
        </w:tc>
      </w:tr>
      <w:tr w:rsidR="00D3177E" w:rsidRPr="00263417" w14:paraId="2CB06129" w14:textId="77777777" w:rsidTr="007848BB">
        <w:tc>
          <w:tcPr>
            <w:tcW w:w="1075" w:type="dxa"/>
          </w:tcPr>
          <w:p w14:paraId="4B60767F" w14:textId="77777777" w:rsidR="00D3177E" w:rsidRPr="00DB3F6C" w:rsidRDefault="00D3177E" w:rsidP="00D3177E">
            <w:pPr>
              <w:pStyle w:val="ListParagraph"/>
              <w:numPr>
                <w:ilvl w:val="0"/>
                <w:numId w:val="10"/>
              </w:numPr>
              <w:ind w:left="720"/>
              <w:jc w:val="center"/>
              <w:rPr>
                <w:rFonts w:ascii="Verdana" w:hAnsi="Verdana"/>
              </w:rPr>
            </w:pPr>
          </w:p>
        </w:tc>
        <w:tc>
          <w:tcPr>
            <w:tcW w:w="4770" w:type="dxa"/>
          </w:tcPr>
          <w:p w14:paraId="01B64126" w14:textId="77777777" w:rsidR="007848BB" w:rsidRPr="00DB3F6C" w:rsidRDefault="007848BB" w:rsidP="007848BB">
            <w:pPr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 xml:space="preserve">A large portion of this project will include Outside Plant (OSP) fiber optic cable and broadband.  </w:t>
            </w:r>
            <w:proofErr w:type="gramStart"/>
            <w:r w:rsidRPr="00DB3F6C">
              <w:rPr>
                <w:rFonts w:ascii="Verdana" w:hAnsi="Verdana"/>
              </w:rPr>
              <w:t>With this in mind, shouldn’t</w:t>
            </w:r>
            <w:proofErr w:type="gramEnd"/>
            <w:r w:rsidRPr="00DB3F6C">
              <w:rPr>
                <w:rFonts w:ascii="Verdana" w:hAnsi="Verdana"/>
              </w:rPr>
              <w:t xml:space="preserve"> the Work Category 17.4.2 Telecommunications and Data Network Design with the RCDD certification be included as a required </w:t>
            </w:r>
            <w:proofErr w:type="spellStart"/>
            <w:r w:rsidRPr="00DB3F6C">
              <w:rPr>
                <w:rFonts w:ascii="Verdana" w:hAnsi="Verdana"/>
              </w:rPr>
              <w:t>precert</w:t>
            </w:r>
            <w:proofErr w:type="spellEnd"/>
            <w:r w:rsidRPr="00DB3F6C">
              <w:rPr>
                <w:rFonts w:ascii="Verdana" w:hAnsi="Verdana"/>
              </w:rPr>
              <w:t>?</w:t>
            </w:r>
          </w:p>
          <w:p w14:paraId="4EAEBB2E" w14:textId="49489CDA" w:rsidR="00D3177E" w:rsidRPr="00DB3F6C" w:rsidRDefault="00D3177E" w:rsidP="00F71B3A">
            <w:pPr>
              <w:rPr>
                <w:rFonts w:ascii="Verdana" w:hAnsi="Verdana"/>
              </w:rPr>
            </w:pPr>
          </w:p>
        </w:tc>
        <w:tc>
          <w:tcPr>
            <w:tcW w:w="4950" w:type="dxa"/>
          </w:tcPr>
          <w:p w14:paraId="5D4B0455" w14:textId="77777777" w:rsidR="00D75D5B" w:rsidRPr="00DB3F6C" w:rsidRDefault="00D75D5B" w:rsidP="00D75D5B">
            <w:pPr>
              <w:ind w:right="-1229"/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 xml:space="preserve">Work </w:t>
            </w:r>
            <w:r w:rsidR="007848BB" w:rsidRPr="00DB3F6C">
              <w:rPr>
                <w:rFonts w:ascii="Verdana" w:hAnsi="Verdana"/>
              </w:rPr>
              <w:t xml:space="preserve">Category 17.4.2 is </w:t>
            </w:r>
            <w:r w:rsidRPr="00DB3F6C">
              <w:rPr>
                <w:rFonts w:ascii="Verdana" w:hAnsi="Verdana"/>
              </w:rPr>
              <w:t xml:space="preserve">not anticipated </w:t>
            </w:r>
          </w:p>
          <w:p w14:paraId="2FACFA36" w14:textId="77777777" w:rsidR="00D75D5B" w:rsidRPr="00DB3F6C" w:rsidRDefault="00D75D5B" w:rsidP="00D75D5B">
            <w:pPr>
              <w:ind w:right="-1229"/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 xml:space="preserve">to be part of this solicitation. Refer to the </w:t>
            </w:r>
          </w:p>
          <w:p w14:paraId="07EC2102" w14:textId="77777777" w:rsidR="00D75D5B" w:rsidRPr="00DB3F6C" w:rsidRDefault="00D75D5B" w:rsidP="00D75D5B">
            <w:pPr>
              <w:ind w:right="-1229"/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>Request for Proposal (RFP) document</w:t>
            </w:r>
          </w:p>
          <w:p w14:paraId="6C397509" w14:textId="77777777" w:rsidR="00116FB5" w:rsidRPr="00DB3F6C" w:rsidRDefault="00D75D5B" w:rsidP="00D75D5B">
            <w:pPr>
              <w:ind w:right="-1229"/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 xml:space="preserve">once posted in the TxDOT Procurement </w:t>
            </w:r>
          </w:p>
          <w:p w14:paraId="204FB3C5" w14:textId="349FD5E9" w:rsidR="00D3177E" w:rsidRPr="00DB3F6C" w:rsidRDefault="00D75D5B" w:rsidP="00D75D5B">
            <w:pPr>
              <w:ind w:right="-1229"/>
              <w:rPr>
                <w:rFonts w:ascii="Verdana" w:hAnsi="Verdana"/>
              </w:rPr>
            </w:pPr>
            <w:r w:rsidRPr="00DB3F6C">
              <w:rPr>
                <w:rFonts w:ascii="Verdana" w:hAnsi="Verdana"/>
              </w:rPr>
              <w:t>Portal</w:t>
            </w:r>
            <w:r w:rsidR="003C042D" w:rsidRPr="00DB3F6C">
              <w:rPr>
                <w:rFonts w:ascii="Verdana" w:hAnsi="Verdana"/>
              </w:rPr>
              <w:t xml:space="preserve"> for the required work categories</w:t>
            </w:r>
            <w:r w:rsidRPr="00DB3F6C">
              <w:rPr>
                <w:rFonts w:ascii="Verdana" w:hAnsi="Verdana"/>
              </w:rPr>
              <w:t xml:space="preserve">. </w:t>
            </w:r>
          </w:p>
        </w:tc>
      </w:tr>
    </w:tbl>
    <w:p w14:paraId="7BE7B740" w14:textId="77777777" w:rsidR="00AC08C4" w:rsidRPr="00DB3F6C" w:rsidRDefault="00AC08C4" w:rsidP="00287B4C">
      <w:pPr>
        <w:rPr>
          <w:rFonts w:ascii="Verdana" w:hAnsi="Verdana"/>
        </w:rPr>
      </w:pPr>
    </w:p>
    <w:p w14:paraId="036E159A" w14:textId="77777777" w:rsidR="00AC08C4" w:rsidRPr="00DB3F6C" w:rsidRDefault="00AC08C4" w:rsidP="00AC08C4">
      <w:pPr>
        <w:rPr>
          <w:rFonts w:ascii="Verdana" w:hAnsi="Verdana"/>
        </w:rPr>
      </w:pPr>
    </w:p>
    <w:p w14:paraId="313F7875" w14:textId="77777777" w:rsidR="00DE788C" w:rsidRPr="00DB3F6C" w:rsidRDefault="00AC08C4" w:rsidP="00AC08C4">
      <w:pPr>
        <w:tabs>
          <w:tab w:val="left" w:pos="4200"/>
        </w:tabs>
        <w:rPr>
          <w:rFonts w:ascii="Verdana" w:hAnsi="Verdana"/>
          <w:b/>
        </w:rPr>
      </w:pPr>
      <w:r w:rsidRPr="00DB3F6C">
        <w:rPr>
          <w:rFonts w:ascii="Verdana" w:hAnsi="Verdana"/>
          <w:b/>
        </w:rPr>
        <w:tab/>
      </w:r>
    </w:p>
    <w:sectPr w:rsidR="00DE788C" w:rsidRPr="00DB3F6C" w:rsidSect="00285AA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772E" w14:textId="77777777" w:rsidR="002A65B8" w:rsidRDefault="002A65B8" w:rsidP="00D604A9">
      <w:pPr>
        <w:spacing w:after="0" w:line="240" w:lineRule="auto"/>
      </w:pPr>
      <w:r>
        <w:separator/>
      </w:r>
    </w:p>
  </w:endnote>
  <w:endnote w:type="continuationSeparator" w:id="0">
    <w:p w14:paraId="2E8A1F4E" w14:textId="77777777" w:rsidR="002A65B8" w:rsidRDefault="002A65B8" w:rsidP="00D6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6E86" w14:textId="111CE4EE" w:rsidR="007F1535" w:rsidRDefault="007F1535" w:rsidP="00521C64">
    <w:pPr>
      <w:pStyle w:val="Footer"/>
    </w:pPr>
  </w:p>
  <w:sdt>
    <w:sdtPr>
      <w:id w:val="327873284"/>
      <w:docPartObj>
        <w:docPartGallery w:val="Page Numbers (Top of Page)"/>
        <w:docPartUnique/>
      </w:docPartObj>
    </w:sdtPr>
    <w:sdtEndPr/>
    <w:sdtContent>
      <w:p w14:paraId="24D5E9EA" w14:textId="72DE1299" w:rsidR="007F1535" w:rsidRDefault="007A4721" w:rsidP="007A4721">
        <w:pPr>
          <w:pStyle w:val="Footer"/>
          <w:tabs>
            <w:tab w:val="clear" w:pos="9360"/>
            <w:tab w:val="right" w:pos="10710"/>
          </w:tabs>
        </w:pPr>
        <w:r>
          <w:rPr>
            <w:noProof/>
          </w:rPr>
          <w:drawing>
            <wp:inline distT="0" distB="0" distL="0" distR="0" wp14:anchorId="485EFDA9" wp14:editId="65F68F50">
              <wp:extent cx="2220523" cy="381000"/>
              <wp:effectExtent l="0" t="0" r="8890" b="0"/>
              <wp:docPr id="2" name="Picture 2" descr="TxDO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TxDOT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9743" cy="3860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</w:t>
        </w:r>
        <w:r w:rsidRPr="007A4721">
          <w:rPr>
            <w:sz w:val="18"/>
            <w:szCs w:val="18"/>
          </w:rPr>
          <w:t xml:space="preserve"> </w:t>
        </w:r>
        <w:r w:rsidRPr="007A4721">
          <w:rPr>
            <w:rFonts w:ascii="Franklin Gothic Book" w:hAnsi="Franklin Gothic Book"/>
            <w:sz w:val="20"/>
            <w:szCs w:val="20"/>
          </w:rPr>
          <w:t xml:space="preserve"> Page </w:t>
        </w:r>
        <w:r w:rsidRPr="007A4721">
          <w:rPr>
            <w:rFonts w:ascii="Franklin Gothic Book" w:hAnsi="Franklin Gothic Book"/>
            <w:bCs/>
            <w:sz w:val="20"/>
            <w:szCs w:val="20"/>
          </w:rPr>
          <w:fldChar w:fldCharType="begin"/>
        </w:r>
        <w:r w:rsidRPr="007A4721">
          <w:rPr>
            <w:rFonts w:ascii="Franklin Gothic Book" w:hAnsi="Franklin Gothic Book"/>
            <w:bCs/>
            <w:sz w:val="20"/>
            <w:szCs w:val="20"/>
          </w:rPr>
          <w:instrText xml:space="preserve"> PAGE </w:instrText>
        </w:r>
        <w:r w:rsidRPr="007A4721">
          <w:rPr>
            <w:rFonts w:ascii="Franklin Gothic Book" w:hAnsi="Franklin Gothic Book"/>
            <w:bCs/>
            <w:sz w:val="20"/>
            <w:szCs w:val="20"/>
          </w:rPr>
          <w:fldChar w:fldCharType="separate"/>
        </w:r>
        <w:r w:rsidRPr="007A4721">
          <w:rPr>
            <w:rFonts w:ascii="Franklin Gothic Book" w:hAnsi="Franklin Gothic Book"/>
            <w:bCs/>
            <w:sz w:val="20"/>
            <w:szCs w:val="20"/>
          </w:rPr>
          <w:t>2</w:t>
        </w:r>
        <w:r w:rsidRPr="007A4721">
          <w:rPr>
            <w:rFonts w:ascii="Franklin Gothic Book" w:hAnsi="Franklin Gothic Book"/>
            <w:bCs/>
            <w:sz w:val="20"/>
            <w:szCs w:val="20"/>
          </w:rPr>
          <w:fldChar w:fldCharType="end"/>
        </w:r>
        <w:r w:rsidRPr="007A4721">
          <w:rPr>
            <w:rFonts w:ascii="Franklin Gothic Book" w:hAnsi="Franklin Gothic Book"/>
            <w:sz w:val="20"/>
            <w:szCs w:val="20"/>
          </w:rPr>
          <w:t xml:space="preserve"> of </w:t>
        </w:r>
        <w:r w:rsidRPr="007A4721">
          <w:rPr>
            <w:rFonts w:ascii="Franklin Gothic Book" w:hAnsi="Franklin Gothic Book"/>
            <w:bCs/>
            <w:sz w:val="20"/>
            <w:szCs w:val="20"/>
          </w:rPr>
          <w:fldChar w:fldCharType="begin"/>
        </w:r>
        <w:r w:rsidRPr="007A4721">
          <w:rPr>
            <w:rFonts w:ascii="Franklin Gothic Book" w:hAnsi="Franklin Gothic Book"/>
            <w:bCs/>
            <w:sz w:val="20"/>
            <w:szCs w:val="20"/>
          </w:rPr>
          <w:instrText xml:space="preserve"> NUMPAGES  </w:instrText>
        </w:r>
        <w:r w:rsidRPr="007A4721">
          <w:rPr>
            <w:rFonts w:ascii="Franklin Gothic Book" w:hAnsi="Franklin Gothic Book"/>
            <w:bCs/>
            <w:sz w:val="20"/>
            <w:szCs w:val="20"/>
          </w:rPr>
          <w:fldChar w:fldCharType="separate"/>
        </w:r>
        <w:r w:rsidRPr="007A4721">
          <w:rPr>
            <w:rFonts w:ascii="Franklin Gothic Book" w:hAnsi="Franklin Gothic Book"/>
            <w:bCs/>
            <w:sz w:val="20"/>
            <w:szCs w:val="20"/>
          </w:rPr>
          <w:t>3</w:t>
        </w:r>
        <w:r w:rsidRPr="007A4721">
          <w:rPr>
            <w:rFonts w:ascii="Franklin Gothic Book" w:hAnsi="Franklin Gothic Book"/>
            <w:bCs/>
            <w:sz w:val="20"/>
            <w:szCs w:val="20"/>
          </w:rPr>
          <w:fldChar w:fldCharType="end"/>
        </w:r>
        <w:r w:rsidRPr="007A4721">
          <w:rPr>
            <w:rFonts w:ascii="Franklin Gothic Book" w:hAnsi="Franklin Gothic Book"/>
            <w:bCs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B12D" w14:textId="77777777" w:rsidR="002A65B8" w:rsidRDefault="002A65B8" w:rsidP="00D604A9">
      <w:pPr>
        <w:spacing w:after="0" w:line="240" w:lineRule="auto"/>
      </w:pPr>
      <w:r>
        <w:separator/>
      </w:r>
    </w:p>
  </w:footnote>
  <w:footnote w:type="continuationSeparator" w:id="0">
    <w:p w14:paraId="5EE948DB" w14:textId="77777777" w:rsidR="002A65B8" w:rsidRDefault="002A65B8" w:rsidP="00D6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5BD"/>
    <w:multiLevelType w:val="multilevel"/>
    <w:tmpl w:val="0B36758E"/>
    <w:numStyleLink w:val="MultiLevelList"/>
  </w:abstractNum>
  <w:abstractNum w:abstractNumId="1" w15:restartNumberingAfterBreak="0">
    <w:nsid w:val="036206F5"/>
    <w:multiLevelType w:val="hybridMultilevel"/>
    <w:tmpl w:val="2752EC20"/>
    <w:lvl w:ilvl="0" w:tplc="18EA2D16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6D1"/>
    <w:multiLevelType w:val="hybridMultilevel"/>
    <w:tmpl w:val="B87E6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FD09A4"/>
    <w:multiLevelType w:val="multilevel"/>
    <w:tmpl w:val="0409001D"/>
    <w:numStyleLink w:val="Style1"/>
  </w:abstractNum>
  <w:abstractNum w:abstractNumId="5" w15:restartNumberingAfterBreak="0">
    <w:nsid w:val="22FE229D"/>
    <w:multiLevelType w:val="multilevel"/>
    <w:tmpl w:val="C180E150"/>
    <w:numStyleLink w:val="Style2"/>
  </w:abstractNum>
  <w:abstractNum w:abstractNumId="6" w15:restartNumberingAfterBreak="0">
    <w:nsid w:val="23F3573E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E05229"/>
    <w:multiLevelType w:val="multilevel"/>
    <w:tmpl w:val="C180E150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B007E8"/>
    <w:multiLevelType w:val="hybridMultilevel"/>
    <w:tmpl w:val="D7F0CA3E"/>
    <w:lvl w:ilvl="0" w:tplc="612684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7398"/>
    <w:multiLevelType w:val="hybridMultilevel"/>
    <w:tmpl w:val="2976F5BA"/>
    <w:lvl w:ilvl="0" w:tplc="69823BF2">
      <w:start w:val="1"/>
      <w:numFmt w:val="decimal"/>
      <w:lvlText w:val="%1."/>
      <w:lvlJc w:val="left"/>
      <w:pPr>
        <w:ind w:left="45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2025C5"/>
    <w:multiLevelType w:val="hybridMultilevel"/>
    <w:tmpl w:val="56FC8610"/>
    <w:lvl w:ilvl="0" w:tplc="6126845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68AA"/>
    <w:multiLevelType w:val="hybridMultilevel"/>
    <w:tmpl w:val="2B5A888E"/>
    <w:lvl w:ilvl="0" w:tplc="18EA2D16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7600659">
    <w:abstractNumId w:val="12"/>
  </w:num>
  <w:num w:numId="2" w16cid:durableId="2011516569">
    <w:abstractNumId w:val="0"/>
  </w:num>
  <w:num w:numId="3" w16cid:durableId="1710295768">
    <w:abstractNumId w:val="3"/>
  </w:num>
  <w:num w:numId="4" w16cid:durableId="1158575285">
    <w:abstractNumId w:val="13"/>
  </w:num>
  <w:num w:numId="5" w16cid:durableId="1581678128">
    <w:abstractNumId w:val="2"/>
  </w:num>
  <w:num w:numId="6" w16cid:durableId="1566254080">
    <w:abstractNumId w:val="6"/>
  </w:num>
  <w:num w:numId="7" w16cid:durableId="1117261450">
    <w:abstractNumId w:val="4"/>
  </w:num>
  <w:num w:numId="8" w16cid:durableId="1029062061">
    <w:abstractNumId w:val="7"/>
  </w:num>
  <w:num w:numId="9" w16cid:durableId="1169835521">
    <w:abstractNumId w:val="5"/>
  </w:num>
  <w:num w:numId="10" w16cid:durableId="8413423">
    <w:abstractNumId w:val="9"/>
  </w:num>
  <w:num w:numId="11" w16cid:durableId="1180660087">
    <w:abstractNumId w:val="1"/>
  </w:num>
  <w:num w:numId="12" w16cid:durableId="1363164996">
    <w:abstractNumId w:val="11"/>
  </w:num>
  <w:num w:numId="13" w16cid:durableId="494302805">
    <w:abstractNumId w:val="8"/>
  </w:num>
  <w:num w:numId="14" w16cid:durableId="619844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VZ1mOEJPxEqyLJI7ud9cqmdYpg8nwfZmq4odzV9bpHH6JJI7yvA2/di+q7bY8YugvXF5KNDR1hk5BnvjPxu5A==" w:salt="l/rbSTasVGhFrmE0vHSVJ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A9"/>
    <w:rsid w:val="000235B9"/>
    <w:rsid w:val="00043816"/>
    <w:rsid w:val="0008419F"/>
    <w:rsid w:val="000A064E"/>
    <w:rsid w:val="000C252A"/>
    <w:rsid w:val="000F1544"/>
    <w:rsid w:val="000F1E0B"/>
    <w:rsid w:val="00116FB5"/>
    <w:rsid w:val="0019665D"/>
    <w:rsid w:val="001A007F"/>
    <w:rsid w:val="00250780"/>
    <w:rsid w:val="0026288D"/>
    <w:rsid w:val="00263417"/>
    <w:rsid w:val="00265680"/>
    <w:rsid w:val="00285AA3"/>
    <w:rsid w:val="00287B4C"/>
    <w:rsid w:val="00291CC6"/>
    <w:rsid w:val="002A5A22"/>
    <w:rsid w:val="002A65B8"/>
    <w:rsid w:val="002D29B0"/>
    <w:rsid w:val="002E31F8"/>
    <w:rsid w:val="002F7494"/>
    <w:rsid w:val="00325DB8"/>
    <w:rsid w:val="00362048"/>
    <w:rsid w:val="00387843"/>
    <w:rsid w:val="003C042D"/>
    <w:rsid w:val="00422F93"/>
    <w:rsid w:val="00427F73"/>
    <w:rsid w:val="0048151C"/>
    <w:rsid w:val="004B3E21"/>
    <w:rsid w:val="004E018F"/>
    <w:rsid w:val="00521C64"/>
    <w:rsid w:val="00543ED3"/>
    <w:rsid w:val="00566458"/>
    <w:rsid w:val="00567558"/>
    <w:rsid w:val="00584D6E"/>
    <w:rsid w:val="005C5415"/>
    <w:rsid w:val="005E2178"/>
    <w:rsid w:val="00611D07"/>
    <w:rsid w:val="0062028A"/>
    <w:rsid w:val="00621DE6"/>
    <w:rsid w:val="00650BF9"/>
    <w:rsid w:val="00662AA5"/>
    <w:rsid w:val="00680B4E"/>
    <w:rsid w:val="00684098"/>
    <w:rsid w:val="006878F3"/>
    <w:rsid w:val="00692DD5"/>
    <w:rsid w:val="006C19D3"/>
    <w:rsid w:val="00710CCF"/>
    <w:rsid w:val="00722748"/>
    <w:rsid w:val="0078376A"/>
    <w:rsid w:val="007848BB"/>
    <w:rsid w:val="007A4721"/>
    <w:rsid w:val="007C484C"/>
    <w:rsid w:val="007C5B95"/>
    <w:rsid w:val="007D6043"/>
    <w:rsid w:val="007E1743"/>
    <w:rsid w:val="007F1535"/>
    <w:rsid w:val="00827E72"/>
    <w:rsid w:val="00883D3B"/>
    <w:rsid w:val="0089177F"/>
    <w:rsid w:val="008B02B2"/>
    <w:rsid w:val="008C2422"/>
    <w:rsid w:val="008D0297"/>
    <w:rsid w:val="008F554B"/>
    <w:rsid w:val="009123D3"/>
    <w:rsid w:val="00957F8C"/>
    <w:rsid w:val="00963DE1"/>
    <w:rsid w:val="00977FF1"/>
    <w:rsid w:val="009A6258"/>
    <w:rsid w:val="009E1DEF"/>
    <w:rsid w:val="009E33B5"/>
    <w:rsid w:val="009E4FEF"/>
    <w:rsid w:val="00A26B0A"/>
    <w:rsid w:val="00A9039B"/>
    <w:rsid w:val="00AC08C4"/>
    <w:rsid w:val="00AF347F"/>
    <w:rsid w:val="00B2728E"/>
    <w:rsid w:val="00B30D0D"/>
    <w:rsid w:val="00B51066"/>
    <w:rsid w:val="00B70B5C"/>
    <w:rsid w:val="00B925C9"/>
    <w:rsid w:val="00BD6CB1"/>
    <w:rsid w:val="00C3429F"/>
    <w:rsid w:val="00C60132"/>
    <w:rsid w:val="00C81228"/>
    <w:rsid w:val="00CE52B1"/>
    <w:rsid w:val="00D1798D"/>
    <w:rsid w:val="00D302EC"/>
    <w:rsid w:val="00D3177E"/>
    <w:rsid w:val="00D430CA"/>
    <w:rsid w:val="00D604A9"/>
    <w:rsid w:val="00D75D5B"/>
    <w:rsid w:val="00D7777D"/>
    <w:rsid w:val="00D87EF9"/>
    <w:rsid w:val="00D97A84"/>
    <w:rsid w:val="00DB3F6C"/>
    <w:rsid w:val="00DC6EAF"/>
    <w:rsid w:val="00DD53DA"/>
    <w:rsid w:val="00DD6189"/>
    <w:rsid w:val="00DE788C"/>
    <w:rsid w:val="00E07C32"/>
    <w:rsid w:val="00E17194"/>
    <w:rsid w:val="00E440BD"/>
    <w:rsid w:val="00E67E2D"/>
    <w:rsid w:val="00E838B5"/>
    <w:rsid w:val="00EE1056"/>
    <w:rsid w:val="00EE5214"/>
    <w:rsid w:val="00F03220"/>
    <w:rsid w:val="00F221FB"/>
    <w:rsid w:val="00F30D35"/>
    <w:rsid w:val="00F4581B"/>
    <w:rsid w:val="00F458B4"/>
    <w:rsid w:val="00F4645B"/>
    <w:rsid w:val="00F55AEB"/>
    <w:rsid w:val="00FE2EE3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151745A"/>
  <w15:docId w15:val="{2C270C08-CC62-4F31-ABF8-A85898C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6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A9"/>
  </w:style>
  <w:style w:type="paragraph" w:styleId="Footer">
    <w:name w:val="footer"/>
    <w:basedOn w:val="Normal"/>
    <w:link w:val="FooterChar"/>
    <w:uiPriority w:val="99"/>
    <w:unhideWhenUsed/>
    <w:rsid w:val="00D6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A9"/>
  </w:style>
  <w:style w:type="paragraph" w:styleId="BalloonText">
    <w:name w:val="Balloon Text"/>
    <w:basedOn w:val="Normal"/>
    <w:link w:val="BalloonTextChar"/>
    <w:uiPriority w:val="99"/>
    <w:semiHidden/>
    <w:unhideWhenUsed/>
    <w:rsid w:val="00D6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52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214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422F93"/>
    <w:pPr>
      <w:numPr>
        <w:numId w:val="6"/>
      </w:numPr>
    </w:pPr>
  </w:style>
  <w:style w:type="numbering" w:customStyle="1" w:styleId="Style2">
    <w:name w:val="Style2"/>
    <w:uiPriority w:val="99"/>
    <w:rsid w:val="001A007F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97A8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22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1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2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A572-9538-4144-9DD3-827284CA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802</Characters>
  <Application>Microsoft Office Word</Application>
  <DocSecurity>8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Questions &amp; Answers (Q&amp;A) Template and Guidance</vt:lpstr>
    </vt:vector>
  </TitlesOfParts>
  <Company>TxDOT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Questions &amp; Answers (Q&amp;A) Template and Guidance</dc:title>
  <dc:subject>Guidance and template used to post the questions and answers recieved from providers during a procurement.</dc:subject>
  <dc:creator>TxDOT</dc:creator>
  <cp:keywords>Q&amp;A</cp:keywords>
  <cp:lastModifiedBy>Billy Connolly</cp:lastModifiedBy>
  <cp:revision>6</cp:revision>
  <cp:lastPrinted>2024-06-18T17:32:00Z</cp:lastPrinted>
  <dcterms:created xsi:type="dcterms:W3CDTF">2025-12-15T16:39:00Z</dcterms:created>
  <dcterms:modified xsi:type="dcterms:W3CDTF">2025-12-15T17:44:00Z</dcterms:modified>
</cp:coreProperties>
</file>