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ECA0" w14:textId="77777777" w:rsidR="00020E5C" w:rsidRPr="00020E5C" w:rsidRDefault="00020E5C" w:rsidP="00020E5C">
      <w:pPr>
        <w:pStyle w:val="NormalSingleSpaceNoSpaceAfter"/>
      </w:pPr>
    </w:p>
    <w:p w14:paraId="4A399535" w14:textId="77777777" w:rsidR="004D3590" w:rsidRDefault="004D3590" w:rsidP="004D3590">
      <w:pPr>
        <w:pStyle w:val="CVRTxDOTLogoSpacing"/>
      </w:pPr>
      <w:r>
        <w:drawing>
          <wp:inline distT="0" distB="0" distL="0" distR="0" wp14:anchorId="1FBC6064" wp14:editId="18CA943A">
            <wp:extent cx="1215341" cy="851387"/>
            <wp:effectExtent l="0" t="0" r="4445" b="635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37021" cy="866575"/>
                    </a:xfrm>
                    <a:prstGeom prst="rect">
                      <a:avLst/>
                    </a:prstGeom>
                  </pic:spPr>
                </pic:pic>
              </a:graphicData>
            </a:graphic>
          </wp:inline>
        </w:drawing>
      </w:r>
    </w:p>
    <w:p w14:paraId="1E1DFF5A" w14:textId="1E368E21" w:rsidR="004D3590" w:rsidRPr="007D1037" w:rsidRDefault="00457754" w:rsidP="004D3590">
      <w:pPr>
        <w:pStyle w:val="Heading1"/>
        <w:ind w:left="1260" w:right="1260"/>
      </w:pPr>
      <w:bookmarkStart w:id="0" w:name="_Toc217895683"/>
      <w:bookmarkStart w:id="1" w:name="_Toc220303452"/>
      <w:bookmarkStart w:id="2" w:name="_Toc224026192"/>
      <w:r w:rsidRPr="007D1037">
        <w:t>Environmental</w:t>
      </w:r>
      <w:r w:rsidR="006C6F09">
        <w:t xml:space="preserve"> </w:t>
      </w:r>
      <w:r w:rsidRPr="007D1037">
        <w:t>Handbook</w:t>
      </w:r>
      <w:bookmarkEnd w:id="0"/>
      <w:bookmarkEnd w:id="1"/>
      <w:r w:rsidR="00680F08">
        <w:t>:</w:t>
      </w:r>
      <w:r w:rsidR="006C6F09">
        <w:t xml:space="preserve"> </w:t>
      </w:r>
      <w:r w:rsidRPr="007D1037">
        <w:t>Public</w:t>
      </w:r>
      <w:r w:rsidR="006C6F09">
        <w:t xml:space="preserve"> </w:t>
      </w:r>
      <w:r w:rsidRPr="007D1037">
        <w:t>Involvement</w:t>
      </w:r>
      <w:bookmarkEnd w:id="2"/>
    </w:p>
    <w:p w14:paraId="7FD9E526" w14:textId="4613BA4D" w:rsidR="00FE5D65" w:rsidRDefault="006C6F09" w:rsidP="001C12E5">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3" w:name="_Toc217895684"/>
      <w:r>
        <w:t xml:space="preserve"> </w:t>
      </w:r>
      <w:r w:rsidR="004D3590" w:rsidRPr="00EA7288">
        <mc:AlternateContent>
          <mc:Choice Requires="wps">
            <w:drawing>
              <wp:anchor distT="0" distB="0" distL="114300" distR="114300" simplePos="0" relativeHeight="251661312" behindDoc="1" locked="1" layoutInCell="1" allowOverlap="1" wp14:anchorId="2EA53BE1" wp14:editId="13F6F32B">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735D1" id="Rectangle 729570528" o:spid="_x0000_s1026" alt="&quot;&quot;" style="position:absolute;margin-left:488.8pt;margin-top:36.5pt;width:540pt;height:719.5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3"/>
    </w:p>
    <w:bookmarkStart w:id="4" w:name="_Toc217895685" w:displacedByCustomXml="next"/>
    <w:sdt>
      <w:sdtPr>
        <w:rPr>
          <w:rFonts w:asciiTheme="minorHAnsi" w:hAnsiTheme="minorHAnsi"/>
          <w:b w:val="0"/>
          <w:bCs w:val="0"/>
          <w:color w:val="auto"/>
          <w:kern w:val="2"/>
          <w:sz w:val="24"/>
          <w:szCs w:val="20"/>
          <w14:ligatures w14:val="standardContextual"/>
        </w:rPr>
        <w:id w:val="1003324677"/>
        <w:docPartObj>
          <w:docPartGallery w:val="Table of Contents"/>
          <w:docPartUnique/>
        </w:docPartObj>
      </w:sdtPr>
      <w:sdtEndPr>
        <w:rPr>
          <w:noProof/>
        </w:rPr>
      </w:sdtEndPr>
      <w:sdtContent>
        <w:p w14:paraId="3BF16EEB" w14:textId="1A0A72E9" w:rsidR="000A4BC7" w:rsidRDefault="000A4BC7">
          <w:pPr>
            <w:pStyle w:val="TOCHeading"/>
          </w:pPr>
          <w:r>
            <w:t>Contents</w:t>
          </w:r>
        </w:p>
        <w:p w14:paraId="53BCA0F7" w14:textId="29CA2AD1" w:rsidR="008761BE" w:rsidRDefault="000A4BC7">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"1-3" \h \z \u </w:instrText>
          </w:r>
          <w:r>
            <w:fldChar w:fldCharType="separate"/>
          </w:r>
          <w:hyperlink w:anchor="_Toc224026192" w:history="1">
            <w:r w:rsidR="008761BE" w:rsidRPr="002333E4">
              <w:rPr>
                <w:rStyle w:val="Hyperlink"/>
              </w:rPr>
              <w:t>Environmental Handbook: Public Involvement</w:t>
            </w:r>
            <w:r w:rsidR="008761BE">
              <w:rPr>
                <w:webHidden/>
              </w:rPr>
              <w:tab/>
            </w:r>
            <w:r w:rsidR="008761BE">
              <w:rPr>
                <w:webHidden/>
              </w:rPr>
              <w:fldChar w:fldCharType="begin"/>
            </w:r>
            <w:r w:rsidR="008761BE">
              <w:rPr>
                <w:webHidden/>
              </w:rPr>
              <w:instrText xml:space="preserve"> PAGEREF _Toc224026192 \h </w:instrText>
            </w:r>
            <w:r w:rsidR="008761BE">
              <w:rPr>
                <w:webHidden/>
              </w:rPr>
            </w:r>
            <w:r w:rsidR="008761BE">
              <w:rPr>
                <w:webHidden/>
              </w:rPr>
              <w:fldChar w:fldCharType="separate"/>
            </w:r>
            <w:r w:rsidR="008761BE">
              <w:rPr>
                <w:webHidden/>
              </w:rPr>
              <w:t>1</w:t>
            </w:r>
            <w:r w:rsidR="008761BE">
              <w:rPr>
                <w:webHidden/>
              </w:rPr>
              <w:fldChar w:fldCharType="end"/>
            </w:r>
          </w:hyperlink>
        </w:p>
        <w:p w14:paraId="0677FF26" w14:textId="6A6402C7" w:rsidR="008761BE" w:rsidRDefault="008761BE">
          <w:pPr>
            <w:pStyle w:val="TOC2"/>
            <w:tabs>
              <w:tab w:val="right" w:leader="dot" w:pos="9350"/>
            </w:tabs>
            <w:rPr>
              <w:rFonts w:eastAsiaTheme="minorEastAsia"/>
              <w:noProof/>
              <w:szCs w:val="24"/>
            </w:rPr>
          </w:pPr>
          <w:hyperlink w:anchor="_Toc224026193" w:history="1">
            <w:r w:rsidRPr="002333E4">
              <w:rPr>
                <w:rStyle w:val="Hyperlink"/>
                <w:noProof/>
              </w:rPr>
              <w:t>1.0 Introduction</w:t>
            </w:r>
            <w:r>
              <w:rPr>
                <w:noProof/>
                <w:webHidden/>
              </w:rPr>
              <w:tab/>
            </w:r>
            <w:r>
              <w:rPr>
                <w:noProof/>
                <w:webHidden/>
              </w:rPr>
              <w:fldChar w:fldCharType="begin"/>
            </w:r>
            <w:r>
              <w:rPr>
                <w:noProof/>
                <w:webHidden/>
              </w:rPr>
              <w:instrText xml:space="preserve"> PAGEREF _Toc224026193 \h </w:instrText>
            </w:r>
            <w:r>
              <w:rPr>
                <w:noProof/>
                <w:webHidden/>
              </w:rPr>
            </w:r>
            <w:r>
              <w:rPr>
                <w:noProof/>
                <w:webHidden/>
              </w:rPr>
              <w:fldChar w:fldCharType="separate"/>
            </w:r>
            <w:r>
              <w:rPr>
                <w:noProof/>
                <w:webHidden/>
              </w:rPr>
              <w:t>4</w:t>
            </w:r>
            <w:r>
              <w:rPr>
                <w:noProof/>
                <w:webHidden/>
              </w:rPr>
              <w:fldChar w:fldCharType="end"/>
            </w:r>
          </w:hyperlink>
        </w:p>
        <w:p w14:paraId="4483F8FF" w14:textId="2C8FA736" w:rsidR="008761BE" w:rsidRDefault="008761BE">
          <w:pPr>
            <w:pStyle w:val="TOC3"/>
            <w:tabs>
              <w:tab w:val="right" w:leader="dot" w:pos="9350"/>
            </w:tabs>
            <w:rPr>
              <w:rFonts w:eastAsiaTheme="minorEastAsia"/>
              <w:bCs w:val="0"/>
              <w:szCs w:val="24"/>
            </w:rPr>
          </w:pPr>
          <w:hyperlink w:anchor="_Toc224026194" w:history="1">
            <w:r w:rsidRPr="002333E4">
              <w:rPr>
                <w:rStyle w:val="Hyperlink"/>
              </w:rPr>
              <w:t>1.1 TxDOT Public Involvement Policy</w:t>
            </w:r>
            <w:r>
              <w:rPr>
                <w:webHidden/>
              </w:rPr>
              <w:tab/>
            </w:r>
            <w:r>
              <w:rPr>
                <w:webHidden/>
              </w:rPr>
              <w:fldChar w:fldCharType="begin"/>
            </w:r>
            <w:r>
              <w:rPr>
                <w:webHidden/>
              </w:rPr>
              <w:instrText xml:space="preserve"> PAGEREF _Toc224026194 \h </w:instrText>
            </w:r>
            <w:r>
              <w:rPr>
                <w:webHidden/>
              </w:rPr>
            </w:r>
            <w:r>
              <w:rPr>
                <w:webHidden/>
              </w:rPr>
              <w:fldChar w:fldCharType="separate"/>
            </w:r>
            <w:r>
              <w:rPr>
                <w:webHidden/>
              </w:rPr>
              <w:t>5</w:t>
            </w:r>
            <w:r>
              <w:rPr>
                <w:webHidden/>
              </w:rPr>
              <w:fldChar w:fldCharType="end"/>
            </w:r>
          </w:hyperlink>
        </w:p>
        <w:p w14:paraId="15F41E37" w14:textId="31B784A0" w:rsidR="008761BE" w:rsidRDefault="008761BE">
          <w:pPr>
            <w:pStyle w:val="TOC3"/>
            <w:tabs>
              <w:tab w:val="right" w:leader="dot" w:pos="9350"/>
            </w:tabs>
            <w:rPr>
              <w:rFonts w:eastAsiaTheme="minorEastAsia"/>
              <w:bCs w:val="0"/>
              <w:szCs w:val="24"/>
            </w:rPr>
          </w:pPr>
          <w:hyperlink w:anchor="_Toc224026195" w:history="1">
            <w:r w:rsidRPr="002333E4">
              <w:rPr>
                <w:rStyle w:val="Hyperlink"/>
              </w:rPr>
              <w:t>1.2 Responsible Parties</w:t>
            </w:r>
            <w:r>
              <w:rPr>
                <w:webHidden/>
              </w:rPr>
              <w:tab/>
            </w:r>
            <w:r>
              <w:rPr>
                <w:webHidden/>
              </w:rPr>
              <w:fldChar w:fldCharType="begin"/>
            </w:r>
            <w:r>
              <w:rPr>
                <w:webHidden/>
              </w:rPr>
              <w:instrText xml:space="preserve"> PAGEREF _Toc224026195 \h </w:instrText>
            </w:r>
            <w:r>
              <w:rPr>
                <w:webHidden/>
              </w:rPr>
            </w:r>
            <w:r>
              <w:rPr>
                <w:webHidden/>
              </w:rPr>
              <w:fldChar w:fldCharType="separate"/>
            </w:r>
            <w:r>
              <w:rPr>
                <w:webHidden/>
              </w:rPr>
              <w:t>5</w:t>
            </w:r>
            <w:r>
              <w:rPr>
                <w:webHidden/>
              </w:rPr>
              <w:fldChar w:fldCharType="end"/>
            </w:r>
          </w:hyperlink>
        </w:p>
        <w:p w14:paraId="5137D3B6" w14:textId="6EB47451" w:rsidR="008761BE" w:rsidRDefault="008761BE">
          <w:pPr>
            <w:pStyle w:val="TOC3"/>
            <w:tabs>
              <w:tab w:val="right" w:leader="dot" w:pos="9350"/>
            </w:tabs>
            <w:rPr>
              <w:rFonts w:eastAsiaTheme="minorEastAsia"/>
              <w:bCs w:val="0"/>
              <w:szCs w:val="24"/>
            </w:rPr>
          </w:pPr>
          <w:hyperlink w:anchor="_Toc224026196" w:history="1">
            <w:r w:rsidRPr="002333E4">
              <w:rPr>
                <w:rStyle w:val="Hyperlink"/>
              </w:rPr>
              <w:t>1.3 Applicable Project Types</w:t>
            </w:r>
            <w:r>
              <w:rPr>
                <w:webHidden/>
              </w:rPr>
              <w:tab/>
            </w:r>
            <w:r>
              <w:rPr>
                <w:webHidden/>
              </w:rPr>
              <w:fldChar w:fldCharType="begin"/>
            </w:r>
            <w:r>
              <w:rPr>
                <w:webHidden/>
              </w:rPr>
              <w:instrText xml:space="preserve"> PAGEREF _Toc224026196 \h </w:instrText>
            </w:r>
            <w:r>
              <w:rPr>
                <w:webHidden/>
              </w:rPr>
            </w:r>
            <w:r>
              <w:rPr>
                <w:webHidden/>
              </w:rPr>
              <w:fldChar w:fldCharType="separate"/>
            </w:r>
            <w:r>
              <w:rPr>
                <w:webHidden/>
              </w:rPr>
              <w:t>8</w:t>
            </w:r>
            <w:r>
              <w:rPr>
                <w:webHidden/>
              </w:rPr>
              <w:fldChar w:fldCharType="end"/>
            </w:r>
          </w:hyperlink>
        </w:p>
        <w:p w14:paraId="65C1BBA4" w14:textId="5D19DC46" w:rsidR="008761BE" w:rsidRDefault="008761BE">
          <w:pPr>
            <w:pStyle w:val="TOC2"/>
            <w:tabs>
              <w:tab w:val="right" w:leader="dot" w:pos="9350"/>
            </w:tabs>
            <w:rPr>
              <w:rFonts w:eastAsiaTheme="minorEastAsia"/>
              <w:noProof/>
              <w:szCs w:val="24"/>
            </w:rPr>
          </w:pPr>
          <w:hyperlink w:anchor="_Toc224026197" w:history="1">
            <w:r w:rsidRPr="002333E4">
              <w:rPr>
                <w:rStyle w:val="Hyperlink"/>
                <w:noProof/>
              </w:rPr>
              <w:t>2.0 Compliance Overview</w:t>
            </w:r>
            <w:r>
              <w:rPr>
                <w:noProof/>
                <w:webHidden/>
              </w:rPr>
              <w:tab/>
            </w:r>
            <w:r>
              <w:rPr>
                <w:noProof/>
                <w:webHidden/>
              </w:rPr>
              <w:fldChar w:fldCharType="begin"/>
            </w:r>
            <w:r>
              <w:rPr>
                <w:noProof/>
                <w:webHidden/>
              </w:rPr>
              <w:instrText xml:space="preserve"> PAGEREF _Toc224026197 \h </w:instrText>
            </w:r>
            <w:r>
              <w:rPr>
                <w:noProof/>
                <w:webHidden/>
              </w:rPr>
            </w:r>
            <w:r>
              <w:rPr>
                <w:noProof/>
                <w:webHidden/>
              </w:rPr>
              <w:fldChar w:fldCharType="separate"/>
            </w:r>
            <w:r>
              <w:rPr>
                <w:noProof/>
                <w:webHidden/>
              </w:rPr>
              <w:t>9</w:t>
            </w:r>
            <w:r>
              <w:rPr>
                <w:noProof/>
                <w:webHidden/>
              </w:rPr>
              <w:fldChar w:fldCharType="end"/>
            </w:r>
          </w:hyperlink>
        </w:p>
        <w:p w14:paraId="54486A34" w14:textId="3DEDA2F9" w:rsidR="008761BE" w:rsidRDefault="008761BE">
          <w:pPr>
            <w:pStyle w:val="TOC3"/>
            <w:tabs>
              <w:tab w:val="right" w:leader="dot" w:pos="9350"/>
            </w:tabs>
            <w:rPr>
              <w:rFonts w:eastAsiaTheme="minorEastAsia"/>
              <w:bCs w:val="0"/>
              <w:szCs w:val="24"/>
            </w:rPr>
          </w:pPr>
          <w:hyperlink w:anchor="_Toc224026198" w:history="1">
            <w:r w:rsidRPr="002333E4">
              <w:rPr>
                <w:rStyle w:val="Hyperlink"/>
              </w:rPr>
              <w:t>2.1 “Formal” Public Involvement Versus “Additional Public Outreach</w:t>
            </w:r>
            <w:r>
              <w:rPr>
                <w:webHidden/>
              </w:rPr>
              <w:tab/>
            </w:r>
            <w:r>
              <w:rPr>
                <w:webHidden/>
              </w:rPr>
              <w:fldChar w:fldCharType="begin"/>
            </w:r>
            <w:r>
              <w:rPr>
                <w:webHidden/>
              </w:rPr>
              <w:instrText xml:space="preserve"> PAGEREF _Toc224026198 \h </w:instrText>
            </w:r>
            <w:r>
              <w:rPr>
                <w:webHidden/>
              </w:rPr>
            </w:r>
            <w:r>
              <w:rPr>
                <w:webHidden/>
              </w:rPr>
              <w:fldChar w:fldCharType="separate"/>
            </w:r>
            <w:r>
              <w:rPr>
                <w:webHidden/>
              </w:rPr>
              <w:t>13</w:t>
            </w:r>
            <w:r>
              <w:rPr>
                <w:webHidden/>
              </w:rPr>
              <w:fldChar w:fldCharType="end"/>
            </w:r>
          </w:hyperlink>
        </w:p>
        <w:p w14:paraId="791F2EBE" w14:textId="5ADB9EE1" w:rsidR="008761BE" w:rsidRDefault="008761BE">
          <w:pPr>
            <w:pStyle w:val="TOC3"/>
            <w:tabs>
              <w:tab w:val="right" w:leader="dot" w:pos="9350"/>
            </w:tabs>
            <w:rPr>
              <w:rFonts w:eastAsiaTheme="minorEastAsia"/>
              <w:bCs w:val="0"/>
              <w:szCs w:val="24"/>
            </w:rPr>
          </w:pPr>
          <w:hyperlink w:anchor="_Toc224026199" w:history="1">
            <w:r w:rsidRPr="002333E4">
              <w:rPr>
                <w:rStyle w:val="Hyperlink"/>
              </w:rPr>
              <w:t>2.2 Use of Web-based Public Engagement Tools such as MetroQuest, Social PinPoint, etcetera.</w:t>
            </w:r>
            <w:r>
              <w:rPr>
                <w:webHidden/>
              </w:rPr>
              <w:tab/>
            </w:r>
            <w:r>
              <w:rPr>
                <w:webHidden/>
              </w:rPr>
              <w:fldChar w:fldCharType="begin"/>
            </w:r>
            <w:r>
              <w:rPr>
                <w:webHidden/>
              </w:rPr>
              <w:instrText xml:space="preserve"> PAGEREF _Toc224026199 \h </w:instrText>
            </w:r>
            <w:r>
              <w:rPr>
                <w:webHidden/>
              </w:rPr>
            </w:r>
            <w:r>
              <w:rPr>
                <w:webHidden/>
              </w:rPr>
              <w:fldChar w:fldCharType="separate"/>
            </w:r>
            <w:r>
              <w:rPr>
                <w:webHidden/>
              </w:rPr>
              <w:t>14</w:t>
            </w:r>
            <w:r>
              <w:rPr>
                <w:webHidden/>
              </w:rPr>
              <w:fldChar w:fldCharType="end"/>
            </w:r>
          </w:hyperlink>
        </w:p>
        <w:p w14:paraId="3C5137C5" w14:textId="403E5F39" w:rsidR="008761BE" w:rsidRDefault="008761BE">
          <w:pPr>
            <w:pStyle w:val="TOC2"/>
            <w:tabs>
              <w:tab w:val="right" w:leader="dot" w:pos="9350"/>
            </w:tabs>
            <w:rPr>
              <w:rFonts w:eastAsiaTheme="minorEastAsia"/>
              <w:noProof/>
              <w:szCs w:val="24"/>
            </w:rPr>
          </w:pPr>
          <w:hyperlink w:anchor="_Toc224026200" w:history="1">
            <w:r w:rsidRPr="002333E4">
              <w:rPr>
                <w:rStyle w:val="Hyperlink"/>
                <w:noProof/>
              </w:rPr>
              <w:t>3.0 Notice and Opportunity to Comment</w:t>
            </w:r>
            <w:r>
              <w:rPr>
                <w:noProof/>
                <w:webHidden/>
              </w:rPr>
              <w:tab/>
            </w:r>
            <w:r>
              <w:rPr>
                <w:noProof/>
                <w:webHidden/>
              </w:rPr>
              <w:fldChar w:fldCharType="begin"/>
            </w:r>
            <w:r>
              <w:rPr>
                <w:noProof/>
                <w:webHidden/>
              </w:rPr>
              <w:instrText xml:space="preserve"> PAGEREF _Toc224026200 \h </w:instrText>
            </w:r>
            <w:r>
              <w:rPr>
                <w:noProof/>
                <w:webHidden/>
              </w:rPr>
            </w:r>
            <w:r>
              <w:rPr>
                <w:noProof/>
                <w:webHidden/>
              </w:rPr>
              <w:fldChar w:fldCharType="separate"/>
            </w:r>
            <w:r>
              <w:rPr>
                <w:noProof/>
                <w:webHidden/>
              </w:rPr>
              <w:t>14</w:t>
            </w:r>
            <w:r>
              <w:rPr>
                <w:noProof/>
                <w:webHidden/>
              </w:rPr>
              <w:fldChar w:fldCharType="end"/>
            </w:r>
          </w:hyperlink>
        </w:p>
        <w:p w14:paraId="12D54714" w14:textId="7CA419FC" w:rsidR="008761BE" w:rsidRDefault="008761BE">
          <w:pPr>
            <w:pStyle w:val="TOC3"/>
            <w:tabs>
              <w:tab w:val="right" w:leader="dot" w:pos="9350"/>
            </w:tabs>
            <w:rPr>
              <w:rFonts w:eastAsiaTheme="minorEastAsia"/>
              <w:bCs w:val="0"/>
              <w:szCs w:val="24"/>
            </w:rPr>
          </w:pPr>
          <w:hyperlink w:anchor="_Toc224026201" w:history="1">
            <w:r w:rsidRPr="002333E4">
              <w:rPr>
                <w:rStyle w:val="Hyperlink"/>
              </w:rPr>
              <w:t>3.1 Situations Requiring a Notice and Opportunity to Comment Pre-Environmental Clearance</w:t>
            </w:r>
            <w:r>
              <w:rPr>
                <w:webHidden/>
              </w:rPr>
              <w:tab/>
            </w:r>
            <w:r>
              <w:rPr>
                <w:webHidden/>
              </w:rPr>
              <w:fldChar w:fldCharType="begin"/>
            </w:r>
            <w:r>
              <w:rPr>
                <w:webHidden/>
              </w:rPr>
              <w:instrText xml:space="preserve"> PAGEREF _Toc224026201 \h </w:instrText>
            </w:r>
            <w:r>
              <w:rPr>
                <w:webHidden/>
              </w:rPr>
            </w:r>
            <w:r>
              <w:rPr>
                <w:webHidden/>
              </w:rPr>
              <w:fldChar w:fldCharType="separate"/>
            </w:r>
            <w:r>
              <w:rPr>
                <w:webHidden/>
              </w:rPr>
              <w:t>15</w:t>
            </w:r>
            <w:r>
              <w:rPr>
                <w:webHidden/>
              </w:rPr>
              <w:fldChar w:fldCharType="end"/>
            </w:r>
          </w:hyperlink>
        </w:p>
        <w:p w14:paraId="1B147AD2" w14:textId="30042DA2" w:rsidR="008761BE" w:rsidRDefault="008761BE">
          <w:pPr>
            <w:pStyle w:val="TOC3"/>
            <w:tabs>
              <w:tab w:val="right" w:leader="dot" w:pos="9350"/>
            </w:tabs>
            <w:rPr>
              <w:rFonts w:eastAsiaTheme="minorEastAsia"/>
              <w:bCs w:val="0"/>
              <w:szCs w:val="24"/>
            </w:rPr>
          </w:pPr>
          <w:hyperlink w:anchor="_Toc224026202" w:history="1">
            <w:r w:rsidRPr="002333E4">
              <w:rPr>
                <w:rStyle w:val="Hyperlink"/>
              </w:rPr>
              <w:t>3.2 Situations Requiring a Notice and Opportunity to Comment Post-Environmental Clearance</w:t>
            </w:r>
            <w:r>
              <w:rPr>
                <w:webHidden/>
              </w:rPr>
              <w:tab/>
            </w:r>
            <w:r>
              <w:rPr>
                <w:webHidden/>
              </w:rPr>
              <w:fldChar w:fldCharType="begin"/>
            </w:r>
            <w:r>
              <w:rPr>
                <w:webHidden/>
              </w:rPr>
              <w:instrText xml:space="preserve"> PAGEREF _Toc224026202 \h </w:instrText>
            </w:r>
            <w:r>
              <w:rPr>
                <w:webHidden/>
              </w:rPr>
            </w:r>
            <w:r>
              <w:rPr>
                <w:webHidden/>
              </w:rPr>
              <w:fldChar w:fldCharType="separate"/>
            </w:r>
            <w:r>
              <w:rPr>
                <w:webHidden/>
              </w:rPr>
              <w:t>16</w:t>
            </w:r>
            <w:r>
              <w:rPr>
                <w:webHidden/>
              </w:rPr>
              <w:fldChar w:fldCharType="end"/>
            </w:r>
          </w:hyperlink>
        </w:p>
        <w:p w14:paraId="7BB898BC" w14:textId="5465FE2C" w:rsidR="008761BE" w:rsidRDefault="008761BE">
          <w:pPr>
            <w:pStyle w:val="TOC3"/>
            <w:tabs>
              <w:tab w:val="right" w:leader="dot" w:pos="9350"/>
            </w:tabs>
            <w:rPr>
              <w:rFonts w:eastAsiaTheme="minorEastAsia"/>
              <w:bCs w:val="0"/>
              <w:szCs w:val="24"/>
            </w:rPr>
          </w:pPr>
          <w:hyperlink w:anchor="_Toc224026203" w:history="1">
            <w:r w:rsidRPr="002333E4">
              <w:rPr>
                <w:rStyle w:val="Hyperlink"/>
              </w:rPr>
              <w:t>3.3 Notification</w:t>
            </w:r>
            <w:r>
              <w:rPr>
                <w:webHidden/>
              </w:rPr>
              <w:tab/>
            </w:r>
            <w:r>
              <w:rPr>
                <w:webHidden/>
              </w:rPr>
              <w:fldChar w:fldCharType="begin"/>
            </w:r>
            <w:r>
              <w:rPr>
                <w:webHidden/>
              </w:rPr>
              <w:instrText xml:space="preserve"> PAGEREF _Toc224026203 \h </w:instrText>
            </w:r>
            <w:r>
              <w:rPr>
                <w:webHidden/>
              </w:rPr>
            </w:r>
            <w:r>
              <w:rPr>
                <w:webHidden/>
              </w:rPr>
              <w:fldChar w:fldCharType="separate"/>
            </w:r>
            <w:r>
              <w:rPr>
                <w:webHidden/>
              </w:rPr>
              <w:t>17</w:t>
            </w:r>
            <w:r>
              <w:rPr>
                <w:webHidden/>
              </w:rPr>
              <w:fldChar w:fldCharType="end"/>
            </w:r>
          </w:hyperlink>
        </w:p>
        <w:p w14:paraId="73C86B51" w14:textId="68323916" w:rsidR="008761BE" w:rsidRDefault="008761BE">
          <w:pPr>
            <w:pStyle w:val="TOC3"/>
            <w:tabs>
              <w:tab w:val="right" w:leader="dot" w:pos="9350"/>
            </w:tabs>
            <w:rPr>
              <w:rFonts w:eastAsiaTheme="minorEastAsia"/>
              <w:bCs w:val="0"/>
              <w:szCs w:val="24"/>
            </w:rPr>
          </w:pPr>
          <w:hyperlink w:anchor="_Toc224026204" w:history="1">
            <w:r w:rsidRPr="002333E4">
              <w:rPr>
                <w:rStyle w:val="Hyperlink"/>
              </w:rPr>
              <w:t>3.4 Notice Format</w:t>
            </w:r>
            <w:r>
              <w:rPr>
                <w:webHidden/>
              </w:rPr>
              <w:tab/>
            </w:r>
            <w:r>
              <w:rPr>
                <w:webHidden/>
              </w:rPr>
              <w:fldChar w:fldCharType="begin"/>
            </w:r>
            <w:r>
              <w:rPr>
                <w:webHidden/>
              </w:rPr>
              <w:instrText xml:space="preserve"> PAGEREF _Toc224026204 \h </w:instrText>
            </w:r>
            <w:r>
              <w:rPr>
                <w:webHidden/>
              </w:rPr>
            </w:r>
            <w:r>
              <w:rPr>
                <w:webHidden/>
              </w:rPr>
              <w:fldChar w:fldCharType="separate"/>
            </w:r>
            <w:r>
              <w:rPr>
                <w:webHidden/>
              </w:rPr>
              <w:t>18</w:t>
            </w:r>
            <w:r>
              <w:rPr>
                <w:webHidden/>
              </w:rPr>
              <w:fldChar w:fldCharType="end"/>
            </w:r>
          </w:hyperlink>
        </w:p>
        <w:p w14:paraId="6AC9E88D" w14:textId="44E2D750" w:rsidR="008761BE" w:rsidRDefault="008761BE">
          <w:pPr>
            <w:pStyle w:val="TOC3"/>
            <w:tabs>
              <w:tab w:val="right" w:leader="dot" w:pos="9350"/>
            </w:tabs>
            <w:rPr>
              <w:rFonts w:eastAsiaTheme="minorEastAsia"/>
              <w:bCs w:val="0"/>
              <w:szCs w:val="24"/>
            </w:rPr>
          </w:pPr>
          <w:hyperlink w:anchor="_Toc224026205" w:history="1">
            <w:r w:rsidRPr="002333E4">
              <w:rPr>
                <w:rStyle w:val="Hyperlink"/>
              </w:rPr>
              <w:t>3.5 Comments</w:t>
            </w:r>
            <w:r>
              <w:rPr>
                <w:webHidden/>
              </w:rPr>
              <w:tab/>
            </w:r>
            <w:r>
              <w:rPr>
                <w:webHidden/>
              </w:rPr>
              <w:fldChar w:fldCharType="begin"/>
            </w:r>
            <w:r>
              <w:rPr>
                <w:webHidden/>
              </w:rPr>
              <w:instrText xml:space="preserve"> PAGEREF _Toc224026205 \h </w:instrText>
            </w:r>
            <w:r>
              <w:rPr>
                <w:webHidden/>
              </w:rPr>
            </w:r>
            <w:r>
              <w:rPr>
                <w:webHidden/>
              </w:rPr>
              <w:fldChar w:fldCharType="separate"/>
            </w:r>
            <w:r>
              <w:rPr>
                <w:webHidden/>
              </w:rPr>
              <w:t>18</w:t>
            </w:r>
            <w:r>
              <w:rPr>
                <w:webHidden/>
              </w:rPr>
              <w:fldChar w:fldCharType="end"/>
            </w:r>
          </w:hyperlink>
        </w:p>
        <w:p w14:paraId="5EEB593D" w14:textId="1905F128" w:rsidR="008761BE" w:rsidRDefault="008761BE">
          <w:pPr>
            <w:pStyle w:val="TOC2"/>
            <w:tabs>
              <w:tab w:val="right" w:leader="dot" w:pos="9350"/>
            </w:tabs>
            <w:rPr>
              <w:rFonts w:eastAsiaTheme="minorEastAsia"/>
              <w:noProof/>
              <w:szCs w:val="24"/>
            </w:rPr>
          </w:pPr>
          <w:hyperlink w:anchor="_Toc224026206" w:history="1">
            <w:r w:rsidRPr="002333E4">
              <w:rPr>
                <w:rStyle w:val="Hyperlink"/>
                <w:noProof/>
              </w:rPr>
              <w:t>4.0 Public Meetings</w:t>
            </w:r>
            <w:r>
              <w:rPr>
                <w:noProof/>
                <w:webHidden/>
              </w:rPr>
              <w:tab/>
            </w:r>
            <w:r>
              <w:rPr>
                <w:noProof/>
                <w:webHidden/>
              </w:rPr>
              <w:fldChar w:fldCharType="begin"/>
            </w:r>
            <w:r>
              <w:rPr>
                <w:noProof/>
                <w:webHidden/>
              </w:rPr>
              <w:instrText xml:space="preserve"> PAGEREF _Toc224026206 \h </w:instrText>
            </w:r>
            <w:r>
              <w:rPr>
                <w:noProof/>
                <w:webHidden/>
              </w:rPr>
            </w:r>
            <w:r>
              <w:rPr>
                <w:noProof/>
                <w:webHidden/>
              </w:rPr>
              <w:fldChar w:fldCharType="separate"/>
            </w:r>
            <w:r>
              <w:rPr>
                <w:noProof/>
                <w:webHidden/>
              </w:rPr>
              <w:t>18</w:t>
            </w:r>
            <w:r>
              <w:rPr>
                <w:noProof/>
                <w:webHidden/>
              </w:rPr>
              <w:fldChar w:fldCharType="end"/>
            </w:r>
          </w:hyperlink>
        </w:p>
        <w:p w14:paraId="05CB6848" w14:textId="0F3F9CE0" w:rsidR="008761BE" w:rsidRDefault="008761BE">
          <w:pPr>
            <w:pStyle w:val="TOC3"/>
            <w:tabs>
              <w:tab w:val="right" w:leader="dot" w:pos="9350"/>
            </w:tabs>
            <w:rPr>
              <w:rFonts w:eastAsiaTheme="minorEastAsia"/>
              <w:bCs w:val="0"/>
              <w:szCs w:val="24"/>
            </w:rPr>
          </w:pPr>
          <w:hyperlink w:anchor="_Toc224026207" w:history="1">
            <w:r w:rsidRPr="002333E4">
              <w:rPr>
                <w:rStyle w:val="Hyperlink"/>
              </w:rPr>
              <w:t>4.1 Purpose of a Public Meeting</w:t>
            </w:r>
            <w:r>
              <w:rPr>
                <w:webHidden/>
              </w:rPr>
              <w:tab/>
            </w:r>
            <w:r>
              <w:rPr>
                <w:webHidden/>
              </w:rPr>
              <w:fldChar w:fldCharType="begin"/>
            </w:r>
            <w:r>
              <w:rPr>
                <w:webHidden/>
              </w:rPr>
              <w:instrText xml:space="preserve"> PAGEREF _Toc224026207 \h </w:instrText>
            </w:r>
            <w:r>
              <w:rPr>
                <w:webHidden/>
              </w:rPr>
            </w:r>
            <w:r>
              <w:rPr>
                <w:webHidden/>
              </w:rPr>
              <w:fldChar w:fldCharType="separate"/>
            </w:r>
            <w:r>
              <w:rPr>
                <w:webHidden/>
              </w:rPr>
              <w:t>20</w:t>
            </w:r>
            <w:r>
              <w:rPr>
                <w:webHidden/>
              </w:rPr>
              <w:fldChar w:fldCharType="end"/>
            </w:r>
          </w:hyperlink>
        </w:p>
        <w:p w14:paraId="676C53F1" w14:textId="2D81FDBD" w:rsidR="008761BE" w:rsidRDefault="008761BE">
          <w:pPr>
            <w:pStyle w:val="TOC3"/>
            <w:tabs>
              <w:tab w:val="right" w:leader="dot" w:pos="9350"/>
            </w:tabs>
            <w:rPr>
              <w:rFonts w:eastAsiaTheme="minorEastAsia"/>
              <w:bCs w:val="0"/>
              <w:szCs w:val="24"/>
            </w:rPr>
          </w:pPr>
          <w:hyperlink w:anchor="_Toc224026208" w:history="1">
            <w:r w:rsidRPr="002333E4">
              <w:rPr>
                <w:rStyle w:val="Hyperlink"/>
              </w:rPr>
              <w:t>4.2 Situations Requiring a Public Meeting</w:t>
            </w:r>
            <w:r>
              <w:rPr>
                <w:webHidden/>
              </w:rPr>
              <w:tab/>
            </w:r>
            <w:r>
              <w:rPr>
                <w:webHidden/>
              </w:rPr>
              <w:fldChar w:fldCharType="begin"/>
            </w:r>
            <w:r>
              <w:rPr>
                <w:webHidden/>
              </w:rPr>
              <w:instrText xml:space="preserve"> PAGEREF _Toc224026208 \h </w:instrText>
            </w:r>
            <w:r>
              <w:rPr>
                <w:webHidden/>
              </w:rPr>
            </w:r>
            <w:r>
              <w:rPr>
                <w:webHidden/>
              </w:rPr>
              <w:fldChar w:fldCharType="separate"/>
            </w:r>
            <w:r>
              <w:rPr>
                <w:webHidden/>
              </w:rPr>
              <w:t>20</w:t>
            </w:r>
            <w:r>
              <w:rPr>
                <w:webHidden/>
              </w:rPr>
              <w:fldChar w:fldCharType="end"/>
            </w:r>
          </w:hyperlink>
        </w:p>
        <w:p w14:paraId="41DD30D3" w14:textId="081FE796" w:rsidR="008761BE" w:rsidRDefault="008761BE">
          <w:pPr>
            <w:pStyle w:val="TOC3"/>
            <w:tabs>
              <w:tab w:val="right" w:leader="dot" w:pos="9350"/>
            </w:tabs>
            <w:rPr>
              <w:rFonts w:eastAsiaTheme="minorEastAsia"/>
              <w:bCs w:val="0"/>
              <w:szCs w:val="24"/>
            </w:rPr>
          </w:pPr>
          <w:hyperlink w:anchor="_Toc224026209" w:history="1">
            <w:r w:rsidRPr="002333E4">
              <w:rPr>
                <w:rStyle w:val="Hyperlink"/>
              </w:rPr>
              <w:t>4.3 Notification</w:t>
            </w:r>
            <w:r>
              <w:rPr>
                <w:webHidden/>
              </w:rPr>
              <w:tab/>
            </w:r>
            <w:r>
              <w:rPr>
                <w:webHidden/>
              </w:rPr>
              <w:fldChar w:fldCharType="begin"/>
            </w:r>
            <w:r>
              <w:rPr>
                <w:webHidden/>
              </w:rPr>
              <w:instrText xml:space="preserve"> PAGEREF _Toc224026209 \h </w:instrText>
            </w:r>
            <w:r>
              <w:rPr>
                <w:webHidden/>
              </w:rPr>
            </w:r>
            <w:r>
              <w:rPr>
                <w:webHidden/>
              </w:rPr>
              <w:fldChar w:fldCharType="separate"/>
            </w:r>
            <w:r>
              <w:rPr>
                <w:webHidden/>
              </w:rPr>
              <w:t>21</w:t>
            </w:r>
            <w:r>
              <w:rPr>
                <w:webHidden/>
              </w:rPr>
              <w:fldChar w:fldCharType="end"/>
            </w:r>
          </w:hyperlink>
        </w:p>
        <w:p w14:paraId="5DA6D42F" w14:textId="76A37ABF" w:rsidR="008761BE" w:rsidRDefault="008761BE">
          <w:pPr>
            <w:pStyle w:val="TOC3"/>
            <w:tabs>
              <w:tab w:val="right" w:leader="dot" w:pos="9350"/>
            </w:tabs>
            <w:rPr>
              <w:rFonts w:eastAsiaTheme="minorEastAsia"/>
              <w:bCs w:val="0"/>
              <w:szCs w:val="24"/>
            </w:rPr>
          </w:pPr>
          <w:hyperlink w:anchor="_Toc224026210" w:history="1">
            <w:r w:rsidRPr="002333E4">
              <w:rPr>
                <w:rStyle w:val="Hyperlink"/>
              </w:rPr>
              <w:t>4.4 Notice Format</w:t>
            </w:r>
            <w:r>
              <w:rPr>
                <w:webHidden/>
              </w:rPr>
              <w:tab/>
            </w:r>
            <w:r>
              <w:rPr>
                <w:webHidden/>
              </w:rPr>
              <w:fldChar w:fldCharType="begin"/>
            </w:r>
            <w:r>
              <w:rPr>
                <w:webHidden/>
              </w:rPr>
              <w:instrText xml:space="preserve"> PAGEREF _Toc224026210 \h </w:instrText>
            </w:r>
            <w:r>
              <w:rPr>
                <w:webHidden/>
              </w:rPr>
            </w:r>
            <w:r>
              <w:rPr>
                <w:webHidden/>
              </w:rPr>
              <w:fldChar w:fldCharType="separate"/>
            </w:r>
            <w:r>
              <w:rPr>
                <w:webHidden/>
              </w:rPr>
              <w:t>22</w:t>
            </w:r>
            <w:r>
              <w:rPr>
                <w:webHidden/>
              </w:rPr>
              <w:fldChar w:fldCharType="end"/>
            </w:r>
          </w:hyperlink>
        </w:p>
        <w:p w14:paraId="6426FE7E" w14:textId="03128D93" w:rsidR="008761BE" w:rsidRDefault="008761BE">
          <w:pPr>
            <w:pStyle w:val="TOC3"/>
            <w:tabs>
              <w:tab w:val="right" w:leader="dot" w:pos="9350"/>
            </w:tabs>
            <w:rPr>
              <w:rFonts w:eastAsiaTheme="minorEastAsia"/>
              <w:bCs w:val="0"/>
              <w:szCs w:val="24"/>
            </w:rPr>
          </w:pPr>
          <w:hyperlink w:anchor="_Toc224026211" w:history="1">
            <w:r w:rsidRPr="002333E4">
              <w:rPr>
                <w:rStyle w:val="Hyperlink"/>
              </w:rPr>
              <w:t>4.5 Public Meeting Types</w:t>
            </w:r>
            <w:r>
              <w:rPr>
                <w:webHidden/>
              </w:rPr>
              <w:tab/>
            </w:r>
            <w:r>
              <w:rPr>
                <w:webHidden/>
              </w:rPr>
              <w:fldChar w:fldCharType="begin"/>
            </w:r>
            <w:r>
              <w:rPr>
                <w:webHidden/>
              </w:rPr>
              <w:instrText xml:space="preserve"> PAGEREF _Toc224026211 \h </w:instrText>
            </w:r>
            <w:r>
              <w:rPr>
                <w:webHidden/>
              </w:rPr>
            </w:r>
            <w:r>
              <w:rPr>
                <w:webHidden/>
              </w:rPr>
              <w:fldChar w:fldCharType="separate"/>
            </w:r>
            <w:r>
              <w:rPr>
                <w:webHidden/>
              </w:rPr>
              <w:t>26</w:t>
            </w:r>
            <w:r>
              <w:rPr>
                <w:webHidden/>
              </w:rPr>
              <w:fldChar w:fldCharType="end"/>
            </w:r>
          </w:hyperlink>
        </w:p>
        <w:p w14:paraId="46FE056F" w14:textId="6BC45F69" w:rsidR="008761BE" w:rsidRDefault="008761BE">
          <w:pPr>
            <w:pStyle w:val="TOC2"/>
            <w:tabs>
              <w:tab w:val="right" w:leader="dot" w:pos="9350"/>
            </w:tabs>
            <w:rPr>
              <w:rFonts w:eastAsiaTheme="minorEastAsia"/>
              <w:noProof/>
              <w:szCs w:val="24"/>
            </w:rPr>
          </w:pPr>
          <w:hyperlink w:anchor="_Toc224026212" w:history="1">
            <w:r w:rsidRPr="002333E4">
              <w:rPr>
                <w:rStyle w:val="Hyperlink"/>
                <w:noProof/>
              </w:rPr>
              <w:t>5.0 Opportunity for Public Hearing</w:t>
            </w:r>
            <w:r>
              <w:rPr>
                <w:noProof/>
                <w:webHidden/>
              </w:rPr>
              <w:tab/>
            </w:r>
            <w:r>
              <w:rPr>
                <w:noProof/>
                <w:webHidden/>
              </w:rPr>
              <w:fldChar w:fldCharType="begin"/>
            </w:r>
            <w:r>
              <w:rPr>
                <w:noProof/>
                <w:webHidden/>
              </w:rPr>
              <w:instrText xml:space="preserve"> PAGEREF _Toc224026212 \h </w:instrText>
            </w:r>
            <w:r>
              <w:rPr>
                <w:noProof/>
                <w:webHidden/>
              </w:rPr>
            </w:r>
            <w:r>
              <w:rPr>
                <w:noProof/>
                <w:webHidden/>
              </w:rPr>
              <w:fldChar w:fldCharType="separate"/>
            </w:r>
            <w:r>
              <w:rPr>
                <w:noProof/>
                <w:webHidden/>
              </w:rPr>
              <w:t>32</w:t>
            </w:r>
            <w:r>
              <w:rPr>
                <w:noProof/>
                <w:webHidden/>
              </w:rPr>
              <w:fldChar w:fldCharType="end"/>
            </w:r>
          </w:hyperlink>
        </w:p>
        <w:p w14:paraId="1A234F1D" w14:textId="310EC7B8" w:rsidR="008761BE" w:rsidRDefault="008761BE">
          <w:pPr>
            <w:pStyle w:val="TOC3"/>
            <w:tabs>
              <w:tab w:val="right" w:leader="dot" w:pos="9350"/>
            </w:tabs>
            <w:rPr>
              <w:rFonts w:eastAsiaTheme="minorEastAsia"/>
              <w:bCs w:val="0"/>
              <w:szCs w:val="24"/>
            </w:rPr>
          </w:pPr>
          <w:hyperlink w:anchor="_Toc224026213" w:history="1">
            <w:r w:rsidRPr="002333E4">
              <w:rPr>
                <w:rStyle w:val="Hyperlink"/>
              </w:rPr>
              <w:t>5.1 When to Afford the Opportunity for a Public Hearing</w:t>
            </w:r>
            <w:r>
              <w:rPr>
                <w:webHidden/>
              </w:rPr>
              <w:tab/>
            </w:r>
            <w:r>
              <w:rPr>
                <w:webHidden/>
              </w:rPr>
              <w:fldChar w:fldCharType="begin"/>
            </w:r>
            <w:r>
              <w:rPr>
                <w:webHidden/>
              </w:rPr>
              <w:instrText xml:space="preserve"> PAGEREF _Toc224026213 \h </w:instrText>
            </w:r>
            <w:r>
              <w:rPr>
                <w:webHidden/>
              </w:rPr>
            </w:r>
            <w:r>
              <w:rPr>
                <w:webHidden/>
              </w:rPr>
              <w:fldChar w:fldCharType="separate"/>
            </w:r>
            <w:r>
              <w:rPr>
                <w:webHidden/>
              </w:rPr>
              <w:t>32</w:t>
            </w:r>
            <w:r>
              <w:rPr>
                <w:webHidden/>
              </w:rPr>
              <w:fldChar w:fldCharType="end"/>
            </w:r>
          </w:hyperlink>
        </w:p>
        <w:p w14:paraId="579ED291" w14:textId="5BCE8F80" w:rsidR="008761BE" w:rsidRDefault="008761BE">
          <w:pPr>
            <w:pStyle w:val="TOC3"/>
            <w:tabs>
              <w:tab w:val="right" w:leader="dot" w:pos="9350"/>
            </w:tabs>
            <w:rPr>
              <w:rFonts w:eastAsiaTheme="minorEastAsia"/>
              <w:bCs w:val="0"/>
              <w:szCs w:val="24"/>
            </w:rPr>
          </w:pPr>
          <w:hyperlink w:anchor="_Toc224026214" w:history="1">
            <w:r w:rsidRPr="002333E4">
              <w:rPr>
                <w:rStyle w:val="Hyperlink"/>
              </w:rPr>
              <w:t>5.2 Notifications</w:t>
            </w:r>
            <w:r>
              <w:rPr>
                <w:webHidden/>
              </w:rPr>
              <w:tab/>
            </w:r>
            <w:r>
              <w:rPr>
                <w:webHidden/>
              </w:rPr>
              <w:fldChar w:fldCharType="begin"/>
            </w:r>
            <w:r>
              <w:rPr>
                <w:webHidden/>
              </w:rPr>
              <w:instrText xml:space="preserve"> PAGEREF _Toc224026214 \h </w:instrText>
            </w:r>
            <w:r>
              <w:rPr>
                <w:webHidden/>
              </w:rPr>
            </w:r>
            <w:r>
              <w:rPr>
                <w:webHidden/>
              </w:rPr>
              <w:fldChar w:fldCharType="separate"/>
            </w:r>
            <w:r>
              <w:rPr>
                <w:webHidden/>
              </w:rPr>
              <w:t>33</w:t>
            </w:r>
            <w:r>
              <w:rPr>
                <w:webHidden/>
              </w:rPr>
              <w:fldChar w:fldCharType="end"/>
            </w:r>
          </w:hyperlink>
        </w:p>
        <w:p w14:paraId="0300E603" w14:textId="7E269955" w:rsidR="008761BE" w:rsidRDefault="008761BE">
          <w:pPr>
            <w:pStyle w:val="TOC3"/>
            <w:tabs>
              <w:tab w:val="right" w:leader="dot" w:pos="9350"/>
            </w:tabs>
            <w:rPr>
              <w:rFonts w:eastAsiaTheme="minorEastAsia"/>
              <w:bCs w:val="0"/>
              <w:szCs w:val="24"/>
            </w:rPr>
          </w:pPr>
          <w:hyperlink w:anchor="_Toc224026215" w:history="1">
            <w:r w:rsidRPr="002333E4">
              <w:rPr>
                <w:rStyle w:val="Hyperlink"/>
              </w:rPr>
              <w:t>5.3 Notice Format</w:t>
            </w:r>
            <w:r>
              <w:rPr>
                <w:webHidden/>
              </w:rPr>
              <w:tab/>
            </w:r>
            <w:r>
              <w:rPr>
                <w:webHidden/>
              </w:rPr>
              <w:fldChar w:fldCharType="begin"/>
            </w:r>
            <w:r>
              <w:rPr>
                <w:webHidden/>
              </w:rPr>
              <w:instrText xml:space="preserve"> PAGEREF _Toc224026215 \h </w:instrText>
            </w:r>
            <w:r>
              <w:rPr>
                <w:webHidden/>
              </w:rPr>
            </w:r>
            <w:r>
              <w:rPr>
                <w:webHidden/>
              </w:rPr>
              <w:fldChar w:fldCharType="separate"/>
            </w:r>
            <w:r>
              <w:rPr>
                <w:webHidden/>
              </w:rPr>
              <w:t>35</w:t>
            </w:r>
            <w:r>
              <w:rPr>
                <w:webHidden/>
              </w:rPr>
              <w:fldChar w:fldCharType="end"/>
            </w:r>
          </w:hyperlink>
        </w:p>
        <w:p w14:paraId="5484B2B1" w14:textId="773F26DC" w:rsidR="008761BE" w:rsidRDefault="008761BE">
          <w:pPr>
            <w:pStyle w:val="TOC3"/>
            <w:tabs>
              <w:tab w:val="right" w:leader="dot" w:pos="9350"/>
            </w:tabs>
            <w:rPr>
              <w:rFonts w:eastAsiaTheme="minorEastAsia"/>
              <w:bCs w:val="0"/>
              <w:szCs w:val="24"/>
            </w:rPr>
          </w:pPr>
          <w:hyperlink w:anchor="_Toc224026216" w:history="1">
            <w:r w:rsidRPr="002333E4">
              <w:rPr>
                <w:rStyle w:val="Hyperlink"/>
              </w:rPr>
              <w:t>5.4 Less Than 10 Hearing Requests and No Request by an Agency with Jurisdiction</w:t>
            </w:r>
            <w:r>
              <w:rPr>
                <w:webHidden/>
              </w:rPr>
              <w:tab/>
            </w:r>
            <w:r>
              <w:rPr>
                <w:webHidden/>
              </w:rPr>
              <w:fldChar w:fldCharType="begin"/>
            </w:r>
            <w:r>
              <w:rPr>
                <w:webHidden/>
              </w:rPr>
              <w:instrText xml:space="preserve"> PAGEREF _Toc224026216 \h </w:instrText>
            </w:r>
            <w:r>
              <w:rPr>
                <w:webHidden/>
              </w:rPr>
            </w:r>
            <w:r>
              <w:rPr>
                <w:webHidden/>
              </w:rPr>
              <w:fldChar w:fldCharType="separate"/>
            </w:r>
            <w:r>
              <w:rPr>
                <w:webHidden/>
              </w:rPr>
              <w:t>37</w:t>
            </w:r>
            <w:r>
              <w:rPr>
                <w:webHidden/>
              </w:rPr>
              <w:fldChar w:fldCharType="end"/>
            </w:r>
          </w:hyperlink>
        </w:p>
        <w:p w14:paraId="01C81396" w14:textId="64F5C570" w:rsidR="008761BE" w:rsidRDefault="008761BE">
          <w:pPr>
            <w:pStyle w:val="TOC3"/>
            <w:tabs>
              <w:tab w:val="right" w:leader="dot" w:pos="9350"/>
            </w:tabs>
            <w:rPr>
              <w:rFonts w:eastAsiaTheme="minorEastAsia"/>
              <w:bCs w:val="0"/>
              <w:szCs w:val="24"/>
            </w:rPr>
          </w:pPr>
          <w:hyperlink w:anchor="_Toc224026217" w:history="1">
            <w:r w:rsidRPr="002333E4">
              <w:rPr>
                <w:rStyle w:val="Hyperlink"/>
              </w:rPr>
              <w:t>5.5 Ten or More Hearing Requests or a Request by an Agency with Jurisdiction</w:t>
            </w:r>
            <w:r>
              <w:rPr>
                <w:webHidden/>
              </w:rPr>
              <w:tab/>
            </w:r>
            <w:r>
              <w:rPr>
                <w:webHidden/>
              </w:rPr>
              <w:fldChar w:fldCharType="begin"/>
            </w:r>
            <w:r>
              <w:rPr>
                <w:webHidden/>
              </w:rPr>
              <w:instrText xml:space="preserve"> PAGEREF _Toc224026217 \h </w:instrText>
            </w:r>
            <w:r>
              <w:rPr>
                <w:webHidden/>
              </w:rPr>
            </w:r>
            <w:r>
              <w:rPr>
                <w:webHidden/>
              </w:rPr>
              <w:fldChar w:fldCharType="separate"/>
            </w:r>
            <w:r>
              <w:rPr>
                <w:webHidden/>
              </w:rPr>
              <w:t>38</w:t>
            </w:r>
            <w:r>
              <w:rPr>
                <w:webHidden/>
              </w:rPr>
              <w:fldChar w:fldCharType="end"/>
            </w:r>
          </w:hyperlink>
        </w:p>
        <w:p w14:paraId="73A41F74" w14:textId="12C5F541" w:rsidR="008761BE" w:rsidRDefault="008761BE">
          <w:pPr>
            <w:pStyle w:val="TOC2"/>
            <w:tabs>
              <w:tab w:val="right" w:leader="dot" w:pos="9350"/>
            </w:tabs>
            <w:rPr>
              <w:rFonts w:eastAsiaTheme="minorEastAsia"/>
              <w:noProof/>
              <w:szCs w:val="24"/>
            </w:rPr>
          </w:pPr>
          <w:hyperlink w:anchor="_Toc224026218" w:history="1">
            <w:r w:rsidRPr="002333E4">
              <w:rPr>
                <w:rStyle w:val="Hyperlink"/>
                <w:noProof/>
              </w:rPr>
              <w:t>6.0 Public Hearing</w:t>
            </w:r>
            <w:r>
              <w:rPr>
                <w:noProof/>
                <w:webHidden/>
              </w:rPr>
              <w:tab/>
            </w:r>
            <w:r>
              <w:rPr>
                <w:noProof/>
                <w:webHidden/>
              </w:rPr>
              <w:fldChar w:fldCharType="begin"/>
            </w:r>
            <w:r>
              <w:rPr>
                <w:noProof/>
                <w:webHidden/>
              </w:rPr>
              <w:instrText xml:space="preserve"> PAGEREF _Toc224026218 \h </w:instrText>
            </w:r>
            <w:r>
              <w:rPr>
                <w:noProof/>
                <w:webHidden/>
              </w:rPr>
            </w:r>
            <w:r>
              <w:rPr>
                <w:noProof/>
                <w:webHidden/>
              </w:rPr>
              <w:fldChar w:fldCharType="separate"/>
            </w:r>
            <w:r>
              <w:rPr>
                <w:noProof/>
                <w:webHidden/>
              </w:rPr>
              <w:t>39</w:t>
            </w:r>
            <w:r>
              <w:rPr>
                <w:noProof/>
                <w:webHidden/>
              </w:rPr>
              <w:fldChar w:fldCharType="end"/>
            </w:r>
          </w:hyperlink>
        </w:p>
        <w:p w14:paraId="7A57ADA9" w14:textId="75E4072C" w:rsidR="008761BE" w:rsidRDefault="008761BE">
          <w:pPr>
            <w:pStyle w:val="TOC3"/>
            <w:tabs>
              <w:tab w:val="right" w:leader="dot" w:pos="9350"/>
            </w:tabs>
            <w:rPr>
              <w:rFonts w:eastAsiaTheme="minorEastAsia"/>
              <w:bCs w:val="0"/>
              <w:szCs w:val="24"/>
            </w:rPr>
          </w:pPr>
          <w:hyperlink w:anchor="_Toc224026219" w:history="1">
            <w:r w:rsidRPr="002333E4">
              <w:rPr>
                <w:rStyle w:val="Hyperlink"/>
              </w:rPr>
              <w:t>6.1 Notification</w:t>
            </w:r>
            <w:r>
              <w:rPr>
                <w:webHidden/>
              </w:rPr>
              <w:tab/>
            </w:r>
            <w:r>
              <w:rPr>
                <w:webHidden/>
              </w:rPr>
              <w:fldChar w:fldCharType="begin"/>
            </w:r>
            <w:r>
              <w:rPr>
                <w:webHidden/>
              </w:rPr>
              <w:instrText xml:space="preserve"> PAGEREF _Toc224026219 \h </w:instrText>
            </w:r>
            <w:r>
              <w:rPr>
                <w:webHidden/>
              </w:rPr>
            </w:r>
            <w:r>
              <w:rPr>
                <w:webHidden/>
              </w:rPr>
              <w:fldChar w:fldCharType="separate"/>
            </w:r>
            <w:r>
              <w:rPr>
                <w:webHidden/>
              </w:rPr>
              <w:t>42</w:t>
            </w:r>
            <w:r>
              <w:rPr>
                <w:webHidden/>
              </w:rPr>
              <w:fldChar w:fldCharType="end"/>
            </w:r>
          </w:hyperlink>
        </w:p>
        <w:p w14:paraId="10AE1B5E" w14:textId="77E908F1" w:rsidR="008761BE" w:rsidRDefault="008761BE">
          <w:pPr>
            <w:pStyle w:val="TOC3"/>
            <w:tabs>
              <w:tab w:val="right" w:leader="dot" w:pos="9350"/>
            </w:tabs>
            <w:rPr>
              <w:rFonts w:eastAsiaTheme="minorEastAsia"/>
              <w:bCs w:val="0"/>
              <w:szCs w:val="24"/>
            </w:rPr>
          </w:pPr>
          <w:hyperlink w:anchor="_Toc224026220" w:history="1">
            <w:r w:rsidRPr="002333E4">
              <w:rPr>
                <w:rStyle w:val="Hyperlink"/>
              </w:rPr>
              <w:t>6.2 Notice Format</w:t>
            </w:r>
            <w:r>
              <w:rPr>
                <w:webHidden/>
              </w:rPr>
              <w:tab/>
            </w:r>
            <w:r>
              <w:rPr>
                <w:webHidden/>
              </w:rPr>
              <w:fldChar w:fldCharType="begin"/>
            </w:r>
            <w:r>
              <w:rPr>
                <w:webHidden/>
              </w:rPr>
              <w:instrText xml:space="preserve"> PAGEREF _Toc224026220 \h </w:instrText>
            </w:r>
            <w:r>
              <w:rPr>
                <w:webHidden/>
              </w:rPr>
            </w:r>
            <w:r>
              <w:rPr>
                <w:webHidden/>
              </w:rPr>
              <w:fldChar w:fldCharType="separate"/>
            </w:r>
            <w:r>
              <w:rPr>
                <w:webHidden/>
              </w:rPr>
              <w:t>45</w:t>
            </w:r>
            <w:r>
              <w:rPr>
                <w:webHidden/>
              </w:rPr>
              <w:fldChar w:fldCharType="end"/>
            </w:r>
          </w:hyperlink>
        </w:p>
        <w:p w14:paraId="025C9914" w14:textId="6FEF2644" w:rsidR="008761BE" w:rsidRDefault="008761BE">
          <w:pPr>
            <w:pStyle w:val="TOC3"/>
            <w:tabs>
              <w:tab w:val="right" w:leader="dot" w:pos="9350"/>
            </w:tabs>
            <w:rPr>
              <w:rFonts w:eastAsiaTheme="minorEastAsia"/>
              <w:bCs w:val="0"/>
              <w:szCs w:val="24"/>
            </w:rPr>
          </w:pPr>
          <w:hyperlink w:anchor="_Toc224026221" w:history="1">
            <w:r w:rsidRPr="002333E4">
              <w:rPr>
                <w:rStyle w:val="Hyperlink"/>
              </w:rPr>
              <w:t>6.3 Public Hearing Types</w:t>
            </w:r>
            <w:r>
              <w:rPr>
                <w:webHidden/>
              </w:rPr>
              <w:tab/>
            </w:r>
            <w:r>
              <w:rPr>
                <w:webHidden/>
              </w:rPr>
              <w:fldChar w:fldCharType="begin"/>
            </w:r>
            <w:r>
              <w:rPr>
                <w:webHidden/>
              </w:rPr>
              <w:instrText xml:space="preserve"> PAGEREF _Toc224026221 \h </w:instrText>
            </w:r>
            <w:r>
              <w:rPr>
                <w:webHidden/>
              </w:rPr>
            </w:r>
            <w:r>
              <w:rPr>
                <w:webHidden/>
              </w:rPr>
              <w:fldChar w:fldCharType="separate"/>
            </w:r>
            <w:r>
              <w:rPr>
                <w:webHidden/>
              </w:rPr>
              <w:t>49</w:t>
            </w:r>
            <w:r>
              <w:rPr>
                <w:webHidden/>
              </w:rPr>
              <w:fldChar w:fldCharType="end"/>
            </w:r>
          </w:hyperlink>
        </w:p>
        <w:p w14:paraId="35694306" w14:textId="3071F1E3" w:rsidR="008761BE" w:rsidRDefault="008761BE">
          <w:pPr>
            <w:pStyle w:val="TOC3"/>
            <w:tabs>
              <w:tab w:val="left" w:pos="960"/>
              <w:tab w:val="right" w:leader="dot" w:pos="9350"/>
            </w:tabs>
            <w:rPr>
              <w:rFonts w:eastAsiaTheme="minorEastAsia"/>
              <w:bCs w:val="0"/>
              <w:szCs w:val="24"/>
            </w:rPr>
          </w:pPr>
          <w:hyperlink w:anchor="_Toc224026222" w:history="1">
            <w:r w:rsidRPr="002333E4">
              <w:rPr>
                <w:rStyle w:val="Hyperlink"/>
              </w:rPr>
              <w:t>6.4</w:t>
            </w:r>
            <w:r>
              <w:rPr>
                <w:rFonts w:eastAsiaTheme="minorEastAsia"/>
                <w:bCs w:val="0"/>
                <w:szCs w:val="24"/>
              </w:rPr>
              <w:tab/>
            </w:r>
            <w:r w:rsidRPr="002333E4">
              <w:rPr>
                <w:rStyle w:val="Hyperlink"/>
              </w:rPr>
              <w:t>Post Public Hearing Activities</w:t>
            </w:r>
            <w:r>
              <w:rPr>
                <w:webHidden/>
              </w:rPr>
              <w:tab/>
            </w:r>
            <w:r>
              <w:rPr>
                <w:webHidden/>
              </w:rPr>
              <w:fldChar w:fldCharType="begin"/>
            </w:r>
            <w:r>
              <w:rPr>
                <w:webHidden/>
              </w:rPr>
              <w:instrText xml:space="preserve"> PAGEREF _Toc224026222 \h </w:instrText>
            </w:r>
            <w:r>
              <w:rPr>
                <w:webHidden/>
              </w:rPr>
            </w:r>
            <w:r>
              <w:rPr>
                <w:webHidden/>
              </w:rPr>
              <w:fldChar w:fldCharType="separate"/>
            </w:r>
            <w:r>
              <w:rPr>
                <w:webHidden/>
              </w:rPr>
              <w:t>60</w:t>
            </w:r>
            <w:r>
              <w:rPr>
                <w:webHidden/>
              </w:rPr>
              <w:fldChar w:fldCharType="end"/>
            </w:r>
          </w:hyperlink>
        </w:p>
        <w:p w14:paraId="223CFDD9" w14:textId="66B009EE" w:rsidR="008761BE" w:rsidRDefault="008761BE">
          <w:pPr>
            <w:pStyle w:val="TOC2"/>
            <w:tabs>
              <w:tab w:val="right" w:leader="dot" w:pos="9350"/>
            </w:tabs>
            <w:rPr>
              <w:rFonts w:eastAsiaTheme="minorEastAsia"/>
              <w:noProof/>
              <w:szCs w:val="24"/>
            </w:rPr>
          </w:pPr>
          <w:hyperlink w:anchor="_Toc224026223" w:history="1">
            <w:r w:rsidRPr="002333E4">
              <w:rPr>
                <w:rStyle w:val="Hyperlink"/>
                <w:noProof/>
              </w:rPr>
              <w:t>7.0 Notice of Intent (NOI)</w:t>
            </w:r>
            <w:r>
              <w:rPr>
                <w:noProof/>
                <w:webHidden/>
              </w:rPr>
              <w:tab/>
            </w:r>
            <w:r>
              <w:rPr>
                <w:noProof/>
                <w:webHidden/>
              </w:rPr>
              <w:fldChar w:fldCharType="begin"/>
            </w:r>
            <w:r>
              <w:rPr>
                <w:noProof/>
                <w:webHidden/>
              </w:rPr>
              <w:instrText xml:space="preserve"> PAGEREF _Toc224026223 \h </w:instrText>
            </w:r>
            <w:r>
              <w:rPr>
                <w:noProof/>
                <w:webHidden/>
              </w:rPr>
            </w:r>
            <w:r>
              <w:rPr>
                <w:noProof/>
                <w:webHidden/>
              </w:rPr>
              <w:fldChar w:fldCharType="separate"/>
            </w:r>
            <w:r>
              <w:rPr>
                <w:noProof/>
                <w:webHidden/>
              </w:rPr>
              <w:t>61</w:t>
            </w:r>
            <w:r>
              <w:rPr>
                <w:noProof/>
                <w:webHidden/>
              </w:rPr>
              <w:fldChar w:fldCharType="end"/>
            </w:r>
          </w:hyperlink>
        </w:p>
        <w:p w14:paraId="18E32EF3" w14:textId="7F79A621" w:rsidR="008761BE" w:rsidRDefault="008761BE">
          <w:pPr>
            <w:pStyle w:val="TOC2"/>
            <w:tabs>
              <w:tab w:val="right" w:leader="dot" w:pos="9350"/>
            </w:tabs>
            <w:rPr>
              <w:rFonts w:eastAsiaTheme="minorEastAsia"/>
              <w:noProof/>
              <w:szCs w:val="24"/>
            </w:rPr>
          </w:pPr>
          <w:hyperlink w:anchor="_Toc224026224" w:history="1">
            <w:r w:rsidRPr="002333E4">
              <w:rPr>
                <w:rStyle w:val="Hyperlink"/>
                <w:noProof/>
              </w:rPr>
              <w:t>8.0 EIS Coordination Plan</w:t>
            </w:r>
            <w:r>
              <w:rPr>
                <w:noProof/>
                <w:webHidden/>
              </w:rPr>
              <w:tab/>
            </w:r>
            <w:r>
              <w:rPr>
                <w:noProof/>
                <w:webHidden/>
              </w:rPr>
              <w:fldChar w:fldCharType="begin"/>
            </w:r>
            <w:r>
              <w:rPr>
                <w:noProof/>
                <w:webHidden/>
              </w:rPr>
              <w:instrText xml:space="preserve"> PAGEREF _Toc224026224 \h </w:instrText>
            </w:r>
            <w:r>
              <w:rPr>
                <w:noProof/>
                <w:webHidden/>
              </w:rPr>
            </w:r>
            <w:r>
              <w:rPr>
                <w:noProof/>
                <w:webHidden/>
              </w:rPr>
              <w:fldChar w:fldCharType="separate"/>
            </w:r>
            <w:r>
              <w:rPr>
                <w:noProof/>
                <w:webHidden/>
              </w:rPr>
              <w:t>62</w:t>
            </w:r>
            <w:r>
              <w:rPr>
                <w:noProof/>
                <w:webHidden/>
              </w:rPr>
              <w:fldChar w:fldCharType="end"/>
            </w:r>
          </w:hyperlink>
        </w:p>
        <w:p w14:paraId="5E8CCDD5" w14:textId="5A658BD2" w:rsidR="008761BE" w:rsidRDefault="008761BE">
          <w:pPr>
            <w:pStyle w:val="TOC2"/>
            <w:tabs>
              <w:tab w:val="right" w:leader="dot" w:pos="9350"/>
            </w:tabs>
            <w:rPr>
              <w:rFonts w:eastAsiaTheme="minorEastAsia"/>
              <w:noProof/>
              <w:szCs w:val="24"/>
            </w:rPr>
          </w:pPr>
          <w:hyperlink w:anchor="_Toc224026225" w:history="1">
            <w:r w:rsidRPr="002333E4">
              <w:rPr>
                <w:rStyle w:val="Hyperlink"/>
                <w:noProof/>
              </w:rPr>
              <w:t>9.0 Notice of Availability (NOA)</w:t>
            </w:r>
            <w:r>
              <w:rPr>
                <w:noProof/>
                <w:webHidden/>
              </w:rPr>
              <w:tab/>
            </w:r>
            <w:r>
              <w:rPr>
                <w:noProof/>
                <w:webHidden/>
              </w:rPr>
              <w:fldChar w:fldCharType="begin"/>
            </w:r>
            <w:r>
              <w:rPr>
                <w:noProof/>
                <w:webHidden/>
              </w:rPr>
              <w:instrText xml:space="preserve"> PAGEREF _Toc224026225 \h </w:instrText>
            </w:r>
            <w:r>
              <w:rPr>
                <w:noProof/>
                <w:webHidden/>
              </w:rPr>
            </w:r>
            <w:r>
              <w:rPr>
                <w:noProof/>
                <w:webHidden/>
              </w:rPr>
              <w:fldChar w:fldCharType="separate"/>
            </w:r>
            <w:r>
              <w:rPr>
                <w:noProof/>
                <w:webHidden/>
              </w:rPr>
              <w:t>62</w:t>
            </w:r>
            <w:r>
              <w:rPr>
                <w:noProof/>
                <w:webHidden/>
              </w:rPr>
              <w:fldChar w:fldCharType="end"/>
            </w:r>
          </w:hyperlink>
        </w:p>
        <w:p w14:paraId="5AC14F00" w14:textId="35B924C3" w:rsidR="008761BE" w:rsidRDefault="008761BE">
          <w:pPr>
            <w:pStyle w:val="TOC3"/>
            <w:tabs>
              <w:tab w:val="right" w:leader="dot" w:pos="9350"/>
            </w:tabs>
            <w:rPr>
              <w:rFonts w:eastAsiaTheme="minorEastAsia"/>
              <w:bCs w:val="0"/>
              <w:szCs w:val="24"/>
            </w:rPr>
          </w:pPr>
          <w:hyperlink w:anchor="_Toc224026226" w:history="1">
            <w:r w:rsidRPr="002333E4">
              <w:rPr>
                <w:rStyle w:val="Hyperlink"/>
              </w:rPr>
              <w:t>9.1 Draft Environmental Assessment (EA)</w:t>
            </w:r>
            <w:r>
              <w:rPr>
                <w:webHidden/>
              </w:rPr>
              <w:tab/>
            </w:r>
            <w:r>
              <w:rPr>
                <w:webHidden/>
              </w:rPr>
              <w:fldChar w:fldCharType="begin"/>
            </w:r>
            <w:r>
              <w:rPr>
                <w:webHidden/>
              </w:rPr>
              <w:instrText xml:space="preserve"> PAGEREF _Toc224026226 \h </w:instrText>
            </w:r>
            <w:r>
              <w:rPr>
                <w:webHidden/>
              </w:rPr>
            </w:r>
            <w:r>
              <w:rPr>
                <w:webHidden/>
              </w:rPr>
              <w:fldChar w:fldCharType="separate"/>
            </w:r>
            <w:r>
              <w:rPr>
                <w:webHidden/>
              </w:rPr>
              <w:t>64</w:t>
            </w:r>
            <w:r>
              <w:rPr>
                <w:webHidden/>
              </w:rPr>
              <w:fldChar w:fldCharType="end"/>
            </w:r>
          </w:hyperlink>
        </w:p>
        <w:p w14:paraId="45009F0C" w14:textId="72A7EBE5" w:rsidR="008761BE" w:rsidRDefault="008761BE">
          <w:pPr>
            <w:pStyle w:val="TOC3"/>
            <w:tabs>
              <w:tab w:val="right" w:leader="dot" w:pos="9350"/>
            </w:tabs>
            <w:rPr>
              <w:rFonts w:eastAsiaTheme="minorEastAsia"/>
              <w:bCs w:val="0"/>
              <w:szCs w:val="24"/>
            </w:rPr>
          </w:pPr>
          <w:hyperlink w:anchor="_Toc224026227" w:history="1">
            <w:r w:rsidRPr="002333E4">
              <w:rPr>
                <w:rStyle w:val="Hyperlink"/>
              </w:rPr>
              <w:t>9.2 Final EA (ONLY for an FHWA Project that Normally Requires and EIS per 23 CFR 771.115(a))</w:t>
            </w:r>
            <w:r>
              <w:rPr>
                <w:webHidden/>
              </w:rPr>
              <w:tab/>
            </w:r>
            <w:r>
              <w:rPr>
                <w:webHidden/>
              </w:rPr>
              <w:fldChar w:fldCharType="begin"/>
            </w:r>
            <w:r>
              <w:rPr>
                <w:webHidden/>
              </w:rPr>
              <w:instrText xml:space="preserve"> PAGEREF _Toc224026227 \h </w:instrText>
            </w:r>
            <w:r>
              <w:rPr>
                <w:webHidden/>
              </w:rPr>
            </w:r>
            <w:r>
              <w:rPr>
                <w:webHidden/>
              </w:rPr>
              <w:fldChar w:fldCharType="separate"/>
            </w:r>
            <w:r>
              <w:rPr>
                <w:webHidden/>
              </w:rPr>
              <w:t>65</w:t>
            </w:r>
            <w:r>
              <w:rPr>
                <w:webHidden/>
              </w:rPr>
              <w:fldChar w:fldCharType="end"/>
            </w:r>
          </w:hyperlink>
        </w:p>
        <w:p w14:paraId="43E2665A" w14:textId="55BCD806" w:rsidR="008761BE" w:rsidRDefault="008761BE">
          <w:pPr>
            <w:pStyle w:val="TOC3"/>
            <w:tabs>
              <w:tab w:val="right" w:leader="dot" w:pos="9350"/>
            </w:tabs>
            <w:rPr>
              <w:rFonts w:eastAsiaTheme="minorEastAsia"/>
              <w:bCs w:val="0"/>
              <w:szCs w:val="24"/>
            </w:rPr>
          </w:pPr>
          <w:hyperlink w:anchor="_Toc224026228" w:history="1">
            <w:r w:rsidRPr="002333E4">
              <w:rPr>
                <w:rStyle w:val="Hyperlink"/>
              </w:rPr>
              <w:t>9.3 Finding of No Significant Impact (FONSI)</w:t>
            </w:r>
            <w:r>
              <w:rPr>
                <w:webHidden/>
              </w:rPr>
              <w:tab/>
            </w:r>
            <w:r>
              <w:rPr>
                <w:webHidden/>
              </w:rPr>
              <w:fldChar w:fldCharType="begin"/>
            </w:r>
            <w:r>
              <w:rPr>
                <w:webHidden/>
              </w:rPr>
              <w:instrText xml:space="preserve"> PAGEREF _Toc224026228 \h </w:instrText>
            </w:r>
            <w:r>
              <w:rPr>
                <w:webHidden/>
              </w:rPr>
            </w:r>
            <w:r>
              <w:rPr>
                <w:webHidden/>
              </w:rPr>
              <w:fldChar w:fldCharType="separate"/>
            </w:r>
            <w:r>
              <w:rPr>
                <w:webHidden/>
              </w:rPr>
              <w:t>66</w:t>
            </w:r>
            <w:r>
              <w:rPr>
                <w:webHidden/>
              </w:rPr>
              <w:fldChar w:fldCharType="end"/>
            </w:r>
          </w:hyperlink>
        </w:p>
        <w:p w14:paraId="5F7D601D" w14:textId="5D7812ED" w:rsidR="008761BE" w:rsidRDefault="008761BE">
          <w:pPr>
            <w:pStyle w:val="TOC3"/>
            <w:tabs>
              <w:tab w:val="right" w:leader="dot" w:pos="9350"/>
            </w:tabs>
            <w:rPr>
              <w:rFonts w:eastAsiaTheme="minorEastAsia"/>
              <w:bCs w:val="0"/>
              <w:szCs w:val="24"/>
            </w:rPr>
          </w:pPr>
          <w:hyperlink w:anchor="_Toc224026229" w:history="1">
            <w:r w:rsidRPr="002333E4">
              <w:rPr>
                <w:rStyle w:val="Hyperlink"/>
              </w:rPr>
              <w:t>9.4 Draft Environmental Impact Statement</w:t>
            </w:r>
            <w:r>
              <w:rPr>
                <w:webHidden/>
              </w:rPr>
              <w:tab/>
            </w:r>
            <w:r>
              <w:rPr>
                <w:webHidden/>
              </w:rPr>
              <w:fldChar w:fldCharType="begin"/>
            </w:r>
            <w:r>
              <w:rPr>
                <w:webHidden/>
              </w:rPr>
              <w:instrText xml:space="preserve"> PAGEREF _Toc224026229 \h </w:instrText>
            </w:r>
            <w:r>
              <w:rPr>
                <w:webHidden/>
              </w:rPr>
            </w:r>
            <w:r>
              <w:rPr>
                <w:webHidden/>
              </w:rPr>
              <w:fldChar w:fldCharType="separate"/>
            </w:r>
            <w:r>
              <w:rPr>
                <w:webHidden/>
              </w:rPr>
              <w:t>66</w:t>
            </w:r>
            <w:r>
              <w:rPr>
                <w:webHidden/>
              </w:rPr>
              <w:fldChar w:fldCharType="end"/>
            </w:r>
          </w:hyperlink>
        </w:p>
        <w:p w14:paraId="67DD1512" w14:textId="24E65CE6" w:rsidR="008761BE" w:rsidRDefault="008761BE">
          <w:pPr>
            <w:pStyle w:val="TOC3"/>
            <w:tabs>
              <w:tab w:val="right" w:leader="dot" w:pos="9350"/>
            </w:tabs>
            <w:rPr>
              <w:rFonts w:eastAsiaTheme="minorEastAsia"/>
              <w:bCs w:val="0"/>
              <w:szCs w:val="24"/>
            </w:rPr>
          </w:pPr>
          <w:hyperlink w:anchor="_Toc224026230" w:history="1">
            <w:r w:rsidRPr="002333E4">
              <w:rPr>
                <w:rStyle w:val="Hyperlink"/>
              </w:rPr>
              <w:t>9.5 Final Environmental Impact Statement (FEIS)</w:t>
            </w:r>
            <w:r>
              <w:rPr>
                <w:webHidden/>
              </w:rPr>
              <w:tab/>
            </w:r>
            <w:r>
              <w:rPr>
                <w:webHidden/>
              </w:rPr>
              <w:fldChar w:fldCharType="begin"/>
            </w:r>
            <w:r>
              <w:rPr>
                <w:webHidden/>
              </w:rPr>
              <w:instrText xml:space="preserve"> PAGEREF _Toc224026230 \h </w:instrText>
            </w:r>
            <w:r>
              <w:rPr>
                <w:webHidden/>
              </w:rPr>
            </w:r>
            <w:r>
              <w:rPr>
                <w:webHidden/>
              </w:rPr>
              <w:fldChar w:fldCharType="separate"/>
            </w:r>
            <w:r>
              <w:rPr>
                <w:webHidden/>
              </w:rPr>
              <w:t>68</w:t>
            </w:r>
            <w:r>
              <w:rPr>
                <w:webHidden/>
              </w:rPr>
              <w:fldChar w:fldCharType="end"/>
            </w:r>
          </w:hyperlink>
        </w:p>
        <w:p w14:paraId="277E39E5" w14:textId="2C486977" w:rsidR="008761BE" w:rsidRDefault="008761BE">
          <w:pPr>
            <w:pStyle w:val="TOC3"/>
            <w:tabs>
              <w:tab w:val="right" w:leader="dot" w:pos="9350"/>
            </w:tabs>
            <w:rPr>
              <w:rFonts w:eastAsiaTheme="minorEastAsia"/>
              <w:bCs w:val="0"/>
              <w:szCs w:val="24"/>
            </w:rPr>
          </w:pPr>
          <w:hyperlink w:anchor="_Toc224026231" w:history="1">
            <w:r w:rsidRPr="002333E4">
              <w:rPr>
                <w:rStyle w:val="Hyperlink"/>
              </w:rPr>
              <w:t>9.6 Record of Decision (ROD)</w:t>
            </w:r>
            <w:r>
              <w:rPr>
                <w:webHidden/>
              </w:rPr>
              <w:tab/>
            </w:r>
            <w:r>
              <w:rPr>
                <w:webHidden/>
              </w:rPr>
              <w:fldChar w:fldCharType="begin"/>
            </w:r>
            <w:r>
              <w:rPr>
                <w:webHidden/>
              </w:rPr>
              <w:instrText xml:space="preserve"> PAGEREF _Toc224026231 \h </w:instrText>
            </w:r>
            <w:r>
              <w:rPr>
                <w:webHidden/>
              </w:rPr>
            </w:r>
            <w:r>
              <w:rPr>
                <w:webHidden/>
              </w:rPr>
              <w:fldChar w:fldCharType="separate"/>
            </w:r>
            <w:r>
              <w:rPr>
                <w:webHidden/>
              </w:rPr>
              <w:t>70</w:t>
            </w:r>
            <w:r>
              <w:rPr>
                <w:webHidden/>
              </w:rPr>
              <w:fldChar w:fldCharType="end"/>
            </w:r>
          </w:hyperlink>
        </w:p>
        <w:p w14:paraId="307FBE50" w14:textId="125E016F" w:rsidR="008761BE" w:rsidRDefault="008761BE">
          <w:pPr>
            <w:pStyle w:val="TOC2"/>
            <w:tabs>
              <w:tab w:val="right" w:leader="dot" w:pos="9350"/>
            </w:tabs>
            <w:rPr>
              <w:rFonts w:eastAsiaTheme="minorEastAsia"/>
              <w:noProof/>
              <w:szCs w:val="24"/>
            </w:rPr>
          </w:pPr>
          <w:hyperlink w:anchor="_Toc224026232" w:history="1">
            <w:r w:rsidRPr="002333E4">
              <w:rPr>
                <w:rStyle w:val="Hyperlink"/>
                <w:noProof/>
              </w:rPr>
              <w:t>10.0 Notice of Final Agency Action</w:t>
            </w:r>
            <w:r>
              <w:rPr>
                <w:noProof/>
                <w:webHidden/>
              </w:rPr>
              <w:tab/>
            </w:r>
            <w:r>
              <w:rPr>
                <w:noProof/>
                <w:webHidden/>
              </w:rPr>
              <w:fldChar w:fldCharType="begin"/>
            </w:r>
            <w:r>
              <w:rPr>
                <w:noProof/>
                <w:webHidden/>
              </w:rPr>
              <w:instrText xml:space="preserve"> PAGEREF _Toc224026232 \h </w:instrText>
            </w:r>
            <w:r>
              <w:rPr>
                <w:noProof/>
                <w:webHidden/>
              </w:rPr>
            </w:r>
            <w:r>
              <w:rPr>
                <w:noProof/>
                <w:webHidden/>
              </w:rPr>
              <w:fldChar w:fldCharType="separate"/>
            </w:r>
            <w:r>
              <w:rPr>
                <w:noProof/>
                <w:webHidden/>
              </w:rPr>
              <w:t>70</w:t>
            </w:r>
            <w:r>
              <w:rPr>
                <w:noProof/>
                <w:webHidden/>
              </w:rPr>
              <w:fldChar w:fldCharType="end"/>
            </w:r>
          </w:hyperlink>
        </w:p>
        <w:p w14:paraId="2FB4DEC7" w14:textId="60A13848" w:rsidR="008761BE" w:rsidRDefault="008761BE">
          <w:pPr>
            <w:pStyle w:val="TOC2"/>
            <w:tabs>
              <w:tab w:val="right" w:leader="dot" w:pos="9350"/>
            </w:tabs>
            <w:rPr>
              <w:rFonts w:eastAsiaTheme="minorEastAsia"/>
              <w:noProof/>
              <w:szCs w:val="24"/>
            </w:rPr>
          </w:pPr>
          <w:hyperlink w:anchor="_Toc224026233" w:history="1">
            <w:r w:rsidRPr="002333E4">
              <w:rPr>
                <w:rStyle w:val="Hyperlink"/>
                <w:noProof/>
              </w:rPr>
              <w:t>11.0 Notice of Impending Construction</w:t>
            </w:r>
            <w:r>
              <w:rPr>
                <w:noProof/>
                <w:webHidden/>
              </w:rPr>
              <w:tab/>
            </w:r>
            <w:r>
              <w:rPr>
                <w:noProof/>
                <w:webHidden/>
              </w:rPr>
              <w:fldChar w:fldCharType="begin"/>
            </w:r>
            <w:r>
              <w:rPr>
                <w:noProof/>
                <w:webHidden/>
              </w:rPr>
              <w:instrText xml:space="preserve"> PAGEREF _Toc224026233 \h </w:instrText>
            </w:r>
            <w:r>
              <w:rPr>
                <w:noProof/>
                <w:webHidden/>
              </w:rPr>
            </w:r>
            <w:r>
              <w:rPr>
                <w:noProof/>
                <w:webHidden/>
              </w:rPr>
              <w:fldChar w:fldCharType="separate"/>
            </w:r>
            <w:r>
              <w:rPr>
                <w:noProof/>
                <w:webHidden/>
              </w:rPr>
              <w:t>71</w:t>
            </w:r>
            <w:r>
              <w:rPr>
                <w:noProof/>
                <w:webHidden/>
              </w:rPr>
              <w:fldChar w:fldCharType="end"/>
            </w:r>
          </w:hyperlink>
        </w:p>
        <w:p w14:paraId="48D3385B" w14:textId="245ADB1E" w:rsidR="008761BE" w:rsidRDefault="008761BE">
          <w:pPr>
            <w:pStyle w:val="TOC3"/>
            <w:tabs>
              <w:tab w:val="right" w:leader="dot" w:pos="9350"/>
            </w:tabs>
            <w:rPr>
              <w:rFonts w:eastAsiaTheme="minorEastAsia"/>
              <w:bCs w:val="0"/>
              <w:szCs w:val="24"/>
            </w:rPr>
          </w:pPr>
          <w:hyperlink w:anchor="_Toc224026234" w:history="1">
            <w:r w:rsidRPr="002333E4">
              <w:rPr>
                <w:rStyle w:val="Hyperlink"/>
              </w:rPr>
              <w:t>11.1 Notification</w:t>
            </w:r>
            <w:r>
              <w:rPr>
                <w:webHidden/>
              </w:rPr>
              <w:tab/>
            </w:r>
            <w:r>
              <w:rPr>
                <w:webHidden/>
              </w:rPr>
              <w:fldChar w:fldCharType="begin"/>
            </w:r>
            <w:r>
              <w:rPr>
                <w:webHidden/>
              </w:rPr>
              <w:instrText xml:space="preserve"> PAGEREF _Toc224026234 \h </w:instrText>
            </w:r>
            <w:r>
              <w:rPr>
                <w:webHidden/>
              </w:rPr>
            </w:r>
            <w:r>
              <w:rPr>
                <w:webHidden/>
              </w:rPr>
              <w:fldChar w:fldCharType="separate"/>
            </w:r>
            <w:r>
              <w:rPr>
                <w:webHidden/>
              </w:rPr>
              <w:t>71</w:t>
            </w:r>
            <w:r>
              <w:rPr>
                <w:webHidden/>
              </w:rPr>
              <w:fldChar w:fldCharType="end"/>
            </w:r>
          </w:hyperlink>
        </w:p>
        <w:p w14:paraId="6A25E082" w14:textId="0512ABCA" w:rsidR="008761BE" w:rsidRDefault="008761BE">
          <w:pPr>
            <w:pStyle w:val="TOC2"/>
            <w:tabs>
              <w:tab w:val="right" w:leader="dot" w:pos="9350"/>
            </w:tabs>
            <w:rPr>
              <w:rFonts w:eastAsiaTheme="minorEastAsia"/>
              <w:noProof/>
              <w:szCs w:val="24"/>
            </w:rPr>
          </w:pPr>
          <w:hyperlink w:anchor="_Toc224026235" w:history="1">
            <w:r w:rsidRPr="002333E4">
              <w:rPr>
                <w:rStyle w:val="Hyperlink"/>
                <w:noProof/>
              </w:rPr>
              <w:t>12.0 Section 4(f) De Minimis Findings</w:t>
            </w:r>
            <w:r>
              <w:rPr>
                <w:noProof/>
                <w:webHidden/>
              </w:rPr>
              <w:tab/>
            </w:r>
            <w:r>
              <w:rPr>
                <w:noProof/>
                <w:webHidden/>
              </w:rPr>
              <w:fldChar w:fldCharType="begin"/>
            </w:r>
            <w:r>
              <w:rPr>
                <w:noProof/>
                <w:webHidden/>
              </w:rPr>
              <w:instrText xml:space="preserve"> PAGEREF _Toc224026235 \h </w:instrText>
            </w:r>
            <w:r>
              <w:rPr>
                <w:noProof/>
                <w:webHidden/>
              </w:rPr>
            </w:r>
            <w:r>
              <w:rPr>
                <w:noProof/>
                <w:webHidden/>
              </w:rPr>
              <w:fldChar w:fldCharType="separate"/>
            </w:r>
            <w:r>
              <w:rPr>
                <w:noProof/>
                <w:webHidden/>
              </w:rPr>
              <w:t>71</w:t>
            </w:r>
            <w:r>
              <w:rPr>
                <w:noProof/>
                <w:webHidden/>
              </w:rPr>
              <w:fldChar w:fldCharType="end"/>
            </w:r>
          </w:hyperlink>
        </w:p>
        <w:p w14:paraId="4A22D92E" w14:textId="31537DAF" w:rsidR="008761BE" w:rsidRDefault="008761BE">
          <w:pPr>
            <w:pStyle w:val="TOC2"/>
            <w:tabs>
              <w:tab w:val="right" w:leader="dot" w:pos="9350"/>
            </w:tabs>
            <w:rPr>
              <w:rFonts w:eastAsiaTheme="minorEastAsia"/>
              <w:noProof/>
              <w:szCs w:val="24"/>
            </w:rPr>
          </w:pPr>
          <w:hyperlink w:anchor="_Toc224026236" w:history="1">
            <w:r w:rsidRPr="002333E4">
              <w:rPr>
                <w:rStyle w:val="Hyperlink"/>
                <w:noProof/>
              </w:rPr>
              <w:t>13.0 Additional State Statutory Requirements</w:t>
            </w:r>
            <w:r>
              <w:rPr>
                <w:noProof/>
                <w:webHidden/>
              </w:rPr>
              <w:tab/>
            </w:r>
            <w:r>
              <w:rPr>
                <w:noProof/>
                <w:webHidden/>
              </w:rPr>
              <w:fldChar w:fldCharType="begin"/>
            </w:r>
            <w:r>
              <w:rPr>
                <w:noProof/>
                <w:webHidden/>
              </w:rPr>
              <w:instrText xml:space="preserve"> PAGEREF _Toc224026236 \h </w:instrText>
            </w:r>
            <w:r>
              <w:rPr>
                <w:noProof/>
                <w:webHidden/>
              </w:rPr>
            </w:r>
            <w:r>
              <w:rPr>
                <w:noProof/>
                <w:webHidden/>
              </w:rPr>
              <w:fldChar w:fldCharType="separate"/>
            </w:r>
            <w:r>
              <w:rPr>
                <w:noProof/>
                <w:webHidden/>
              </w:rPr>
              <w:t>72</w:t>
            </w:r>
            <w:r>
              <w:rPr>
                <w:noProof/>
                <w:webHidden/>
              </w:rPr>
              <w:fldChar w:fldCharType="end"/>
            </w:r>
          </w:hyperlink>
        </w:p>
        <w:p w14:paraId="35F2A083" w14:textId="64F9CB8F" w:rsidR="008761BE" w:rsidRDefault="008761BE">
          <w:pPr>
            <w:pStyle w:val="TOC3"/>
            <w:tabs>
              <w:tab w:val="right" w:leader="dot" w:pos="9350"/>
            </w:tabs>
            <w:rPr>
              <w:rFonts w:eastAsiaTheme="minorEastAsia"/>
              <w:bCs w:val="0"/>
              <w:szCs w:val="24"/>
            </w:rPr>
          </w:pPr>
          <w:hyperlink w:anchor="_Toc224026237" w:history="1">
            <w:r w:rsidRPr="002333E4">
              <w:rPr>
                <w:rStyle w:val="Hyperlink"/>
              </w:rPr>
              <w:t>13.1 Chapter 26 of the Parks and Wildlife Code</w:t>
            </w:r>
            <w:r>
              <w:rPr>
                <w:webHidden/>
              </w:rPr>
              <w:tab/>
            </w:r>
            <w:r>
              <w:rPr>
                <w:webHidden/>
              </w:rPr>
              <w:fldChar w:fldCharType="begin"/>
            </w:r>
            <w:r>
              <w:rPr>
                <w:webHidden/>
              </w:rPr>
              <w:instrText xml:space="preserve"> PAGEREF _Toc224026237 \h </w:instrText>
            </w:r>
            <w:r>
              <w:rPr>
                <w:webHidden/>
              </w:rPr>
            </w:r>
            <w:r>
              <w:rPr>
                <w:webHidden/>
              </w:rPr>
              <w:fldChar w:fldCharType="separate"/>
            </w:r>
            <w:r>
              <w:rPr>
                <w:webHidden/>
              </w:rPr>
              <w:t>72</w:t>
            </w:r>
            <w:r>
              <w:rPr>
                <w:webHidden/>
              </w:rPr>
              <w:fldChar w:fldCharType="end"/>
            </w:r>
          </w:hyperlink>
        </w:p>
        <w:p w14:paraId="3804A386" w14:textId="37B7A792" w:rsidR="008761BE" w:rsidRDefault="008761BE">
          <w:pPr>
            <w:pStyle w:val="TOC3"/>
            <w:tabs>
              <w:tab w:val="right" w:leader="dot" w:pos="9350"/>
            </w:tabs>
            <w:rPr>
              <w:rFonts w:eastAsiaTheme="minorEastAsia"/>
              <w:bCs w:val="0"/>
              <w:szCs w:val="24"/>
            </w:rPr>
          </w:pPr>
          <w:hyperlink w:anchor="_Toc224026238" w:history="1">
            <w:r w:rsidRPr="002333E4">
              <w:rPr>
                <w:rStyle w:val="Hyperlink"/>
              </w:rPr>
              <w:t>13.2 Transportation Code, 203.021</w:t>
            </w:r>
            <w:r>
              <w:rPr>
                <w:webHidden/>
              </w:rPr>
              <w:tab/>
            </w:r>
            <w:r>
              <w:rPr>
                <w:webHidden/>
              </w:rPr>
              <w:fldChar w:fldCharType="begin"/>
            </w:r>
            <w:r>
              <w:rPr>
                <w:webHidden/>
              </w:rPr>
              <w:instrText xml:space="preserve"> PAGEREF _Toc224026238 \h </w:instrText>
            </w:r>
            <w:r>
              <w:rPr>
                <w:webHidden/>
              </w:rPr>
            </w:r>
            <w:r>
              <w:rPr>
                <w:webHidden/>
              </w:rPr>
              <w:fldChar w:fldCharType="separate"/>
            </w:r>
            <w:r>
              <w:rPr>
                <w:webHidden/>
              </w:rPr>
              <w:t>72</w:t>
            </w:r>
            <w:r>
              <w:rPr>
                <w:webHidden/>
              </w:rPr>
              <w:fldChar w:fldCharType="end"/>
            </w:r>
          </w:hyperlink>
        </w:p>
        <w:p w14:paraId="25020EAB" w14:textId="09FF9BC8" w:rsidR="008761BE" w:rsidRDefault="008761BE">
          <w:pPr>
            <w:pStyle w:val="TOC3"/>
            <w:tabs>
              <w:tab w:val="right" w:leader="dot" w:pos="9350"/>
            </w:tabs>
            <w:rPr>
              <w:rFonts w:eastAsiaTheme="minorEastAsia"/>
              <w:bCs w:val="0"/>
              <w:szCs w:val="24"/>
            </w:rPr>
          </w:pPr>
          <w:hyperlink w:anchor="_Toc224026239" w:history="1">
            <w:r w:rsidRPr="002333E4">
              <w:rPr>
                <w:rStyle w:val="Hyperlink"/>
              </w:rPr>
              <w:t>13.3 Transportation Code, 201.811(b)</w:t>
            </w:r>
            <w:r>
              <w:rPr>
                <w:webHidden/>
              </w:rPr>
              <w:tab/>
            </w:r>
            <w:r>
              <w:rPr>
                <w:webHidden/>
              </w:rPr>
              <w:fldChar w:fldCharType="begin"/>
            </w:r>
            <w:r>
              <w:rPr>
                <w:webHidden/>
              </w:rPr>
              <w:instrText xml:space="preserve"> PAGEREF _Toc224026239 \h </w:instrText>
            </w:r>
            <w:r>
              <w:rPr>
                <w:webHidden/>
              </w:rPr>
            </w:r>
            <w:r>
              <w:rPr>
                <w:webHidden/>
              </w:rPr>
              <w:fldChar w:fldCharType="separate"/>
            </w:r>
            <w:r>
              <w:rPr>
                <w:webHidden/>
              </w:rPr>
              <w:t>73</w:t>
            </w:r>
            <w:r>
              <w:rPr>
                <w:webHidden/>
              </w:rPr>
              <w:fldChar w:fldCharType="end"/>
            </w:r>
          </w:hyperlink>
        </w:p>
        <w:p w14:paraId="5AF9786E" w14:textId="01852CAF" w:rsidR="008761BE" w:rsidRDefault="008761BE">
          <w:pPr>
            <w:pStyle w:val="TOC2"/>
            <w:tabs>
              <w:tab w:val="right" w:leader="dot" w:pos="9350"/>
            </w:tabs>
            <w:rPr>
              <w:rFonts w:eastAsiaTheme="minorEastAsia"/>
              <w:noProof/>
              <w:szCs w:val="24"/>
            </w:rPr>
          </w:pPr>
          <w:hyperlink w:anchor="_Toc224026240" w:history="1">
            <w:r w:rsidRPr="002333E4">
              <w:rPr>
                <w:rStyle w:val="Hyperlink"/>
                <w:noProof/>
              </w:rPr>
              <w:t>14.0 Documentation Requirements</w:t>
            </w:r>
            <w:r>
              <w:rPr>
                <w:noProof/>
                <w:webHidden/>
              </w:rPr>
              <w:tab/>
            </w:r>
            <w:r>
              <w:rPr>
                <w:noProof/>
                <w:webHidden/>
              </w:rPr>
              <w:fldChar w:fldCharType="begin"/>
            </w:r>
            <w:r>
              <w:rPr>
                <w:noProof/>
                <w:webHidden/>
              </w:rPr>
              <w:instrText xml:space="preserve"> PAGEREF _Toc224026240 \h </w:instrText>
            </w:r>
            <w:r>
              <w:rPr>
                <w:noProof/>
                <w:webHidden/>
              </w:rPr>
            </w:r>
            <w:r>
              <w:rPr>
                <w:noProof/>
                <w:webHidden/>
              </w:rPr>
              <w:fldChar w:fldCharType="separate"/>
            </w:r>
            <w:r>
              <w:rPr>
                <w:noProof/>
                <w:webHidden/>
              </w:rPr>
              <w:t>73</w:t>
            </w:r>
            <w:r>
              <w:rPr>
                <w:noProof/>
                <w:webHidden/>
              </w:rPr>
              <w:fldChar w:fldCharType="end"/>
            </w:r>
          </w:hyperlink>
        </w:p>
        <w:p w14:paraId="2F8E0AA6" w14:textId="183E1473" w:rsidR="008761BE" w:rsidRDefault="008761BE">
          <w:pPr>
            <w:pStyle w:val="TOC3"/>
            <w:tabs>
              <w:tab w:val="right" w:leader="dot" w:pos="9350"/>
            </w:tabs>
            <w:rPr>
              <w:rFonts w:eastAsiaTheme="minorEastAsia"/>
              <w:bCs w:val="0"/>
              <w:szCs w:val="24"/>
            </w:rPr>
          </w:pPr>
          <w:hyperlink w:anchor="_Toc224026241" w:history="1">
            <w:r w:rsidRPr="002333E4">
              <w:rPr>
                <w:rStyle w:val="Hyperlink"/>
              </w:rPr>
              <w:t>14.1 Notice and Opportunity to Comment</w:t>
            </w:r>
            <w:r>
              <w:rPr>
                <w:webHidden/>
              </w:rPr>
              <w:tab/>
            </w:r>
            <w:r>
              <w:rPr>
                <w:webHidden/>
              </w:rPr>
              <w:fldChar w:fldCharType="begin"/>
            </w:r>
            <w:r>
              <w:rPr>
                <w:webHidden/>
              </w:rPr>
              <w:instrText xml:space="preserve"> PAGEREF _Toc224026241 \h </w:instrText>
            </w:r>
            <w:r>
              <w:rPr>
                <w:webHidden/>
              </w:rPr>
            </w:r>
            <w:r>
              <w:rPr>
                <w:webHidden/>
              </w:rPr>
              <w:fldChar w:fldCharType="separate"/>
            </w:r>
            <w:r>
              <w:rPr>
                <w:webHidden/>
              </w:rPr>
              <w:t>73</w:t>
            </w:r>
            <w:r>
              <w:rPr>
                <w:webHidden/>
              </w:rPr>
              <w:fldChar w:fldCharType="end"/>
            </w:r>
          </w:hyperlink>
        </w:p>
        <w:p w14:paraId="773B515A" w14:textId="2F4B5DCA" w:rsidR="008761BE" w:rsidRDefault="008761BE">
          <w:pPr>
            <w:pStyle w:val="TOC3"/>
            <w:tabs>
              <w:tab w:val="right" w:leader="dot" w:pos="9350"/>
            </w:tabs>
            <w:rPr>
              <w:rFonts w:eastAsiaTheme="minorEastAsia"/>
              <w:bCs w:val="0"/>
              <w:szCs w:val="24"/>
            </w:rPr>
          </w:pPr>
          <w:hyperlink w:anchor="_Toc224026242" w:history="1">
            <w:r w:rsidRPr="002333E4">
              <w:rPr>
                <w:rStyle w:val="Hyperlink"/>
              </w:rPr>
              <w:t>14.2 Public Meetings</w:t>
            </w:r>
            <w:r>
              <w:rPr>
                <w:webHidden/>
              </w:rPr>
              <w:tab/>
            </w:r>
            <w:r>
              <w:rPr>
                <w:webHidden/>
              </w:rPr>
              <w:fldChar w:fldCharType="begin"/>
            </w:r>
            <w:r>
              <w:rPr>
                <w:webHidden/>
              </w:rPr>
              <w:instrText xml:space="preserve"> PAGEREF _Toc224026242 \h </w:instrText>
            </w:r>
            <w:r>
              <w:rPr>
                <w:webHidden/>
              </w:rPr>
            </w:r>
            <w:r>
              <w:rPr>
                <w:webHidden/>
              </w:rPr>
              <w:fldChar w:fldCharType="separate"/>
            </w:r>
            <w:r>
              <w:rPr>
                <w:webHidden/>
              </w:rPr>
              <w:t>75</w:t>
            </w:r>
            <w:r>
              <w:rPr>
                <w:webHidden/>
              </w:rPr>
              <w:fldChar w:fldCharType="end"/>
            </w:r>
          </w:hyperlink>
        </w:p>
        <w:p w14:paraId="39ACDBBD" w14:textId="04B0D81D" w:rsidR="008761BE" w:rsidRDefault="008761BE">
          <w:pPr>
            <w:pStyle w:val="TOC3"/>
            <w:tabs>
              <w:tab w:val="right" w:leader="dot" w:pos="9350"/>
            </w:tabs>
            <w:rPr>
              <w:rFonts w:eastAsiaTheme="minorEastAsia"/>
              <w:bCs w:val="0"/>
              <w:szCs w:val="24"/>
            </w:rPr>
          </w:pPr>
          <w:hyperlink w:anchor="_Toc224026243" w:history="1">
            <w:r w:rsidRPr="002333E4">
              <w:rPr>
                <w:rStyle w:val="Hyperlink"/>
              </w:rPr>
              <w:t>14.3 Public Hearing Opportunity</w:t>
            </w:r>
            <w:r>
              <w:rPr>
                <w:webHidden/>
              </w:rPr>
              <w:tab/>
            </w:r>
            <w:r>
              <w:rPr>
                <w:webHidden/>
              </w:rPr>
              <w:fldChar w:fldCharType="begin"/>
            </w:r>
            <w:r>
              <w:rPr>
                <w:webHidden/>
              </w:rPr>
              <w:instrText xml:space="preserve"> PAGEREF _Toc224026243 \h </w:instrText>
            </w:r>
            <w:r>
              <w:rPr>
                <w:webHidden/>
              </w:rPr>
            </w:r>
            <w:r>
              <w:rPr>
                <w:webHidden/>
              </w:rPr>
              <w:fldChar w:fldCharType="separate"/>
            </w:r>
            <w:r>
              <w:rPr>
                <w:webHidden/>
              </w:rPr>
              <w:t>78</w:t>
            </w:r>
            <w:r>
              <w:rPr>
                <w:webHidden/>
              </w:rPr>
              <w:fldChar w:fldCharType="end"/>
            </w:r>
          </w:hyperlink>
        </w:p>
        <w:p w14:paraId="3776A6D2" w14:textId="5E1EBB59" w:rsidR="008761BE" w:rsidRDefault="008761BE">
          <w:pPr>
            <w:pStyle w:val="TOC3"/>
            <w:tabs>
              <w:tab w:val="right" w:leader="dot" w:pos="9350"/>
            </w:tabs>
            <w:rPr>
              <w:rFonts w:eastAsiaTheme="minorEastAsia"/>
              <w:bCs w:val="0"/>
              <w:szCs w:val="24"/>
            </w:rPr>
          </w:pPr>
          <w:hyperlink w:anchor="_Toc224026244" w:history="1">
            <w:r w:rsidRPr="002333E4">
              <w:rPr>
                <w:rStyle w:val="Hyperlink"/>
              </w:rPr>
              <w:t>14.4 Public Hearing Documentation</w:t>
            </w:r>
            <w:r>
              <w:rPr>
                <w:webHidden/>
              </w:rPr>
              <w:tab/>
            </w:r>
            <w:r>
              <w:rPr>
                <w:webHidden/>
              </w:rPr>
              <w:fldChar w:fldCharType="begin"/>
            </w:r>
            <w:r>
              <w:rPr>
                <w:webHidden/>
              </w:rPr>
              <w:instrText xml:space="preserve"> PAGEREF _Toc224026244 \h </w:instrText>
            </w:r>
            <w:r>
              <w:rPr>
                <w:webHidden/>
              </w:rPr>
            </w:r>
            <w:r>
              <w:rPr>
                <w:webHidden/>
              </w:rPr>
              <w:fldChar w:fldCharType="separate"/>
            </w:r>
            <w:r>
              <w:rPr>
                <w:webHidden/>
              </w:rPr>
              <w:t>81</w:t>
            </w:r>
            <w:r>
              <w:rPr>
                <w:webHidden/>
              </w:rPr>
              <w:fldChar w:fldCharType="end"/>
            </w:r>
          </w:hyperlink>
        </w:p>
        <w:p w14:paraId="5DEA92DD" w14:textId="72AFE39A" w:rsidR="008761BE" w:rsidRDefault="008761BE">
          <w:pPr>
            <w:pStyle w:val="TOC2"/>
            <w:tabs>
              <w:tab w:val="right" w:leader="dot" w:pos="9350"/>
            </w:tabs>
            <w:rPr>
              <w:rFonts w:eastAsiaTheme="minorEastAsia"/>
              <w:noProof/>
              <w:szCs w:val="24"/>
            </w:rPr>
          </w:pPr>
          <w:hyperlink w:anchor="_Toc224026245" w:history="1">
            <w:r w:rsidRPr="002333E4">
              <w:rPr>
                <w:rStyle w:val="Hyperlink"/>
                <w:noProof/>
              </w:rPr>
              <w:t>15.0 Request for Regular Notification from TxDOT on its Actions</w:t>
            </w:r>
            <w:r>
              <w:rPr>
                <w:noProof/>
                <w:webHidden/>
              </w:rPr>
              <w:tab/>
            </w:r>
            <w:r>
              <w:rPr>
                <w:noProof/>
                <w:webHidden/>
              </w:rPr>
              <w:fldChar w:fldCharType="begin"/>
            </w:r>
            <w:r>
              <w:rPr>
                <w:noProof/>
                <w:webHidden/>
              </w:rPr>
              <w:instrText xml:space="preserve"> PAGEREF _Toc224026245 \h </w:instrText>
            </w:r>
            <w:r>
              <w:rPr>
                <w:noProof/>
                <w:webHidden/>
              </w:rPr>
            </w:r>
            <w:r>
              <w:rPr>
                <w:noProof/>
                <w:webHidden/>
              </w:rPr>
              <w:fldChar w:fldCharType="separate"/>
            </w:r>
            <w:r>
              <w:rPr>
                <w:noProof/>
                <w:webHidden/>
              </w:rPr>
              <w:t>85</w:t>
            </w:r>
            <w:r>
              <w:rPr>
                <w:noProof/>
                <w:webHidden/>
              </w:rPr>
              <w:fldChar w:fldCharType="end"/>
            </w:r>
          </w:hyperlink>
        </w:p>
        <w:p w14:paraId="0B111A8E" w14:textId="12C825BB" w:rsidR="008761BE" w:rsidRDefault="008761BE">
          <w:pPr>
            <w:pStyle w:val="TOC2"/>
            <w:tabs>
              <w:tab w:val="right" w:leader="dot" w:pos="9350"/>
            </w:tabs>
            <w:rPr>
              <w:rFonts w:eastAsiaTheme="minorEastAsia"/>
              <w:noProof/>
              <w:szCs w:val="24"/>
            </w:rPr>
          </w:pPr>
          <w:hyperlink w:anchor="_Toc224026246" w:history="1">
            <w:r w:rsidRPr="002333E4">
              <w:rPr>
                <w:rStyle w:val="Hyperlink"/>
                <w:noProof/>
              </w:rPr>
              <w:t>16.0 Glossary</w:t>
            </w:r>
            <w:r>
              <w:rPr>
                <w:noProof/>
                <w:webHidden/>
              </w:rPr>
              <w:tab/>
            </w:r>
            <w:r>
              <w:rPr>
                <w:noProof/>
                <w:webHidden/>
              </w:rPr>
              <w:fldChar w:fldCharType="begin"/>
            </w:r>
            <w:r>
              <w:rPr>
                <w:noProof/>
                <w:webHidden/>
              </w:rPr>
              <w:instrText xml:space="preserve"> PAGEREF _Toc224026246 \h </w:instrText>
            </w:r>
            <w:r>
              <w:rPr>
                <w:noProof/>
                <w:webHidden/>
              </w:rPr>
            </w:r>
            <w:r>
              <w:rPr>
                <w:noProof/>
                <w:webHidden/>
              </w:rPr>
              <w:fldChar w:fldCharType="separate"/>
            </w:r>
            <w:r>
              <w:rPr>
                <w:noProof/>
                <w:webHidden/>
              </w:rPr>
              <w:t>86</w:t>
            </w:r>
            <w:r>
              <w:rPr>
                <w:noProof/>
                <w:webHidden/>
              </w:rPr>
              <w:fldChar w:fldCharType="end"/>
            </w:r>
          </w:hyperlink>
        </w:p>
        <w:p w14:paraId="2A346D23" w14:textId="240FD615" w:rsidR="008761BE" w:rsidRDefault="008761BE">
          <w:pPr>
            <w:pStyle w:val="TOC2"/>
            <w:tabs>
              <w:tab w:val="right" w:leader="dot" w:pos="9350"/>
            </w:tabs>
            <w:rPr>
              <w:rFonts w:eastAsiaTheme="minorEastAsia"/>
              <w:noProof/>
              <w:szCs w:val="24"/>
            </w:rPr>
          </w:pPr>
          <w:hyperlink w:anchor="_Toc224026247" w:history="1">
            <w:r w:rsidRPr="002333E4">
              <w:rPr>
                <w:rStyle w:val="Hyperlink"/>
                <w:noProof/>
              </w:rPr>
              <w:t>17.0 Abbreviations and Acronyms</w:t>
            </w:r>
            <w:r>
              <w:rPr>
                <w:noProof/>
                <w:webHidden/>
              </w:rPr>
              <w:tab/>
            </w:r>
            <w:r>
              <w:rPr>
                <w:noProof/>
                <w:webHidden/>
              </w:rPr>
              <w:fldChar w:fldCharType="begin"/>
            </w:r>
            <w:r>
              <w:rPr>
                <w:noProof/>
                <w:webHidden/>
              </w:rPr>
              <w:instrText xml:space="preserve"> PAGEREF _Toc224026247 \h </w:instrText>
            </w:r>
            <w:r>
              <w:rPr>
                <w:noProof/>
                <w:webHidden/>
              </w:rPr>
            </w:r>
            <w:r>
              <w:rPr>
                <w:noProof/>
                <w:webHidden/>
              </w:rPr>
              <w:fldChar w:fldCharType="separate"/>
            </w:r>
            <w:r>
              <w:rPr>
                <w:noProof/>
                <w:webHidden/>
              </w:rPr>
              <w:t>87</w:t>
            </w:r>
            <w:r>
              <w:rPr>
                <w:noProof/>
                <w:webHidden/>
              </w:rPr>
              <w:fldChar w:fldCharType="end"/>
            </w:r>
          </w:hyperlink>
        </w:p>
        <w:p w14:paraId="384BB05B" w14:textId="78F97000" w:rsidR="008761BE" w:rsidRDefault="008761BE">
          <w:pPr>
            <w:pStyle w:val="TOC2"/>
            <w:tabs>
              <w:tab w:val="right" w:leader="dot" w:pos="9350"/>
            </w:tabs>
            <w:rPr>
              <w:rFonts w:eastAsiaTheme="minorEastAsia"/>
              <w:noProof/>
              <w:szCs w:val="24"/>
            </w:rPr>
          </w:pPr>
          <w:hyperlink w:anchor="_Toc224026248" w:history="1">
            <w:r w:rsidRPr="002333E4">
              <w:rPr>
                <w:rStyle w:val="Hyperlink"/>
                <w:noProof/>
              </w:rPr>
              <w:t>Revision History</w:t>
            </w:r>
            <w:r>
              <w:rPr>
                <w:noProof/>
                <w:webHidden/>
              </w:rPr>
              <w:tab/>
            </w:r>
            <w:r>
              <w:rPr>
                <w:noProof/>
                <w:webHidden/>
              </w:rPr>
              <w:fldChar w:fldCharType="begin"/>
            </w:r>
            <w:r>
              <w:rPr>
                <w:noProof/>
                <w:webHidden/>
              </w:rPr>
              <w:instrText xml:space="preserve"> PAGEREF _Toc224026248 \h </w:instrText>
            </w:r>
            <w:r>
              <w:rPr>
                <w:noProof/>
                <w:webHidden/>
              </w:rPr>
            </w:r>
            <w:r>
              <w:rPr>
                <w:noProof/>
                <w:webHidden/>
              </w:rPr>
              <w:fldChar w:fldCharType="separate"/>
            </w:r>
            <w:r>
              <w:rPr>
                <w:noProof/>
                <w:webHidden/>
              </w:rPr>
              <w:t>89</w:t>
            </w:r>
            <w:r>
              <w:rPr>
                <w:noProof/>
                <w:webHidden/>
              </w:rPr>
              <w:fldChar w:fldCharType="end"/>
            </w:r>
          </w:hyperlink>
        </w:p>
        <w:p w14:paraId="3838F155" w14:textId="4AB96854" w:rsidR="000A4BC7" w:rsidRDefault="000A4BC7">
          <w:r>
            <w:rPr>
              <w:b/>
              <w:bCs/>
              <w:noProof/>
            </w:rPr>
            <w:fldChar w:fldCharType="end"/>
          </w:r>
        </w:p>
      </w:sdtContent>
    </w:sdt>
    <w:p w14:paraId="41909D12" w14:textId="55C23028" w:rsidR="006B4757" w:rsidRPr="00A26598" w:rsidRDefault="006B4757">
      <w:pPr>
        <w:spacing w:after="0" w:line="240" w:lineRule="auto"/>
        <w:rPr>
          <w:rFonts w:asciiTheme="majorHAnsi" w:hAnsiTheme="majorHAnsi"/>
          <w:b/>
          <w:bCs/>
          <w:color w:val="0056A9" w:themeColor="accent1"/>
          <w:kern w:val="0"/>
          <w:sz w:val="48"/>
          <w:szCs w:val="32"/>
          <w14:ligatures w14:val="none"/>
        </w:rPr>
      </w:pPr>
      <w:r>
        <w:br w:type="page"/>
      </w:r>
    </w:p>
    <w:p w14:paraId="24CF3D0B" w14:textId="1C29FC0C" w:rsidR="00457754" w:rsidRPr="00D903F0" w:rsidRDefault="00457754" w:rsidP="00457754">
      <w:pPr>
        <w:pStyle w:val="Heading2"/>
      </w:pPr>
      <w:bookmarkStart w:id="5" w:name="_Toc224026193"/>
      <w:r w:rsidRPr="00D903F0">
        <w:lastRenderedPageBreak/>
        <w:t>1.0</w:t>
      </w:r>
      <w:r w:rsidR="006C6F09">
        <w:t xml:space="preserve"> </w:t>
      </w:r>
      <w:r w:rsidRPr="00D903F0">
        <w:t>Introduction</w:t>
      </w:r>
      <w:bookmarkEnd w:id="5"/>
    </w:p>
    <w:p w14:paraId="3D65A204" w14:textId="6F912F4C" w:rsidR="00457754" w:rsidRDefault="00457754" w:rsidP="00457754">
      <w:r w:rsidRPr="00CB152E">
        <w:t>This</w:t>
      </w:r>
      <w:r w:rsidR="006C6F09">
        <w:t xml:space="preserve"> </w:t>
      </w:r>
      <w:r w:rsidRPr="00CB152E">
        <w:t>handbook</w:t>
      </w:r>
      <w:r w:rsidR="006C6F09">
        <w:t xml:space="preserve"> </w:t>
      </w:r>
      <w:r w:rsidRPr="00CB152E">
        <w:t>provides</w:t>
      </w:r>
      <w:r w:rsidR="006C6F09">
        <w:t xml:space="preserve"> </w:t>
      </w:r>
      <w:r w:rsidRPr="00CB152E">
        <w:t>guidance</w:t>
      </w:r>
      <w:r w:rsidR="006C6F09">
        <w:t xml:space="preserve"> </w:t>
      </w:r>
      <w:r w:rsidRPr="00CB152E">
        <w:t>and</w:t>
      </w:r>
      <w:r w:rsidR="006C6F09">
        <w:t xml:space="preserve"> </w:t>
      </w:r>
      <w:r w:rsidRPr="00CB152E">
        <w:t>procedures</w:t>
      </w:r>
      <w:r w:rsidR="006C6F09">
        <w:t xml:space="preserve"> </w:t>
      </w:r>
      <w:r w:rsidRPr="00CB152E">
        <w:t>for</w:t>
      </w:r>
      <w:r w:rsidR="006C6F09">
        <w:t xml:space="preserve"> </w:t>
      </w:r>
      <w:r w:rsidRPr="00CB152E">
        <w:t>meeting</w:t>
      </w:r>
      <w:r w:rsidR="006C6F09">
        <w:t xml:space="preserve"> </w:t>
      </w:r>
      <w:r w:rsidRPr="00CB152E">
        <w:t>public</w:t>
      </w:r>
      <w:r w:rsidR="006C6F09">
        <w:t xml:space="preserve"> </w:t>
      </w:r>
      <w:r w:rsidRPr="00CB152E">
        <w:t>involvement</w:t>
      </w:r>
      <w:r w:rsidR="006C6F09">
        <w:t xml:space="preserve"> </w:t>
      </w:r>
      <w:r w:rsidRPr="00CB152E">
        <w:t>requirements</w:t>
      </w:r>
      <w:r w:rsidR="006C6F09">
        <w:t xml:space="preserve"> </w:t>
      </w:r>
      <w:r w:rsidRPr="00CB152E">
        <w:t>for</w:t>
      </w:r>
      <w:r w:rsidR="006C6F09">
        <w:t xml:space="preserve"> </w:t>
      </w:r>
      <w:r w:rsidRPr="00CB152E">
        <w:t>projects,</w:t>
      </w:r>
      <w:r w:rsidR="006C6F09">
        <w:t xml:space="preserve"> </w:t>
      </w:r>
      <w:r w:rsidRPr="00CB152E">
        <w:t>either</w:t>
      </w:r>
      <w:r w:rsidR="006C6F09">
        <w:t xml:space="preserve"> </w:t>
      </w:r>
      <w:r w:rsidRPr="00CB152E">
        <w:t>state</w:t>
      </w:r>
      <w:r w:rsidR="006C6F09">
        <w:t xml:space="preserve"> </w:t>
      </w:r>
      <w:r w:rsidRPr="00CB152E">
        <w:t>or</w:t>
      </w:r>
      <w:r w:rsidR="006C6F09">
        <w:t xml:space="preserve"> </w:t>
      </w:r>
      <w:r w:rsidRPr="00CB152E">
        <w:t>federal,</w:t>
      </w:r>
      <w:r w:rsidR="006C6F09">
        <w:t xml:space="preserve"> </w:t>
      </w:r>
      <w:r w:rsidRPr="00CB152E">
        <w:t>undergoing</w:t>
      </w:r>
      <w:r w:rsidR="006C6F09">
        <w:t xml:space="preserve"> </w:t>
      </w:r>
      <w:r w:rsidRPr="00CB152E">
        <w:t>the</w:t>
      </w:r>
      <w:r w:rsidR="006C6F09">
        <w:t xml:space="preserve"> </w:t>
      </w:r>
      <w:r w:rsidRPr="00CB152E">
        <w:t>environmental</w:t>
      </w:r>
      <w:r w:rsidR="006C6F09">
        <w:t xml:space="preserve"> </w:t>
      </w:r>
      <w:r w:rsidRPr="00CB152E">
        <w:t>analysis</w:t>
      </w:r>
      <w:r w:rsidR="006C6F09">
        <w:t xml:space="preserve"> </w:t>
      </w:r>
      <w:r w:rsidRPr="00CB152E">
        <w:t>project</w:t>
      </w:r>
      <w:r w:rsidR="006C6F09">
        <w:t xml:space="preserve"> </w:t>
      </w:r>
      <w:r w:rsidRPr="00CB152E">
        <w:t>development</w:t>
      </w:r>
      <w:r w:rsidR="006C6F09">
        <w:t xml:space="preserve"> </w:t>
      </w:r>
      <w:r w:rsidRPr="00CB152E">
        <w:t>process.</w:t>
      </w:r>
      <w:r w:rsidR="006C6F09">
        <w:t xml:space="preserve"> </w:t>
      </w:r>
      <w:r w:rsidRPr="00CB152E">
        <w:t>Per</w:t>
      </w:r>
      <w:r w:rsidR="006C6F09">
        <w:t xml:space="preserve"> </w:t>
      </w:r>
      <w:r w:rsidRPr="00CB152E">
        <w:t>the</w:t>
      </w:r>
      <w:r w:rsidR="006C6F09">
        <w:t xml:space="preserve"> </w:t>
      </w:r>
      <w:r w:rsidRPr="00CB152E">
        <w:t>Texas</w:t>
      </w:r>
      <w:r w:rsidR="006C6F09">
        <w:t xml:space="preserve"> </w:t>
      </w:r>
      <w:r w:rsidRPr="00CB152E">
        <w:t>Department</w:t>
      </w:r>
      <w:r w:rsidR="006C6F09">
        <w:t xml:space="preserve"> </w:t>
      </w:r>
      <w:r w:rsidRPr="00CB152E">
        <w:t>of</w:t>
      </w:r>
      <w:r w:rsidR="006C6F09">
        <w:t xml:space="preserve"> </w:t>
      </w:r>
      <w:r w:rsidRPr="00CB152E">
        <w:t>Transportation</w:t>
      </w:r>
      <w:r w:rsidR="006C6F09">
        <w:t xml:space="preserve"> </w:t>
      </w:r>
      <w:r w:rsidRPr="00CB152E">
        <w:t>(TxDOT)</w:t>
      </w:r>
      <w:r w:rsidR="006C6F09">
        <w:t xml:space="preserve"> </w:t>
      </w:r>
      <w:r w:rsidRPr="00CB152E">
        <w:t>public</w:t>
      </w:r>
      <w:r w:rsidR="006C6F09">
        <w:t xml:space="preserve"> </w:t>
      </w:r>
      <w:r w:rsidRPr="00CB152E">
        <w:t>involvement</w:t>
      </w:r>
      <w:r w:rsidR="006C6F09">
        <w:t xml:space="preserve"> </w:t>
      </w:r>
      <w:r w:rsidRPr="00CB152E">
        <w:t>policy,</w:t>
      </w:r>
      <w:r w:rsidR="006C6F09">
        <w:t xml:space="preserve"> </w:t>
      </w:r>
      <w:r w:rsidRPr="00CB152E">
        <w:t>TxDOT</w:t>
      </w:r>
      <w:r w:rsidR="006C6F09">
        <w:t xml:space="preserve"> </w:t>
      </w:r>
      <w:r w:rsidRPr="00CB152E">
        <w:t>commits</w:t>
      </w:r>
      <w:r w:rsidR="006C6F09">
        <w:t xml:space="preserve"> </w:t>
      </w:r>
      <w:r w:rsidRPr="00CB152E">
        <w:t>to</w:t>
      </w:r>
      <w:r w:rsidR="006C6F09">
        <w:t xml:space="preserve"> </w:t>
      </w:r>
      <w:r w:rsidRPr="00CB152E">
        <w:t>going</w:t>
      </w:r>
      <w:r w:rsidR="006C6F09">
        <w:t xml:space="preserve"> </w:t>
      </w:r>
      <w:r w:rsidRPr="00CB152E">
        <w:t>beyond</w:t>
      </w:r>
      <w:r w:rsidR="006C6F09">
        <w:t xml:space="preserve"> </w:t>
      </w:r>
      <w:r w:rsidRPr="00CB152E">
        <w:t>what</w:t>
      </w:r>
      <w:r w:rsidR="006C6F09">
        <w:t xml:space="preserve"> </w:t>
      </w:r>
      <w:r w:rsidRPr="00CB152E">
        <w:t>is</w:t>
      </w:r>
      <w:r w:rsidR="006C6F09">
        <w:t xml:space="preserve"> </w:t>
      </w:r>
      <w:r w:rsidRPr="00CB152E">
        <w:t>required.</w:t>
      </w:r>
      <w:r w:rsidR="006C6F09">
        <w:t xml:space="preserve"> </w:t>
      </w:r>
      <w:r w:rsidRPr="00CB152E">
        <w:t>TxDOT</w:t>
      </w:r>
      <w:r w:rsidR="006C6F09">
        <w:t xml:space="preserve"> </w:t>
      </w:r>
      <w:r w:rsidRPr="00CB152E">
        <w:t>intends</w:t>
      </w:r>
      <w:r w:rsidR="006C6F09">
        <w:t xml:space="preserve"> </w:t>
      </w:r>
      <w:r w:rsidRPr="00CB152E">
        <w:t>to</w:t>
      </w:r>
      <w:r w:rsidR="006C6F09">
        <w:t xml:space="preserve"> </w:t>
      </w:r>
      <w:r w:rsidRPr="00CB152E">
        <w:t>involve</w:t>
      </w:r>
      <w:r w:rsidR="006C6F09">
        <w:t xml:space="preserve"> </w:t>
      </w:r>
      <w:r w:rsidRPr="00CB152E">
        <w:t>the</w:t>
      </w:r>
      <w:r w:rsidR="006C6F09">
        <w:t xml:space="preserve"> </w:t>
      </w:r>
      <w:r w:rsidRPr="00CB152E">
        <w:t>public</w:t>
      </w:r>
      <w:r w:rsidR="006C6F09">
        <w:t xml:space="preserve"> </w:t>
      </w:r>
      <w:r w:rsidRPr="00CB152E">
        <w:t>by</w:t>
      </w:r>
      <w:r w:rsidR="006C6F09">
        <w:t xml:space="preserve"> </w:t>
      </w:r>
      <w:r w:rsidRPr="00CB152E">
        <w:t>providing</w:t>
      </w:r>
      <w:r w:rsidR="006C6F09">
        <w:t xml:space="preserve"> </w:t>
      </w:r>
      <w:r w:rsidRPr="00CB152E">
        <w:t>for</w:t>
      </w:r>
      <w:r w:rsidR="006C6F09">
        <w:t xml:space="preserve"> </w:t>
      </w:r>
      <w:r w:rsidRPr="00CB152E">
        <w:t>early,</w:t>
      </w:r>
      <w:r w:rsidR="006C6F09">
        <w:t xml:space="preserve"> </w:t>
      </w:r>
      <w:r w:rsidRPr="00CB152E">
        <w:t>continuous,</w:t>
      </w:r>
      <w:r w:rsidR="006C6F09">
        <w:t xml:space="preserve"> </w:t>
      </w:r>
      <w:r w:rsidRPr="00CB152E">
        <w:t>transparent,</w:t>
      </w:r>
      <w:r w:rsidR="006C6F09">
        <w:t xml:space="preserve"> </w:t>
      </w:r>
      <w:r w:rsidRPr="00CB152E">
        <w:t>and</w:t>
      </w:r>
      <w:r w:rsidR="006C6F09">
        <w:t xml:space="preserve"> </w:t>
      </w:r>
      <w:r w:rsidRPr="00CB152E">
        <w:t>effective</w:t>
      </w:r>
      <w:r w:rsidR="006C6F09">
        <w:t xml:space="preserve"> </w:t>
      </w:r>
      <w:r w:rsidRPr="00CB152E">
        <w:t>access</w:t>
      </w:r>
      <w:r w:rsidR="006C6F09">
        <w:t xml:space="preserve"> </w:t>
      </w:r>
      <w:r w:rsidRPr="00CB152E">
        <w:t>to</w:t>
      </w:r>
      <w:r w:rsidR="006C6F09">
        <w:t xml:space="preserve"> </w:t>
      </w:r>
      <w:r w:rsidRPr="00CB152E">
        <w:t>information</w:t>
      </w:r>
      <w:r w:rsidR="006C6F09">
        <w:t xml:space="preserve"> </w:t>
      </w:r>
      <w:r w:rsidRPr="00CB152E">
        <w:t>and</w:t>
      </w:r>
      <w:r w:rsidR="006C6F09">
        <w:t xml:space="preserve"> </w:t>
      </w:r>
      <w:r w:rsidRPr="00CB152E">
        <w:t>decision-making.</w:t>
      </w:r>
    </w:p>
    <w:p w14:paraId="7F05572E" w14:textId="3B08E127" w:rsidR="00457754" w:rsidRDefault="00457754" w:rsidP="00457754">
      <w:r>
        <w:t>Public</w:t>
      </w:r>
      <w:r w:rsidR="006C6F09">
        <w:t xml:space="preserve"> </w:t>
      </w:r>
      <w:r w:rsidRPr="00CB152E">
        <w:t>involvement</w:t>
      </w:r>
      <w:r w:rsidR="006C6F09">
        <w:t xml:space="preserve"> </w:t>
      </w:r>
      <w:r w:rsidRPr="00CB152E">
        <w:t>is</w:t>
      </w:r>
      <w:r w:rsidR="006C6F09">
        <w:t xml:space="preserve"> </w:t>
      </w:r>
      <w:r w:rsidRPr="00CB152E">
        <w:t>an</w:t>
      </w:r>
      <w:r w:rsidR="006C6F09">
        <w:t xml:space="preserve"> </w:t>
      </w:r>
      <w:r w:rsidRPr="00CB152E">
        <w:t>integral</w:t>
      </w:r>
      <w:r w:rsidR="006C6F09">
        <w:t xml:space="preserve"> </w:t>
      </w:r>
      <w:r w:rsidRPr="00CB152E">
        <w:t>part</w:t>
      </w:r>
      <w:r w:rsidR="006C6F09">
        <w:t xml:space="preserve"> </w:t>
      </w:r>
      <w:r w:rsidRPr="00CB152E">
        <w:t>of</w:t>
      </w:r>
      <w:r w:rsidR="006C6F09">
        <w:t xml:space="preserve"> </w:t>
      </w:r>
      <w:r w:rsidRPr="00CB152E">
        <w:t>project</w:t>
      </w:r>
      <w:r w:rsidR="006C6F09">
        <w:t xml:space="preserve"> </w:t>
      </w:r>
      <w:r w:rsidRPr="00CB152E">
        <w:t>development.</w:t>
      </w:r>
      <w:r w:rsidR="006C6F09">
        <w:t xml:space="preserve"> </w:t>
      </w:r>
      <w:r w:rsidRPr="00CB152E">
        <w:t>The</w:t>
      </w:r>
      <w:r w:rsidR="006C6F09">
        <w:t xml:space="preserve"> </w:t>
      </w:r>
      <w:r w:rsidRPr="00CB152E">
        <w:t>type</w:t>
      </w:r>
      <w:r w:rsidR="006C6F09">
        <w:t xml:space="preserve"> </w:t>
      </w:r>
      <w:r w:rsidRPr="00CB152E">
        <w:t>and</w:t>
      </w:r>
      <w:r w:rsidR="006C6F09">
        <w:t xml:space="preserve"> </w:t>
      </w:r>
      <w:r w:rsidRPr="00CB152E">
        <w:t>extent</w:t>
      </w:r>
      <w:r w:rsidR="006C6F09">
        <w:t xml:space="preserve"> </w:t>
      </w:r>
      <w:r w:rsidRPr="00CB152E">
        <w:t>of</w:t>
      </w:r>
      <w:r w:rsidR="006C6F09">
        <w:t xml:space="preserve"> </w:t>
      </w:r>
      <w:r w:rsidRPr="00CB152E">
        <w:t>public</w:t>
      </w:r>
      <w:r w:rsidR="006C6F09">
        <w:t xml:space="preserve"> </w:t>
      </w:r>
      <w:r w:rsidRPr="00CB152E">
        <w:t>involvement</w:t>
      </w:r>
      <w:r w:rsidR="006C6F09">
        <w:t xml:space="preserve"> </w:t>
      </w:r>
      <w:r w:rsidR="00F90D89" w:rsidRPr="00CB152E">
        <w:t>vary</w:t>
      </w:r>
      <w:r w:rsidR="006C6F09">
        <w:t xml:space="preserve"> </w:t>
      </w:r>
      <w:r w:rsidRPr="00CB152E">
        <w:t>according</w:t>
      </w:r>
      <w:r w:rsidR="006C6F09">
        <w:t xml:space="preserve"> </w:t>
      </w:r>
      <w:r w:rsidRPr="00CB152E">
        <w:t>to</w:t>
      </w:r>
      <w:r w:rsidR="006C6F09">
        <w:t xml:space="preserve"> </w:t>
      </w:r>
      <w:r w:rsidRPr="00CB152E">
        <w:t>the</w:t>
      </w:r>
      <w:r w:rsidR="006C6F09">
        <w:t xml:space="preserve"> </w:t>
      </w:r>
      <w:r w:rsidRPr="00CB152E">
        <w:t>type,</w:t>
      </w:r>
      <w:r w:rsidR="006C6F09">
        <w:t xml:space="preserve"> </w:t>
      </w:r>
      <w:r w:rsidRPr="00CB152E">
        <w:t>complexity,</w:t>
      </w:r>
      <w:r w:rsidR="006C6F09">
        <w:t xml:space="preserve"> </w:t>
      </w:r>
      <w:r w:rsidRPr="00CB152E">
        <w:t>and</w:t>
      </w:r>
      <w:r w:rsidR="006C6F09">
        <w:t xml:space="preserve"> </w:t>
      </w:r>
      <w:r w:rsidRPr="00CB152E">
        <w:t>level</w:t>
      </w:r>
      <w:r w:rsidR="006C6F09">
        <w:t xml:space="preserve"> </w:t>
      </w:r>
      <w:r w:rsidRPr="00CB152E">
        <w:t>of</w:t>
      </w:r>
      <w:r w:rsidR="006C6F09">
        <w:t xml:space="preserve"> </w:t>
      </w:r>
      <w:r w:rsidRPr="00CB152E">
        <w:t>public</w:t>
      </w:r>
      <w:r w:rsidR="006C6F09">
        <w:t xml:space="preserve"> </w:t>
      </w:r>
      <w:r w:rsidRPr="00CB152E">
        <w:t>concern</w:t>
      </w:r>
      <w:r w:rsidR="006C6F09">
        <w:t xml:space="preserve"> </w:t>
      </w:r>
      <w:r w:rsidRPr="00CB152E">
        <w:t>of</w:t>
      </w:r>
      <w:r w:rsidR="006C6F09">
        <w:t xml:space="preserve"> </w:t>
      </w:r>
      <w:r w:rsidRPr="00CB152E">
        <w:t>the</w:t>
      </w:r>
      <w:r w:rsidR="006C6F09">
        <w:t xml:space="preserve"> </w:t>
      </w:r>
      <w:r w:rsidRPr="00CB152E">
        <w:t>proposed</w:t>
      </w:r>
      <w:r w:rsidR="006C6F09">
        <w:t xml:space="preserve"> </w:t>
      </w:r>
      <w:r w:rsidRPr="00CB152E">
        <w:t>project.</w:t>
      </w:r>
      <w:r w:rsidR="006C6F09">
        <w:t xml:space="preserve"> </w:t>
      </w:r>
      <w:r w:rsidRPr="00CB152E">
        <w:t>TxDOT</w:t>
      </w:r>
      <w:r w:rsidR="006C6F09">
        <w:t xml:space="preserve"> </w:t>
      </w:r>
      <w:r w:rsidRPr="00CB152E">
        <w:t>uses</w:t>
      </w:r>
      <w:r w:rsidR="006C6F09">
        <w:t xml:space="preserve"> </w:t>
      </w:r>
      <w:r w:rsidRPr="00CB152E">
        <w:t>the</w:t>
      </w:r>
      <w:r w:rsidR="006C6F09">
        <w:t xml:space="preserve"> </w:t>
      </w:r>
      <w:r w:rsidRPr="00CB152E">
        <w:t>terms</w:t>
      </w:r>
      <w:r w:rsidR="006C6F09">
        <w:t xml:space="preserve"> </w:t>
      </w:r>
      <w:r w:rsidRPr="00CB152E">
        <w:t>public</w:t>
      </w:r>
      <w:r w:rsidR="006C6F09">
        <w:t xml:space="preserve"> </w:t>
      </w:r>
      <w:r w:rsidRPr="00CB152E">
        <w:t>involvement</w:t>
      </w:r>
      <w:r w:rsidR="006C6F09">
        <w:t xml:space="preserve"> </w:t>
      </w:r>
      <w:r w:rsidRPr="00CB152E">
        <w:t>and</w:t>
      </w:r>
      <w:r w:rsidR="006C6F09">
        <w:t xml:space="preserve"> </w:t>
      </w:r>
      <w:r w:rsidRPr="00CB152E">
        <w:t>public</w:t>
      </w:r>
      <w:r w:rsidR="006C6F09">
        <w:t xml:space="preserve"> </w:t>
      </w:r>
      <w:r w:rsidRPr="00CB152E">
        <w:t>participation</w:t>
      </w:r>
      <w:r w:rsidR="006C6F09">
        <w:t xml:space="preserve"> </w:t>
      </w:r>
      <w:r w:rsidRPr="00CB152E">
        <w:t>interchangeably.</w:t>
      </w:r>
    </w:p>
    <w:p w14:paraId="0AEE76DA" w14:textId="189BE8B9" w:rsidR="00457754" w:rsidRDefault="00F1222A" w:rsidP="00457754">
      <w:r>
        <w:t>The</w:t>
      </w:r>
      <w:r w:rsidR="006C6F09">
        <w:t xml:space="preserve"> </w:t>
      </w:r>
      <w:r w:rsidR="00457754" w:rsidRPr="00CB152E">
        <w:t>public</w:t>
      </w:r>
      <w:r w:rsidR="006C6F09">
        <w:t xml:space="preserve"> </w:t>
      </w:r>
      <w:r w:rsidR="00457754" w:rsidRPr="00CB152E">
        <w:t>involvement</w:t>
      </w:r>
      <w:r w:rsidR="006C6F09">
        <w:t xml:space="preserve"> </w:t>
      </w:r>
      <w:r w:rsidR="00457754" w:rsidRPr="00CB152E">
        <w:t>process</w:t>
      </w:r>
      <w:r w:rsidR="006C6F09">
        <w:t xml:space="preserve"> </w:t>
      </w:r>
      <w:r w:rsidR="00457754" w:rsidRPr="00CB152E">
        <w:t>applies</w:t>
      </w:r>
      <w:r w:rsidR="006C6F09">
        <w:t xml:space="preserve"> </w:t>
      </w:r>
      <w:r w:rsidR="00457754" w:rsidRPr="00CB152E">
        <w:t>equally</w:t>
      </w:r>
      <w:r w:rsidR="006C6F09">
        <w:t xml:space="preserve"> </w:t>
      </w:r>
      <w:r w:rsidR="00457754" w:rsidRPr="00CB152E">
        <w:t>for</w:t>
      </w:r>
      <w:r w:rsidR="006C6F09">
        <w:t xml:space="preserve"> </w:t>
      </w:r>
      <w:r w:rsidR="00457754" w:rsidRPr="00CB152E">
        <w:t>both</w:t>
      </w:r>
      <w:r w:rsidR="006C6F09">
        <w:t xml:space="preserve"> </w:t>
      </w:r>
      <w:r w:rsidR="00457754" w:rsidRPr="00CB152E">
        <w:t>state</w:t>
      </w:r>
      <w:r w:rsidR="006C6F09">
        <w:t xml:space="preserve"> </w:t>
      </w:r>
      <w:r w:rsidR="00457754" w:rsidRPr="00CB152E">
        <w:t>and</w:t>
      </w:r>
      <w:r w:rsidR="006C6F09">
        <w:t xml:space="preserve"> </w:t>
      </w:r>
      <w:r w:rsidR="00457754" w:rsidRPr="00CB152E">
        <w:t>federal</w:t>
      </w:r>
      <w:r w:rsidR="006C6F09">
        <w:t xml:space="preserve"> </w:t>
      </w:r>
      <w:r w:rsidR="00457754" w:rsidRPr="00CB152E">
        <w:t>projects.</w:t>
      </w:r>
      <w:r w:rsidR="006C6F09">
        <w:t xml:space="preserve"> </w:t>
      </w:r>
      <w:r w:rsidR="00457754" w:rsidRPr="00CB152E">
        <w:t>Depending</w:t>
      </w:r>
      <w:r w:rsidR="006C6F09">
        <w:t xml:space="preserve"> </w:t>
      </w:r>
      <w:r w:rsidR="00457754" w:rsidRPr="00CB152E">
        <w:t>on</w:t>
      </w:r>
      <w:r w:rsidR="006C6F09">
        <w:t xml:space="preserve"> </w:t>
      </w:r>
      <w:r w:rsidR="00457754" w:rsidRPr="00CB152E">
        <w:t>the</w:t>
      </w:r>
      <w:r w:rsidR="006C6F09">
        <w:t xml:space="preserve"> </w:t>
      </w:r>
      <w:r w:rsidR="00457754" w:rsidRPr="00CB152E">
        <w:t>type</w:t>
      </w:r>
      <w:r w:rsidR="006C6F09">
        <w:t xml:space="preserve"> </w:t>
      </w:r>
      <w:r w:rsidR="00457754" w:rsidRPr="00CB152E">
        <w:t>and</w:t>
      </w:r>
      <w:r w:rsidR="006C6F09">
        <w:t xml:space="preserve"> </w:t>
      </w:r>
      <w:r w:rsidR="00457754" w:rsidRPr="00CB152E">
        <w:t>complexity</w:t>
      </w:r>
      <w:r w:rsidR="006C6F09">
        <w:t xml:space="preserve"> </w:t>
      </w:r>
      <w:r w:rsidR="00457754" w:rsidRPr="00CB152E">
        <w:t>of</w:t>
      </w:r>
      <w:r w:rsidR="006C6F09">
        <w:t xml:space="preserve"> </w:t>
      </w:r>
      <w:r w:rsidR="00457754" w:rsidRPr="00CB152E">
        <w:t>the</w:t>
      </w:r>
      <w:r w:rsidR="006C6F09">
        <w:t xml:space="preserve"> </w:t>
      </w:r>
      <w:r w:rsidR="00457754" w:rsidRPr="00CB152E">
        <w:t>project,</w:t>
      </w:r>
      <w:r w:rsidR="006C6F09">
        <w:t xml:space="preserve"> </w:t>
      </w:r>
      <w:r w:rsidR="00457754" w:rsidRPr="00CB152E">
        <w:t>public</w:t>
      </w:r>
      <w:r w:rsidR="006C6F09">
        <w:t xml:space="preserve"> </w:t>
      </w:r>
      <w:r w:rsidR="00457754" w:rsidRPr="00CB152E">
        <w:t>concerns,</w:t>
      </w:r>
      <w:r w:rsidR="006C6F09">
        <w:t xml:space="preserve"> </w:t>
      </w:r>
      <w:r w:rsidR="00457754" w:rsidRPr="00CB152E">
        <w:t>and</w:t>
      </w:r>
      <w:r w:rsidR="006C6F09">
        <w:t xml:space="preserve"> </w:t>
      </w:r>
      <w:r w:rsidR="00457754" w:rsidRPr="00CB152E">
        <w:t>or</w:t>
      </w:r>
      <w:r w:rsidR="006C6F09">
        <w:t xml:space="preserve"> </w:t>
      </w:r>
      <w:r w:rsidR="00457754" w:rsidRPr="00CB152E">
        <w:t>associated</w:t>
      </w:r>
      <w:r w:rsidR="006C6F09">
        <w:t xml:space="preserve"> </w:t>
      </w:r>
      <w:r w:rsidR="00457754" w:rsidRPr="00CB152E">
        <w:t>social,</w:t>
      </w:r>
      <w:r w:rsidR="006C6F09">
        <w:t xml:space="preserve"> </w:t>
      </w:r>
      <w:r w:rsidR="00457754" w:rsidRPr="00CB152E">
        <w:t>economic,</w:t>
      </w:r>
      <w:r w:rsidR="006C6F09">
        <w:t xml:space="preserve"> </w:t>
      </w:r>
      <w:r w:rsidR="00457754" w:rsidRPr="00CB152E">
        <w:t>and</w:t>
      </w:r>
      <w:r w:rsidR="006C6F09">
        <w:t xml:space="preserve"> </w:t>
      </w:r>
      <w:r w:rsidR="00457754" w:rsidRPr="00CB152E">
        <w:t>environmental</w:t>
      </w:r>
      <w:r w:rsidR="006C6F09">
        <w:t xml:space="preserve"> </w:t>
      </w:r>
      <w:r w:rsidR="00457754" w:rsidRPr="00CB152E">
        <w:t>factors,</w:t>
      </w:r>
      <w:r w:rsidR="006C6F09">
        <w:t xml:space="preserve"> </w:t>
      </w:r>
      <w:r w:rsidR="00457754" w:rsidRPr="00CB152E">
        <w:t>additional</w:t>
      </w:r>
      <w:r w:rsidR="006C6F09">
        <w:t xml:space="preserve"> </w:t>
      </w:r>
      <w:r w:rsidR="00457754" w:rsidRPr="00CB152E">
        <w:t>public</w:t>
      </w:r>
      <w:r w:rsidR="006C6F09">
        <w:t xml:space="preserve"> </w:t>
      </w:r>
      <w:r w:rsidR="00457754" w:rsidRPr="00CB152E">
        <w:t>involvement</w:t>
      </w:r>
      <w:r w:rsidR="006C6F09">
        <w:t xml:space="preserve"> </w:t>
      </w:r>
      <w:r w:rsidR="00457754" w:rsidRPr="00CB152E">
        <w:t>may</w:t>
      </w:r>
      <w:r w:rsidR="006C6F09">
        <w:t xml:space="preserve"> </w:t>
      </w:r>
      <w:r w:rsidR="00457754" w:rsidRPr="00CB152E">
        <w:t>be</w:t>
      </w:r>
      <w:r w:rsidR="006C6F09">
        <w:t xml:space="preserve"> </w:t>
      </w:r>
      <w:r w:rsidR="00457754" w:rsidRPr="00CB152E">
        <w:t>required.</w:t>
      </w:r>
      <w:r w:rsidR="006C6F09">
        <w:t xml:space="preserve"> </w:t>
      </w:r>
      <w:r w:rsidR="00457754" w:rsidRPr="00CB152E">
        <w:t>The</w:t>
      </w:r>
      <w:r w:rsidR="006C6F09">
        <w:t xml:space="preserve"> </w:t>
      </w:r>
      <w:r w:rsidR="00457754" w:rsidRPr="00CB152E">
        <w:t>level</w:t>
      </w:r>
      <w:r w:rsidR="006C6F09">
        <w:t xml:space="preserve"> </w:t>
      </w:r>
      <w:r w:rsidR="00457754" w:rsidRPr="00CB152E">
        <w:t>of</w:t>
      </w:r>
      <w:r w:rsidR="006C6F09">
        <w:t xml:space="preserve"> </w:t>
      </w:r>
      <w:r w:rsidR="00457754" w:rsidRPr="00CB152E">
        <w:t>public</w:t>
      </w:r>
      <w:r w:rsidR="006C6F09">
        <w:t xml:space="preserve"> </w:t>
      </w:r>
      <w:r w:rsidR="00457754" w:rsidRPr="00CB152E">
        <w:t>involvement</w:t>
      </w:r>
      <w:r w:rsidR="006C6F09">
        <w:t xml:space="preserve"> </w:t>
      </w:r>
      <w:r w:rsidR="00457754" w:rsidRPr="00CB152E">
        <w:t>should</w:t>
      </w:r>
      <w:r w:rsidR="006C6F09">
        <w:t xml:space="preserve"> </w:t>
      </w:r>
      <w:r w:rsidR="00457754" w:rsidRPr="00CB152E">
        <w:t>reflect</w:t>
      </w:r>
      <w:r w:rsidR="006C6F09">
        <w:t xml:space="preserve"> </w:t>
      </w:r>
      <w:r w:rsidR="00457754" w:rsidRPr="00CB152E">
        <w:t>TxDOT</w:t>
      </w:r>
      <w:r w:rsidR="006C6F09">
        <w:t xml:space="preserve"> </w:t>
      </w:r>
      <w:r w:rsidR="00457754" w:rsidRPr="00CB152E">
        <w:t>policy.</w:t>
      </w:r>
      <w:r w:rsidR="006C6F09">
        <w:t xml:space="preserve"> </w:t>
      </w:r>
      <w:r w:rsidR="00457754" w:rsidRPr="00CB152E">
        <w:t>Public</w:t>
      </w:r>
      <w:r w:rsidR="006C6F09">
        <w:t xml:space="preserve"> </w:t>
      </w:r>
      <w:r w:rsidR="00457754" w:rsidRPr="00CB152E">
        <w:t>involvement</w:t>
      </w:r>
      <w:r w:rsidR="006C6F09">
        <w:t xml:space="preserve"> </w:t>
      </w:r>
      <w:r w:rsidR="00457754" w:rsidRPr="00CB152E">
        <w:t>efforts</w:t>
      </w:r>
      <w:r w:rsidR="006C6F09">
        <w:t xml:space="preserve"> </w:t>
      </w:r>
      <w:r w:rsidR="00457754" w:rsidRPr="00CB152E">
        <w:t>include,</w:t>
      </w:r>
      <w:r w:rsidR="006C6F09">
        <w:t xml:space="preserve"> </w:t>
      </w:r>
      <w:r w:rsidR="00457754" w:rsidRPr="00CB152E">
        <w:t>but</w:t>
      </w:r>
      <w:r w:rsidR="006C6F09">
        <w:t xml:space="preserve"> </w:t>
      </w:r>
      <w:r w:rsidR="00457754" w:rsidRPr="00CB152E">
        <w:t>are</w:t>
      </w:r>
      <w:r w:rsidR="006C6F09">
        <w:t xml:space="preserve"> </w:t>
      </w:r>
      <w:r w:rsidR="00457754" w:rsidRPr="00CB152E">
        <w:t>not</w:t>
      </w:r>
      <w:r w:rsidR="006C6F09">
        <w:t xml:space="preserve"> </w:t>
      </w:r>
      <w:r w:rsidR="00457754" w:rsidRPr="00CB152E">
        <w:t>limited</w:t>
      </w:r>
      <w:r w:rsidR="006C6F09">
        <w:t xml:space="preserve"> </w:t>
      </w:r>
      <w:r w:rsidR="00457754" w:rsidRPr="00CB152E">
        <w:t>to,</w:t>
      </w:r>
      <w:r w:rsidR="006C6F09">
        <w:t xml:space="preserve"> </w:t>
      </w:r>
      <w:r w:rsidR="00457754" w:rsidRPr="00CB152E">
        <w:t>notices</w:t>
      </w:r>
      <w:r w:rsidR="006C6F09">
        <w:t xml:space="preserve"> </w:t>
      </w:r>
      <w:r w:rsidR="00457754" w:rsidRPr="00CB152E">
        <w:t>and</w:t>
      </w:r>
      <w:r w:rsidR="006C6F09">
        <w:t xml:space="preserve"> </w:t>
      </w:r>
      <w:r w:rsidR="00457754" w:rsidRPr="00CB152E">
        <w:t>opportunities</w:t>
      </w:r>
      <w:r w:rsidR="006C6F09">
        <w:t xml:space="preserve"> </w:t>
      </w:r>
      <w:r w:rsidR="00457754" w:rsidRPr="00CB152E">
        <w:t>to</w:t>
      </w:r>
      <w:r w:rsidR="006C6F09">
        <w:t xml:space="preserve"> </w:t>
      </w:r>
      <w:r w:rsidR="00457754" w:rsidRPr="00CB152E">
        <w:t>comment,</w:t>
      </w:r>
      <w:r w:rsidR="006C6F09">
        <w:t xml:space="preserve"> </w:t>
      </w:r>
      <w:r w:rsidR="00457754" w:rsidRPr="00CB152E">
        <w:t>public</w:t>
      </w:r>
      <w:r w:rsidR="006C6F09">
        <w:t xml:space="preserve"> </w:t>
      </w:r>
      <w:r w:rsidR="00457754" w:rsidRPr="00CB152E">
        <w:t>meetings,</w:t>
      </w:r>
      <w:r w:rsidR="006C6F09">
        <w:t xml:space="preserve"> </w:t>
      </w:r>
      <w:r w:rsidR="00457754" w:rsidRPr="00CB152E">
        <w:t>opportunities</w:t>
      </w:r>
      <w:r w:rsidR="006C6F09">
        <w:t xml:space="preserve"> </w:t>
      </w:r>
      <w:r w:rsidR="00457754" w:rsidRPr="00CB152E">
        <w:t>for</w:t>
      </w:r>
      <w:r w:rsidR="006C6F09">
        <w:t xml:space="preserve"> </w:t>
      </w:r>
      <w:r w:rsidR="00457754" w:rsidRPr="00CB152E">
        <w:t>a</w:t>
      </w:r>
      <w:r w:rsidR="006C6F09">
        <w:t xml:space="preserve"> </w:t>
      </w:r>
      <w:r w:rsidR="00457754" w:rsidRPr="00CB152E">
        <w:t>public</w:t>
      </w:r>
      <w:r w:rsidR="006C6F09">
        <w:t xml:space="preserve"> </w:t>
      </w:r>
      <w:r w:rsidR="00457754" w:rsidRPr="00CB152E">
        <w:t>hearing,</w:t>
      </w:r>
      <w:r w:rsidR="006C6F09">
        <w:t xml:space="preserve"> </w:t>
      </w:r>
      <w:r w:rsidR="00457754" w:rsidRPr="00CB152E">
        <w:t>and</w:t>
      </w:r>
      <w:r w:rsidR="006C6F09">
        <w:t xml:space="preserve"> </w:t>
      </w:r>
      <w:r w:rsidR="00457754" w:rsidRPr="00CB152E">
        <w:t>public</w:t>
      </w:r>
      <w:r w:rsidR="006C6F09">
        <w:t xml:space="preserve"> </w:t>
      </w:r>
      <w:r w:rsidR="00457754" w:rsidRPr="00CB152E">
        <w:t>hearings.</w:t>
      </w:r>
      <w:r w:rsidR="006C6F09">
        <w:t xml:space="preserve"> </w:t>
      </w:r>
      <w:r w:rsidR="00457754" w:rsidRPr="00CB152E">
        <w:t>Required</w:t>
      </w:r>
      <w:r w:rsidR="006C6F09">
        <w:t xml:space="preserve"> </w:t>
      </w:r>
      <w:r w:rsidR="00457754" w:rsidRPr="00CB152E">
        <w:t>public</w:t>
      </w:r>
      <w:r w:rsidR="006C6F09">
        <w:t xml:space="preserve"> </w:t>
      </w:r>
      <w:r w:rsidR="00457754" w:rsidRPr="00CB152E">
        <w:t>involvement</w:t>
      </w:r>
      <w:r w:rsidR="006C6F09">
        <w:t xml:space="preserve"> </w:t>
      </w:r>
      <w:r w:rsidR="00457754" w:rsidRPr="00CB152E">
        <w:t>must</w:t>
      </w:r>
      <w:r w:rsidR="006C6F09">
        <w:t xml:space="preserve"> </w:t>
      </w:r>
      <w:r w:rsidR="00457754" w:rsidRPr="00CB152E">
        <w:t>be</w:t>
      </w:r>
      <w:r w:rsidR="006C6F09">
        <w:t xml:space="preserve"> </w:t>
      </w:r>
      <w:r w:rsidR="00457754" w:rsidRPr="00CB152E">
        <w:t>completed</w:t>
      </w:r>
      <w:r w:rsidR="006C6F09">
        <w:t xml:space="preserve"> </w:t>
      </w:r>
      <w:r w:rsidR="00457754" w:rsidRPr="00CB152E">
        <w:t>prior</w:t>
      </w:r>
      <w:r w:rsidR="006C6F09">
        <w:t xml:space="preserve"> </w:t>
      </w:r>
      <w:r w:rsidR="00457754" w:rsidRPr="00CB152E">
        <w:t>to</w:t>
      </w:r>
      <w:r w:rsidR="006C6F09">
        <w:t xml:space="preserve"> </w:t>
      </w:r>
      <w:r w:rsidR="00457754" w:rsidRPr="00CB152E">
        <w:t>the</w:t>
      </w:r>
      <w:r w:rsidR="006C6F09">
        <w:t xml:space="preserve"> </w:t>
      </w:r>
      <w:r w:rsidR="00457754" w:rsidRPr="00CB152E">
        <w:t>final</w:t>
      </w:r>
      <w:r w:rsidR="006C6F09">
        <w:t xml:space="preserve"> </w:t>
      </w:r>
      <w:r w:rsidR="00457754" w:rsidRPr="00CB152E">
        <w:t>environmental</w:t>
      </w:r>
      <w:r w:rsidR="006C6F09">
        <w:t xml:space="preserve"> </w:t>
      </w:r>
      <w:r w:rsidR="00457754" w:rsidRPr="00CB152E">
        <w:t>decision.</w:t>
      </w:r>
    </w:p>
    <w:p w14:paraId="7952357A" w14:textId="52F297A2" w:rsidR="00457754" w:rsidRPr="00CB152E" w:rsidRDefault="00457754" w:rsidP="00457754">
      <w:r>
        <w:t>Consistent</w:t>
      </w:r>
      <w:r w:rsidR="006C6F09">
        <w:t xml:space="preserve"> </w:t>
      </w:r>
      <w:r w:rsidRPr="00CB152E">
        <w:t>with</w:t>
      </w:r>
      <w:r w:rsidR="006C6F09">
        <w:t xml:space="preserve"> </w:t>
      </w:r>
      <w:r w:rsidRPr="00CB152E">
        <w:t>the</w:t>
      </w:r>
      <w:r w:rsidR="006C6F09">
        <w:t xml:space="preserve"> </w:t>
      </w:r>
      <w:r w:rsidRPr="00CB152E">
        <w:t>approach</w:t>
      </w:r>
      <w:r w:rsidR="006C6F09">
        <w:t xml:space="preserve"> </w:t>
      </w:r>
      <w:r w:rsidRPr="00CB152E">
        <w:t>set</w:t>
      </w:r>
      <w:r w:rsidR="006C6F09">
        <w:t xml:space="preserve"> </w:t>
      </w:r>
      <w:r w:rsidRPr="00CB152E">
        <w:t>forth</w:t>
      </w:r>
      <w:r w:rsidR="006C6F09">
        <w:t xml:space="preserve"> </w:t>
      </w:r>
      <w:r w:rsidRPr="00CB152E">
        <w:t>in</w:t>
      </w:r>
      <w:r w:rsidR="006C6F09">
        <w:t xml:space="preserve"> </w:t>
      </w:r>
      <w:r w:rsidRPr="007524B7">
        <w:t>Executive</w:t>
      </w:r>
      <w:r w:rsidR="006C6F09">
        <w:t xml:space="preserve"> </w:t>
      </w:r>
      <w:r w:rsidRPr="007524B7">
        <w:t>Order</w:t>
      </w:r>
      <w:r w:rsidR="006C6F09">
        <w:t xml:space="preserve"> </w:t>
      </w:r>
      <w:r w:rsidRPr="00CB152E">
        <w:t>13807,</w:t>
      </w:r>
      <w:r w:rsidR="006C6F09">
        <w:t xml:space="preserve"> </w:t>
      </w:r>
      <w:r w:rsidRPr="00CB152E">
        <w:t>“</w:t>
      </w:r>
      <w:r w:rsidRPr="00504104">
        <w:t>Presidential</w:t>
      </w:r>
      <w:r w:rsidR="006C6F09">
        <w:t xml:space="preserve"> </w:t>
      </w:r>
      <w:r w:rsidRPr="00504104">
        <w:t>Executive</w:t>
      </w:r>
      <w:r w:rsidR="006C6F09">
        <w:t xml:space="preserve"> </w:t>
      </w:r>
      <w:r w:rsidRPr="00504104">
        <w:t>Order</w:t>
      </w:r>
      <w:r w:rsidR="006C6F09">
        <w:t xml:space="preserve"> </w:t>
      </w:r>
      <w:r w:rsidRPr="00504104">
        <w:t>on</w:t>
      </w:r>
      <w:r w:rsidR="006C6F09">
        <w:t xml:space="preserve"> </w:t>
      </w:r>
      <w:r w:rsidRPr="00504104">
        <w:t>Establishing</w:t>
      </w:r>
      <w:r w:rsidR="006C6F09">
        <w:t xml:space="preserve"> </w:t>
      </w:r>
      <w:r w:rsidRPr="00504104">
        <w:t>Discipline</w:t>
      </w:r>
      <w:r w:rsidR="006C6F09">
        <w:t xml:space="preserve"> </w:t>
      </w:r>
      <w:r w:rsidRPr="00504104">
        <w:t>and</w:t>
      </w:r>
      <w:r w:rsidR="006C6F09">
        <w:t xml:space="preserve"> </w:t>
      </w:r>
      <w:r w:rsidRPr="00504104">
        <w:t>Accountability</w:t>
      </w:r>
      <w:r w:rsidR="006C6F09">
        <w:t xml:space="preserve"> </w:t>
      </w:r>
      <w:r w:rsidRPr="00504104">
        <w:t>in</w:t>
      </w:r>
      <w:r w:rsidR="006C6F09">
        <w:t xml:space="preserve"> </w:t>
      </w:r>
      <w:r w:rsidRPr="00504104">
        <w:t>the</w:t>
      </w:r>
      <w:r w:rsidR="006C6F09">
        <w:t xml:space="preserve"> </w:t>
      </w:r>
      <w:r w:rsidRPr="00504104">
        <w:t>Environmental</w:t>
      </w:r>
      <w:r w:rsidR="006C6F09">
        <w:t xml:space="preserve"> </w:t>
      </w:r>
      <w:r w:rsidRPr="00504104">
        <w:t>Review</w:t>
      </w:r>
      <w:r w:rsidR="006C6F09">
        <w:t xml:space="preserve"> </w:t>
      </w:r>
      <w:r w:rsidRPr="00504104">
        <w:t>and</w:t>
      </w:r>
      <w:r w:rsidR="006C6F09">
        <w:t xml:space="preserve"> </w:t>
      </w:r>
      <w:r w:rsidRPr="00504104">
        <w:t>Permitting</w:t>
      </w:r>
      <w:r w:rsidR="006C6F09">
        <w:t xml:space="preserve"> </w:t>
      </w:r>
      <w:r w:rsidRPr="00504104">
        <w:t>Process</w:t>
      </w:r>
      <w:r w:rsidR="006C6F09">
        <w:t xml:space="preserve"> </w:t>
      </w:r>
      <w:r w:rsidRPr="00504104">
        <w:t>for</w:t>
      </w:r>
      <w:r w:rsidR="006C6F09">
        <w:t xml:space="preserve"> </w:t>
      </w:r>
      <w:r w:rsidRPr="00504104">
        <w:t>Infrastructure</w:t>
      </w:r>
      <w:r w:rsidRPr="00CB152E">
        <w:t>,”</w:t>
      </w:r>
      <w:r w:rsidR="006C6F09">
        <w:t xml:space="preserve"> </w:t>
      </w:r>
      <w:r w:rsidRPr="00CB152E">
        <w:t>the</w:t>
      </w:r>
      <w:r w:rsidR="006C6F09">
        <w:t xml:space="preserve"> </w:t>
      </w:r>
      <w:r w:rsidRPr="00CB152E">
        <w:t>public</w:t>
      </w:r>
      <w:r w:rsidR="006C6F09">
        <w:t xml:space="preserve"> </w:t>
      </w:r>
      <w:r w:rsidRPr="00CB152E">
        <w:t>notices</w:t>
      </w:r>
      <w:r w:rsidR="006C6F09">
        <w:t xml:space="preserve"> </w:t>
      </w:r>
      <w:r w:rsidRPr="00CB152E">
        <w:t>required</w:t>
      </w:r>
      <w:r w:rsidR="006C6F09">
        <w:t xml:space="preserve"> </w:t>
      </w:r>
      <w:r w:rsidRPr="00CB152E">
        <w:t>by</w:t>
      </w:r>
      <w:r w:rsidR="006C6F09">
        <w:t xml:space="preserve"> </w:t>
      </w:r>
      <w:r w:rsidRPr="00CB152E">
        <w:t>this</w:t>
      </w:r>
      <w:r w:rsidR="006C6F09">
        <w:t xml:space="preserve"> </w:t>
      </w:r>
      <w:r w:rsidRPr="00CB152E">
        <w:t>handbook</w:t>
      </w:r>
      <w:r w:rsidR="006C6F09">
        <w:t xml:space="preserve"> </w:t>
      </w:r>
      <w:r w:rsidRPr="00CB152E">
        <w:t>should,</w:t>
      </w:r>
      <w:r w:rsidR="006C6F09">
        <w:t xml:space="preserve"> </w:t>
      </w:r>
      <w:r w:rsidRPr="00CB152E">
        <w:t>to</w:t>
      </w:r>
      <w:r w:rsidR="006C6F09">
        <w:t xml:space="preserve"> </w:t>
      </w:r>
      <w:r w:rsidRPr="00CB152E">
        <w:t>the</w:t>
      </w:r>
      <w:r w:rsidR="006C6F09">
        <w:t xml:space="preserve"> </w:t>
      </w:r>
      <w:r w:rsidRPr="00CB152E">
        <w:t>extent</w:t>
      </w:r>
      <w:r w:rsidR="006C6F09">
        <w:t xml:space="preserve"> </w:t>
      </w:r>
      <w:r w:rsidRPr="00CB152E">
        <w:t>practicable,</w:t>
      </w:r>
      <w:r w:rsidR="006C6F09">
        <w:t xml:space="preserve"> </w:t>
      </w:r>
      <w:r w:rsidRPr="00CB152E">
        <w:t>be</w:t>
      </w:r>
      <w:r w:rsidR="006C6F09">
        <w:t xml:space="preserve"> </w:t>
      </w:r>
      <w:r w:rsidRPr="00CB152E">
        <w:t>written</w:t>
      </w:r>
      <w:r w:rsidR="006C6F09">
        <w:t xml:space="preserve"> </w:t>
      </w:r>
      <w:r w:rsidRPr="00CB152E">
        <w:t>to</w:t>
      </w:r>
      <w:r w:rsidR="006C6F09">
        <w:t xml:space="preserve"> </w:t>
      </w:r>
      <w:r w:rsidRPr="00CB152E">
        <w:t>satisfy</w:t>
      </w:r>
      <w:r w:rsidR="006C6F09">
        <w:t xml:space="preserve"> </w:t>
      </w:r>
      <w:r w:rsidRPr="00CB152E">
        <w:t>any</w:t>
      </w:r>
      <w:r w:rsidR="006C6F09">
        <w:t xml:space="preserve"> </w:t>
      </w:r>
      <w:r w:rsidRPr="00CB152E">
        <w:t>public</w:t>
      </w:r>
      <w:r w:rsidR="006C6F09">
        <w:t xml:space="preserve"> </w:t>
      </w:r>
      <w:r w:rsidRPr="00CB152E">
        <w:t>notice</w:t>
      </w:r>
      <w:r w:rsidR="006C6F09">
        <w:t xml:space="preserve"> </w:t>
      </w:r>
      <w:r w:rsidRPr="00CB152E">
        <w:t>requirements</w:t>
      </w:r>
      <w:r w:rsidR="006C6F09">
        <w:t xml:space="preserve"> </w:t>
      </w:r>
      <w:r w:rsidRPr="00CB152E">
        <w:t>of</w:t>
      </w:r>
      <w:r w:rsidR="006C6F09">
        <w:t xml:space="preserve"> </w:t>
      </w:r>
      <w:r w:rsidRPr="00CB152E">
        <w:t>all</w:t>
      </w:r>
      <w:r w:rsidR="006C6F09">
        <w:t xml:space="preserve"> </w:t>
      </w:r>
      <w:r w:rsidRPr="00CB152E">
        <w:t>applicable</w:t>
      </w:r>
      <w:r w:rsidR="006C6F09">
        <w:t xml:space="preserve"> </w:t>
      </w:r>
      <w:r w:rsidRPr="00CB152E">
        <w:t>regulations,</w:t>
      </w:r>
      <w:r w:rsidR="006C6F09">
        <w:t xml:space="preserve"> </w:t>
      </w:r>
      <w:r w:rsidRPr="00CB152E">
        <w:t>so</w:t>
      </w:r>
      <w:r w:rsidR="006C6F09">
        <w:t xml:space="preserve"> </w:t>
      </w:r>
      <w:r w:rsidRPr="00CB152E">
        <w:t>as</w:t>
      </w:r>
      <w:r w:rsidR="006C6F09">
        <w:t xml:space="preserve"> </w:t>
      </w:r>
      <w:r w:rsidRPr="00CB152E">
        <w:t>to</w:t>
      </w:r>
      <w:r w:rsidR="006C6F09">
        <w:t xml:space="preserve"> </w:t>
      </w:r>
      <w:r w:rsidRPr="00CB152E">
        <w:t>minimize</w:t>
      </w:r>
      <w:r w:rsidR="006C6F09">
        <w:t xml:space="preserve"> </w:t>
      </w:r>
      <w:r w:rsidRPr="00CB152E">
        <w:t>the</w:t>
      </w:r>
      <w:r w:rsidR="006C6F09">
        <w:t xml:space="preserve"> </w:t>
      </w:r>
      <w:r w:rsidRPr="00CB152E">
        <w:t>number</w:t>
      </w:r>
      <w:r w:rsidR="006C6F09">
        <w:t xml:space="preserve"> </w:t>
      </w:r>
      <w:r w:rsidRPr="00CB152E">
        <w:t>of</w:t>
      </w:r>
      <w:r w:rsidR="006C6F09">
        <w:t xml:space="preserve"> </w:t>
      </w:r>
      <w:r w:rsidRPr="00CB152E">
        <w:t>duplicative</w:t>
      </w:r>
      <w:r w:rsidR="006C6F09">
        <w:t xml:space="preserve"> </w:t>
      </w:r>
      <w:r w:rsidRPr="00CB152E">
        <w:t>notices</w:t>
      </w:r>
      <w:r w:rsidR="006C6F09">
        <w:t xml:space="preserve"> </w:t>
      </w:r>
      <w:r w:rsidRPr="00CB152E">
        <w:t>of</w:t>
      </w:r>
      <w:r w:rsidR="006C6F09">
        <w:t xml:space="preserve"> </w:t>
      </w:r>
      <w:r w:rsidRPr="00CB152E">
        <w:t>the</w:t>
      </w:r>
      <w:r w:rsidR="006C6F09">
        <w:t xml:space="preserve"> </w:t>
      </w:r>
      <w:r w:rsidRPr="00CB152E">
        <w:t>same</w:t>
      </w:r>
      <w:r w:rsidR="006C6F09">
        <w:t xml:space="preserve"> </w:t>
      </w:r>
      <w:r w:rsidRPr="00CB152E">
        <w:t>project</w:t>
      </w:r>
      <w:r w:rsidR="006C6F09">
        <w:t xml:space="preserve"> </w:t>
      </w:r>
      <w:r w:rsidRPr="00CB152E">
        <w:t>under</w:t>
      </w:r>
      <w:r w:rsidR="006C6F09">
        <w:t xml:space="preserve"> </w:t>
      </w:r>
      <w:r w:rsidRPr="00CB152E">
        <w:t>different</w:t>
      </w:r>
      <w:r w:rsidR="006C6F09">
        <w:t xml:space="preserve"> </w:t>
      </w:r>
      <w:r w:rsidRPr="00CB152E">
        <w:t>regulations.</w:t>
      </w:r>
    </w:p>
    <w:p w14:paraId="141D7692" w14:textId="752D2B10" w:rsidR="00457754" w:rsidRPr="00B07119" w:rsidRDefault="00457754" w:rsidP="00457754">
      <w:pPr>
        <w:pStyle w:val="Heading3"/>
      </w:pPr>
      <w:bookmarkStart w:id="6" w:name="_Ref219385208"/>
      <w:bookmarkStart w:id="7" w:name="_Toc216784928"/>
      <w:bookmarkStart w:id="8" w:name="_Toc224026194"/>
      <w:r w:rsidRPr="00B07119">
        <w:lastRenderedPageBreak/>
        <w:t>1.1</w:t>
      </w:r>
      <w:r w:rsidR="006C6F09" w:rsidRPr="00B07119">
        <w:t xml:space="preserve"> </w:t>
      </w:r>
      <w:r w:rsidRPr="00B07119">
        <w:t>TxDOT</w:t>
      </w:r>
      <w:r w:rsidR="006C6F09" w:rsidRPr="00B07119">
        <w:t xml:space="preserve"> </w:t>
      </w:r>
      <w:r w:rsidRPr="00B07119">
        <w:t>Public</w:t>
      </w:r>
      <w:r w:rsidR="006C6F09" w:rsidRPr="00B07119">
        <w:t xml:space="preserve"> </w:t>
      </w:r>
      <w:r w:rsidRPr="00B07119">
        <w:t>Involvement</w:t>
      </w:r>
      <w:r w:rsidR="006C6F09" w:rsidRPr="00B07119">
        <w:t xml:space="preserve"> </w:t>
      </w:r>
      <w:r w:rsidRPr="00B07119">
        <w:t>Policy</w:t>
      </w:r>
      <w:bookmarkEnd w:id="6"/>
      <w:bookmarkEnd w:id="7"/>
      <w:bookmarkEnd w:id="8"/>
      <w:r w:rsidR="006C6F09" w:rsidRPr="00B07119">
        <w:t xml:space="preserve"> </w:t>
      </w:r>
    </w:p>
    <w:p w14:paraId="495A773C" w14:textId="53135E45" w:rsidR="00457754" w:rsidRPr="001B0A81" w:rsidRDefault="00457754" w:rsidP="00457754">
      <w:pPr>
        <w:rPr>
          <w:color w:val="0056A9"/>
        </w:rPr>
      </w:pPr>
      <w:r>
        <w:t>The</w:t>
      </w:r>
      <w:r w:rsidR="006C6F09">
        <w:t xml:space="preserve"> </w:t>
      </w:r>
      <w:r>
        <w:t>following</w:t>
      </w:r>
      <w:r w:rsidR="006C6F09">
        <w:t xml:space="preserve"> </w:t>
      </w:r>
      <w:r>
        <w:t>policy</w:t>
      </w:r>
      <w:r w:rsidR="006C6F09">
        <w:t xml:space="preserve"> </w:t>
      </w:r>
      <w:r>
        <w:t>was</w:t>
      </w:r>
      <w:r w:rsidR="006C6F09">
        <w:t xml:space="preserve"> </w:t>
      </w:r>
      <w:r>
        <w:t>adopted</w:t>
      </w:r>
      <w:r w:rsidR="006C6F09">
        <w:t xml:space="preserve"> </w:t>
      </w:r>
      <w:r>
        <w:t>by</w:t>
      </w:r>
      <w:r w:rsidR="006C6F09">
        <w:t xml:space="preserve"> </w:t>
      </w:r>
      <w:r>
        <w:t>the</w:t>
      </w:r>
      <w:r w:rsidR="006C6F09">
        <w:t xml:space="preserve"> </w:t>
      </w:r>
      <w:r>
        <w:t>Texas</w:t>
      </w:r>
      <w:r w:rsidR="006C6F09">
        <w:t xml:space="preserve"> </w:t>
      </w:r>
      <w:r>
        <w:t>Transportation</w:t>
      </w:r>
      <w:r w:rsidR="006C6F09">
        <w:t xml:space="preserve"> </w:t>
      </w:r>
      <w:r>
        <w:t>Commission</w:t>
      </w:r>
      <w:r w:rsidR="006C6F09">
        <w:t xml:space="preserve"> </w:t>
      </w:r>
      <w:r>
        <w:t>on</w:t>
      </w:r>
      <w:r w:rsidR="006C6F09">
        <w:t xml:space="preserve"> </w:t>
      </w:r>
      <w:r>
        <w:t>Jan.</w:t>
      </w:r>
      <w:r w:rsidR="006C6F09">
        <w:t xml:space="preserve"> </w:t>
      </w:r>
      <w:r>
        <w:t>27,</w:t>
      </w:r>
      <w:r w:rsidR="006C6F09">
        <w:t xml:space="preserve"> </w:t>
      </w:r>
      <w:r>
        <w:t>2011,</w:t>
      </w:r>
      <w:r w:rsidR="006C6F09">
        <w:t xml:space="preserve"> </w:t>
      </w:r>
      <w:r>
        <w:t>with</w:t>
      </w:r>
      <w:r w:rsidR="006C6F09">
        <w:t xml:space="preserve"> </w:t>
      </w:r>
      <w:r w:rsidRPr="007524B7">
        <w:t>Minute</w:t>
      </w:r>
      <w:r w:rsidR="006C6F09">
        <w:t xml:space="preserve"> </w:t>
      </w:r>
      <w:r w:rsidRPr="007524B7">
        <w:t>Order</w:t>
      </w:r>
      <w:r w:rsidR="006C6F09">
        <w:t xml:space="preserve"> </w:t>
      </w:r>
      <w:r>
        <w:t>112555.</w:t>
      </w:r>
      <w:r w:rsidR="006C6F09">
        <w:t xml:space="preserve"> </w:t>
      </w:r>
      <w:r>
        <w:t>For</w:t>
      </w:r>
      <w:r w:rsidR="006C6F09">
        <w:t xml:space="preserve"> </w:t>
      </w:r>
      <w:r>
        <w:t>additional</w:t>
      </w:r>
      <w:r w:rsidR="006C6F09">
        <w:t xml:space="preserve"> </w:t>
      </w:r>
      <w:r>
        <w:t>details,</w:t>
      </w:r>
      <w:r w:rsidR="006C6F09">
        <w:t xml:space="preserve"> </w:t>
      </w:r>
      <w:r>
        <w:t>refer</w:t>
      </w:r>
      <w:r w:rsidR="006C6F09">
        <w:t xml:space="preserve"> </w:t>
      </w:r>
      <w:r>
        <w:t>to</w:t>
      </w:r>
      <w:r w:rsidR="006C6F09">
        <w:t xml:space="preserve"> </w:t>
      </w:r>
      <w:r>
        <w:t>section</w:t>
      </w:r>
      <w:r w:rsidR="006C6F09">
        <w:t xml:space="preserve"> </w:t>
      </w:r>
      <w:hyperlink w:anchor="_2.0_Compliance_Overview" w:history="1">
        <w:r w:rsidRPr="00263E76">
          <w:rPr>
            <w:rStyle w:val="Hyperlink"/>
            <w:color w:val="0056A9"/>
          </w:rPr>
          <w:fldChar w:fldCharType="begin"/>
        </w:r>
        <w:r w:rsidRPr="00263E76">
          <w:rPr>
            <w:color w:val="0056A9"/>
            <w:u w:val="single"/>
          </w:rPr>
          <w:instrText xml:space="preserve"> REF _Ref219385081 \h </w:instrText>
        </w:r>
        <w:r w:rsidRPr="00263E76">
          <w:rPr>
            <w:rStyle w:val="Hyperlink"/>
            <w:color w:val="0056A9"/>
          </w:rPr>
          <w:instrText xml:space="preserve"> \* MERGEFORMAT </w:instrText>
        </w:r>
        <w:r w:rsidRPr="00263E76">
          <w:rPr>
            <w:rStyle w:val="Hyperlink"/>
            <w:color w:val="0056A9"/>
          </w:rPr>
        </w:r>
        <w:r w:rsidRPr="00263E76">
          <w:rPr>
            <w:rStyle w:val="Hyperlink"/>
            <w:color w:val="0056A9"/>
          </w:rPr>
          <w:fldChar w:fldCharType="separate"/>
        </w:r>
        <w:r w:rsidR="00942ED8" w:rsidRPr="00263E76">
          <w:rPr>
            <w:color w:val="0056A9"/>
            <w:u w:val="single"/>
          </w:rPr>
          <w:t>2.0</w:t>
        </w:r>
        <w:r w:rsidRPr="00263E76">
          <w:rPr>
            <w:rStyle w:val="Hyperlink"/>
            <w:color w:val="0056A9"/>
          </w:rPr>
          <w:fldChar w:fldCharType="end"/>
        </w:r>
      </w:hyperlink>
      <w:r w:rsidRPr="0005772B">
        <w:t>.</w:t>
      </w:r>
    </w:p>
    <w:p w14:paraId="2E9D1B7B" w14:textId="6C926EB6" w:rsidR="00457754" w:rsidRPr="00C60916" w:rsidRDefault="00457754" w:rsidP="00457754">
      <w:pPr>
        <w:rPr>
          <w:i/>
          <w:iCs/>
        </w:rPr>
      </w:pPr>
      <w:r w:rsidRPr="00C60916">
        <w:rPr>
          <w:i/>
          <w:iCs/>
        </w:rPr>
        <w:t>The</w:t>
      </w:r>
      <w:r w:rsidR="006C6F09">
        <w:rPr>
          <w:i/>
          <w:iCs/>
        </w:rPr>
        <w:t xml:space="preserve"> </w:t>
      </w:r>
      <w:r w:rsidRPr="00C60916">
        <w:rPr>
          <w:i/>
          <w:iCs/>
        </w:rPr>
        <w:t>Texas</w:t>
      </w:r>
      <w:r w:rsidR="006C6F09">
        <w:rPr>
          <w:i/>
          <w:iCs/>
        </w:rPr>
        <w:t xml:space="preserve"> </w:t>
      </w:r>
      <w:r w:rsidRPr="00C60916">
        <w:rPr>
          <w:i/>
          <w:iCs/>
        </w:rPr>
        <w:t>Department</w:t>
      </w:r>
      <w:r w:rsidR="006C6F09">
        <w:rPr>
          <w:i/>
          <w:iCs/>
        </w:rPr>
        <w:t xml:space="preserve"> </w:t>
      </w:r>
      <w:r w:rsidRPr="00C60916">
        <w:rPr>
          <w:i/>
          <w:iCs/>
        </w:rPr>
        <w:t>of</w:t>
      </w:r>
      <w:r w:rsidR="006C6F09">
        <w:rPr>
          <w:i/>
          <w:iCs/>
        </w:rPr>
        <w:t xml:space="preserve"> </w:t>
      </w:r>
      <w:r w:rsidRPr="00C60916">
        <w:rPr>
          <w:i/>
          <w:iCs/>
        </w:rPr>
        <w:t>Transportation</w:t>
      </w:r>
      <w:r w:rsidR="006C6F09">
        <w:rPr>
          <w:i/>
          <w:iCs/>
        </w:rPr>
        <w:t xml:space="preserve"> </w:t>
      </w:r>
      <w:r w:rsidRPr="00C60916">
        <w:rPr>
          <w:i/>
          <w:iCs/>
        </w:rPr>
        <w:t>(TxDOT)</w:t>
      </w:r>
      <w:r w:rsidR="006C6F09">
        <w:rPr>
          <w:i/>
          <w:iCs/>
        </w:rPr>
        <w:t xml:space="preserve"> </w:t>
      </w:r>
      <w:r w:rsidRPr="00C60916">
        <w:rPr>
          <w:i/>
          <w:iCs/>
        </w:rPr>
        <w:t>commits</w:t>
      </w:r>
      <w:r w:rsidR="006C6F09">
        <w:rPr>
          <w:i/>
          <w:iCs/>
        </w:rPr>
        <w:t xml:space="preserve"> </w:t>
      </w:r>
      <w:r w:rsidRPr="00C60916">
        <w:rPr>
          <w:i/>
          <w:iCs/>
        </w:rPr>
        <w:t>to</w:t>
      </w:r>
      <w:r w:rsidR="006C6F09">
        <w:rPr>
          <w:i/>
          <w:iCs/>
        </w:rPr>
        <w:t xml:space="preserve"> </w:t>
      </w:r>
      <w:r w:rsidRPr="00C60916">
        <w:rPr>
          <w:i/>
          <w:iCs/>
        </w:rPr>
        <w:t>purposefully</w:t>
      </w:r>
      <w:r w:rsidR="006C6F09">
        <w:rPr>
          <w:i/>
          <w:iCs/>
        </w:rPr>
        <w:t xml:space="preserve"> </w:t>
      </w:r>
      <w:r w:rsidRPr="00C60916">
        <w:rPr>
          <w:i/>
          <w:iCs/>
        </w:rPr>
        <w:t>involve</w:t>
      </w:r>
      <w:r w:rsidR="006C6F09">
        <w:rPr>
          <w:i/>
          <w:iCs/>
        </w:rPr>
        <w:t xml:space="preserve"> </w:t>
      </w:r>
      <w:r w:rsidRPr="00C60916">
        <w:rPr>
          <w:i/>
          <w:iCs/>
        </w:rPr>
        <w:t>the</w:t>
      </w:r>
      <w:r w:rsidR="006C6F09">
        <w:rPr>
          <w:i/>
          <w:iCs/>
        </w:rPr>
        <w:t xml:space="preserve"> </w:t>
      </w:r>
      <w:r w:rsidRPr="00C60916">
        <w:rPr>
          <w:i/>
          <w:iCs/>
        </w:rPr>
        <w:t>public</w:t>
      </w:r>
      <w:r w:rsidR="006C6F09">
        <w:rPr>
          <w:i/>
          <w:iCs/>
        </w:rPr>
        <w:t xml:space="preserve"> </w:t>
      </w:r>
      <w:r w:rsidRPr="00C60916">
        <w:rPr>
          <w:i/>
          <w:iCs/>
        </w:rPr>
        <w:t>in</w:t>
      </w:r>
      <w:r w:rsidR="006C6F09">
        <w:rPr>
          <w:i/>
          <w:iCs/>
        </w:rPr>
        <w:t xml:space="preserve"> </w:t>
      </w:r>
      <w:r w:rsidRPr="00C60916">
        <w:rPr>
          <w:i/>
          <w:iCs/>
        </w:rPr>
        <w:t>planning</w:t>
      </w:r>
      <w:r w:rsidR="006C6F09">
        <w:rPr>
          <w:i/>
          <w:iCs/>
        </w:rPr>
        <w:t xml:space="preserve"> </w:t>
      </w:r>
      <w:r w:rsidRPr="00C60916">
        <w:rPr>
          <w:i/>
          <w:iCs/>
        </w:rPr>
        <w:t>and</w:t>
      </w:r>
      <w:r w:rsidR="006C6F09">
        <w:rPr>
          <w:i/>
          <w:iCs/>
        </w:rPr>
        <w:t xml:space="preserve"> </w:t>
      </w:r>
      <w:r w:rsidRPr="00C60916">
        <w:rPr>
          <w:i/>
          <w:iCs/>
        </w:rPr>
        <w:t>project</w:t>
      </w:r>
      <w:r w:rsidR="006C6F09">
        <w:rPr>
          <w:i/>
          <w:iCs/>
        </w:rPr>
        <w:t xml:space="preserve"> </w:t>
      </w:r>
      <w:r w:rsidRPr="00C60916">
        <w:rPr>
          <w:i/>
          <w:iCs/>
        </w:rPr>
        <w:t>implementation</w:t>
      </w:r>
      <w:r w:rsidR="006C6F09">
        <w:rPr>
          <w:i/>
          <w:iCs/>
        </w:rPr>
        <w:t xml:space="preserve"> </w:t>
      </w:r>
      <w:r w:rsidRPr="00C60916">
        <w:rPr>
          <w:i/>
          <w:iCs/>
        </w:rPr>
        <w:t>by</w:t>
      </w:r>
      <w:r w:rsidR="006C6F09">
        <w:rPr>
          <w:i/>
          <w:iCs/>
        </w:rPr>
        <w:t xml:space="preserve"> </w:t>
      </w:r>
      <w:r w:rsidRPr="00C60916">
        <w:rPr>
          <w:i/>
          <w:iCs/>
        </w:rPr>
        <w:t>providing</w:t>
      </w:r>
      <w:r w:rsidR="006C6F09">
        <w:rPr>
          <w:i/>
          <w:iCs/>
        </w:rPr>
        <w:t xml:space="preserve"> </w:t>
      </w:r>
      <w:r w:rsidRPr="00C60916">
        <w:rPr>
          <w:i/>
          <w:iCs/>
        </w:rPr>
        <w:t>for</w:t>
      </w:r>
      <w:r w:rsidR="006C6F09">
        <w:rPr>
          <w:i/>
          <w:iCs/>
        </w:rPr>
        <w:t xml:space="preserve"> </w:t>
      </w:r>
      <w:r w:rsidRPr="00C60916">
        <w:rPr>
          <w:i/>
          <w:iCs/>
        </w:rPr>
        <w:t>early,</w:t>
      </w:r>
      <w:r w:rsidR="006C6F09">
        <w:rPr>
          <w:i/>
          <w:iCs/>
        </w:rPr>
        <w:t xml:space="preserve"> </w:t>
      </w:r>
      <w:r w:rsidRPr="00C60916">
        <w:rPr>
          <w:i/>
          <w:iCs/>
        </w:rPr>
        <w:t>continuous,</w:t>
      </w:r>
      <w:r w:rsidR="006C6F09">
        <w:rPr>
          <w:i/>
          <w:iCs/>
        </w:rPr>
        <w:t xml:space="preserve"> </w:t>
      </w:r>
      <w:r w:rsidRPr="00C60916">
        <w:rPr>
          <w:i/>
          <w:iCs/>
        </w:rPr>
        <w:t>transparent,</w:t>
      </w:r>
      <w:r w:rsidR="006C6F09">
        <w:rPr>
          <w:i/>
          <w:iCs/>
        </w:rPr>
        <w:t xml:space="preserve"> </w:t>
      </w:r>
      <w:r w:rsidRPr="00C60916">
        <w:rPr>
          <w:i/>
          <w:iCs/>
        </w:rPr>
        <w:t>and</w:t>
      </w:r>
      <w:r w:rsidR="006C6F09">
        <w:rPr>
          <w:i/>
          <w:iCs/>
        </w:rPr>
        <w:t xml:space="preserve"> </w:t>
      </w:r>
      <w:r w:rsidRPr="00C60916">
        <w:rPr>
          <w:i/>
          <w:iCs/>
        </w:rPr>
        <w:t>effective</w:t>
      </w:r>
      <w:r w:rsidR="006C6F09">
        <w:rPr>
          <w:i/>
          <w:iCs/>
        </w:rPr>
        <w:t xml:space="preserve"> </w:t>
      </w:r>
      <w:r w:rsidRPr="00C60916">
        <w:rPr>
          <w:i/>
          <w:iCs/>
        </w:rPr>
        <w:t>access</w:t>
      </w:r>
      <w:r w:rsidR="006C6F09">
        <w:rPr>
          <w:i/>
          <w:iCs/>
        </w:rPr>
        <w:t xml:space="preserve"> </w:t>
      </w:r>
      <w:r w:rsidRPr="00C60916">
        <w:rPr>
          <w:i/>
          <w:iCs/>
        </w:rPr>
        <w:t>to</w:t>
      </w:r>
      <w:r w:rsidR="006C6F09">
        <w:rPr>
          <w:i/>
          <w:iCs/>
        </w:rPr>
        <w:t xml:space="preserve"> </w:t>
      </w:r>
      <w:r w:rsidRPr="00C60916">
        <w:rPr>
          <w:i/>
          <w:iCs/>
        </w:rPr>
        <w:t>information</w:t>
      </w:r>
      <w:r w:rsidR="006C6F09">
        <w:rPr>
          <w:i/>
          <w:iCs/>
        </w:rPr>
        <w:t xml:space="preserve"> </w:t>
      </w:r>
      <w:r w:rsidRPr="00C60916">
        <w:rPr>
          <w:i/>
          <w:iCs/>
        </w:rPr>
        <w:t>and</w:t>
      </w:r>
      <w:r w:rsidR="006C6F09">
        <w:rPr>
          <w:i/>
          <w:iCs/>
        </w:rPr>
        <w:t xml:space="preserve"> </w:t>
      </w:r>
      <w:r w:rsidRPr="00C60916">
        <w:rPr>
          <w:i/>
          <w:iCs/>
        </w:rPr>
        <w:t>decision-making</w:t>
      </w:r>
      <w:r w:rsidR="006C6F09">
        <w:rPr>
          <w:i/>
          <w:iCs/>
        </w:rPr>
        <w:t xml:space="preserve"> </w:t>
      </w:r>
      <w:r w:rsidRPr="00C60916">
        <w:rPr>
          <w:i/>
          <w:iCs/>
        </w:rPr>
        <w:t>processes.</w:t>
      </w:r>
      <w:r w:rsidR="006C6F09">
        <w:rPr>
          <w:i/>
          <w:iCs/>
        </w:rPr>
        <w:t xml:space="preserve"> </w:t>
      </w:r>
      <w:r w:rsidRPr="00C60916">
        <w:rPr>
          <w:i/>
          <w:iCs/>
        </w:rPr>
        <w:t>TxDOT</w:t>
      </w:r>
      <w:r w:rsidR="006C6F09">
        <w:rPr>
          <w:i/>
          <w:iCs/>
        </w:rPr>
        <w:t xml:space="preserve"> </w:t>
      </w:r>
      <w:r w:rsidRPr="00C60916">
        <w:rPr>
          <w:i/>
          <w:iCs/>
        </w:rPr>
        <w:t>will</w:t>
      </w:r>
      <w:r w:rsidR="006C6F09">
        <w:rPr>
          <w:i/>
          <w:iCs/>
        </w:rPr>
        <w:t xml:space="preserve"> </w:t>
      </w:r>
      <w:r w:rsidRPr="00C60916">
        <w:rPr>
          <w:i/>
          <w:iCs/>
        </w:rPr>
        <w:t>regularly</w:t>
      </w:r>
      <w:r w:rsidR="006C6F09">
        <w:rPr>
          <w:i/>
          <w:iCs/>
        </w:rPr>
        <w:t xml:space="preserve"> </w:t>
      </w:r>
      <w:r w:rsidRPr="00C60916">
        <w:rPr>
          <w:i/>
          <w:iCs/>
        </w:rPr>
        <w:t>update</w:t>
      </w:r>
      <w:r w:rsidR="006C6F09">
        <w:rPr>
          <w:i/>
          <w:iCs/>
        </w:rPr>
        <w:t xml:space="preserve"> </w:t>
      </w:r>
      <w:r w:rsidRPr="00C60916">
        <w:rPr>
          <w:i/>
          <w:iCs/>
        </w:rPr>
        <w:t>public</w:t>
      </w:r>
      <w:r w:rsidR="006C6F09">
        <w:rPr>
          <w:i/>
          <w:iCs/>
        </w:rPr>
        <w:t xml:space="preserve"> </w:t>
      </w:r>
      <w:r w:rsidRPr="00C60916">
        <w:rPr>
          <w:i/>
          <w:iCs/>
        </w:rPr>
        <w:t>involvement</w:t>
      </w:r>
      <w:r w:rsidR="006C6F09">
        <w:rPr>
          <w:i/>
          <w:iCs/>
        </w:rPr>
        <w:t xml:space="preserve"> </w:t>
      </w:r>
      <w:r w:rsidRPr="00C60916">
        <w:rPr>
          <w:i/>
          <w:iCs/>
        </w:rPr>
        <w:t>methods</w:t>
      </w:r>
      <w:r w:rsidR="006C6F09">
        <w:rPr>
          <w:i/>
          <w:iCs/>
        </w:rPr>
        <w:t xml:space="preserve"> </w:t>
      </w:r>
      <w:r w:rsidRPr="00C60916">
        <w:rPr>
          <w:i/>
          <w:iCs/>
        </w:rPr>
        <w:t>to</w:t>
      </w:r>
      <w:r w:rsidR="006C6F09">
        <w:rPr>
          <w:i/>
          <w:iCs/>
        </w:rPr>
        <w:t xml:space="preserve"> </w:t>
      </w:r>
      <w:r w:rsidRPr="00C60916">
        <w:rPr>
          <w:i/>
          <w:iCs/>
        </w:rPr>
        <w:t>include</w:t>
      </w:r>
      <w:r w:rsidR="006C6F09">
        <w:rPr>
          <w:i/>
          <w:iCs/>
        </w:rPr>
        <w:t xml:space="preserve"> </w:t>
      </w:r>
      <w:r w:rsidRPr="00C60916">
        <w:rPr>
          <w:i/>
          <w:iCs/>
        </w:rPr>
        <w:t>best</w:t>
      </w:r>
      <w:r w:rsidR="006C6F09">
        <w:rPr>
          <w:i/>
          <w:iCs/>
        </w:rPr>
        <w:t xml:space="preserve"> </w:t>
      </w:r>
      <w:r w:rsidRPr="00C60916">
        <w:rPr>
          <w:i/>
          <w:iCs/>
        </w:rPr>
        <w:t>practices</w:t>
      </w:r>
      <w:r w:rsidR="006C6F09">
        <w:rPr>
          <w:i/>
          <w:iCs/>
        </w:rPr>
        <w:t xml:space="preserve"> </w:t>
      </w:r>
      <w:r w:rsidRPr="00C60916">
        <w:rPr>
          <w:i/>
          <w:iCs/>
        </w:rPr>
        <w:t>in</w:t>
      </w:r>
      <w:r w:rsidR="006C6F09">
        <w:rPr>
          <w:i/>
          <w:iCs/>
        </w:rPr>
        <w:t xml:space="preserve"> </w:t>
      </w:r>
      <w:r w:rsidRPr="00C60916">
        <w:rPr>
          <w:i/>
          <w:iCs/>
        </w:rPr>
        <w:t>public</w:t>
      </w:r>
      <w:r w:rsidR="006C6F09">
        <w:rPr>
          <w:i/>
          <w:iCs/>
        </w:rPr>
        <w:t xml:space="preserve"> </w:t>
      </w:r>
      <w:r w:rsidRPr="00C60916">
        <w:rPr>
          <w:i/>
          <w:iCs/>
        </w:rPr>
        <w:t>involvement</w:t>
      </w:r>
      <w:r w:rsidR="006C6F09">
        <w:rPr>
          <w:i/>
          <w:iCs/>
        </w:rPr>
        <w:t xml:space="preserve"> </w:t>
      </w:r>
      <w:r w:rsidRPr="00C60916">
        <w:rPr>
          <w:i/>
          <w:iCs/>
        </w:rPr>
        <w:t>and</w:t>
      </w:r>
      <w:r w:rsidR="006C6F09">
        <w:rPr>
          <w:i/>
          <w:iCs/>
        </w:rPr>
        <w:t xml:space="preserve"> </w:t>
      </w:r>
      <w:r w:rsidRPr="00C60916">
        <w:rPr>
          <w:i/>
          <w:iCs/>
        </w:rPr>
        <w:t>incorporate</w:t>
      </w:r>
      <w:r w:rsidR="006C6F09">
        <w:rPr>
          <w:i/>
          <w:iCs/>
        </w:rPr>
        <w:t xml:space="preserve"> </w:t>
      </w:r>
      <w:r w:rsidRPr="00C60916">
        <w:rPr>
          <w:i/>
          <w:iCs/>
        </w:rPr>
        <w:t>a</w:t>
      </w:r>
      <w:r w:rsidR="006C6F09">
        <w:rPr>
          <w:i/>
          <w:iCs/>
        </w:rPr>
        <w:t xml:space="preserve"> </w:t>
      </w:r>
      <w:r w:rsidRPr="00C60916">
        <w:rPr>
          <w:i/>
          <w:iCs/>
        </w:rPr>
        <w:t>range</w:t>
      </w:r>
      <w:r w:rsidR="006C6F09">
        <w:rPr>
          <w:i/>
          <w:iCs/>
        </w:rPr>
        <w:t xml:space="preserve"> </w:t>
      </w:r>
      <w:r w:rsidRPr="00C60916">
        <w:rPr>
          <w:i/>
          <w:iCs/>
        </w:rPr>
        <w:t>of</w:t>
      </w:r>
      <w:r w:rsidR="006C6F09">
        <w:rPr>
          <w:i/>
          <w:iCs/>
        </w:rPr>
        <w:t xml:space="preserve"> </w:t>
      </w:r>
      <w:r w:rsidRPr="00C60916">
        <w:rPr>
          <w:i/>
          <w:iCs/>
        </w:rPr>
        <w:t>strategies</w:t>
      </w:r>
      <w:r w:rsidR="006C6F09">
        <w:rPr>
          <w:i/>
          <w:iCs/>
        </w:rPr>
        <w:t xml:space="preserve"> </w:t>
      </w:r>
      <w:r w:rsidRPr="00C60916">
        <w:rPr>
          <w:i/>
          <w:iCs/>
        </w:rPr>
        <w:t>to</w:t>
      </w:r>
      <w:r w:rsidR="006C6F09">
        <w:rPr>
          <w:i/>
          <w:iCs/>
        </w:rPr>
        <w:t xml:space="preserve"> </w:t>
      </w:r>
      <w:r w:rsidRPr="00C60916">
        <w:rPr>
          <w:i/>
          <w:iCs/>
        </w:rPr>
        <w:t>encourage</w:t>
      </w:r>
      <w:r w:rsidR="006C6F09">
        <w:rPr>
          <w:i/>
          <w:iCs/>
        </w:rPr>
        <w:t xml:space="preserve"> </w:t>
      </w:r>
      <w:r w:rsidRPr="00C60916">
        <w:rPr>
          <w:i/>
          <w:iCs/>
        </w:rPr>
        <w:t>broad</w:t>
      </w:r>
      <w:r w:rsidR="006C6F09">
        <w:rPr>
          <w:i/>
          <w:iCs/>
        </w:rPr>
        <w:t xml:space="preserve"> </w:t>
      </w:r>
      <w:r w:rsidRPr="00C60916">
        <w:rPr>
          <w:i/>
          <w:iCs/>
        </w:rPr>
        <w:t>participation</w:t>
      </w:r>
      <w:r w:rsidR="006C6F09">
        <w:rPr>
          <w:i/>
          <w:iCs/>
        </w:rPr>
        <w:t xml:space="preserve"> </w:t>
      </w:r>
      <w:r w:rsidRPr="00C60916">
        <w:rPr>
          <w:i/>
          <w:iCs/>
        </w:rPr>
        <w:t>reflective</w:t>
      </w:r>
      <w:r w:rsidR="006C6F09">
        <w:rPr>
          <w:i/>
          <w:iCs/>
        </w:rPr>
        <w:t xml:space="preserve"> </w:t>
      </w:r>
      <w:r w:rsidRPr="00C60916">
        <w:rPr>
          <w:i/>
          <w:iCs/>
        </w:rPr>
        <w:t>of</w:t>
      </w:r>
      <w:r w:rsidR="006C6F09">
        <w:rPr>
          <w:i/>
          <w:iCs/>
        </w:rPr>
        <w:t xml:space="preserve"> </w:t>
      </w:r>
      <w:r w:rsidRPr="00C60916">
        <w:rPr>
          <w:i/>
          <w:iCs/>
        </w:rPr>
        <w:t>the</w:t>
      </w:r>
      <w:r w:rsidR="006C6F09">
        <w:rPr>
          <w:i/>
          <w:iCs/>
        </w:rPr>
        <w:t xml:space="preserve"> </w:t>
      </w:r>
      <w:r w:rsidRPr="00C60916">
        <w:rPr>
          <w:i/>
          <w:iCs/>
        </w:rPr>
        <w:t>needs</w:t>
      </w:r>
      <w:r w:rsidR="006C6F09">
        <w:rPr>
          <w:i/>
          <w:iCs/>
        </w:rPr>
        <w:t xml:space="preserve"> </w:t>
      </w:r>
      <w:r w:rsidRPr="00C60916">
        <w:rPr>
          <w:i/>
          <w:iCs/>
        </w:rPr>
        <w:t>of</w:t>
      </w:r>
      <w:r w:rsidR="006C6F09">
        <w:rPr>
          <w:i/>
          <w:iCs/>
        </w:rPr>
        <w:t xml:space="preserve"> </w:t>
      </w:r>
      <w:r w:rsidRPr="00C60916">
        <w:rPr>
          <w:i/>
          <w:iCs/>
        </w:rPr>
        <w:t>the</w:t>
      </w:r>
      <w:r w:rsidR="006C6F09">
        <w:rPr>
          <w:i/>
          <w:iCs/>
        </w:rPr>
        <w:t xml:space="preserve"> </w:t>
      </w:r>
      <w:r w:rsidRPr="00C60916">
        <w:rPr>
          <w:i/>
          <w:iCs/>
        </w:rPr>
        <w:t>state's</w:t>
      </w:r>
      <w:r w:rsidR="006C6F09">
        <w:rPr>
          <w:i/>
          <w:iCs/>
        </w:rPr>
        <w:t xml:space="preserve"> </w:t>
      </w:r>
      <w:r w:rsidRPr="00C60916">
        <w:rPr>
          <w:i/>
          <w:iCs/>
        </w:rPr>
        <w:t>population.</w:t>
      </w:r>
    </w:p>
    <w:p w14:paraId="5C33F9A0" w14:textId="74E9AB50" w:rsidR="00457754" w:rsidRPr="00B07119" w:rsidRDefault="00457754" w:rsidP="00457754">
      <w:pPr>
        <w:pStyle w:val="Heading3"/>
      </w:pPr>
      <w:bookmarkStart w:id="9" w:name="_Hlk216941337"/>
      <w:bookmarkStart w:id="10" w:name="_Toc224026195"/>
      <w:r w:rsidRPr="00B07119">
        <w:t>1.2</w:t>
      </w:r>
      <w:r w:rsidR="006C6F09" w:rsidRPr="00B07119">
        <w:t xml:space="preserve"> </w:t>
      </w:r>
      <w:r w:rsidRPr="00B07119">
        <w:t>Responsible</w:t>
      </w:r>
      <w:r w:rsidR="006C6F09" w:rsidRPr="00B07119">
        <w:t xml:space="preserve"> </w:t>
      </w:r>
      <w:r w:rsidRPr="00B07119">
        <w:t>Parties</w:t>
      </w:r>
      <w:bookmarkEnd w:id="10"/>
      <w:r w:rsidR="006C6F09" w:rsidRPr="00B07119">
        <w:t xml:space="preserve"> </w:t>
      </w:r>
    </w:p>
    <w:bookmarkEnd w:id="9"/>
    <w:p w14:paraId="50FC54F4" w14:textId="7914DDC9" w:rsidR="00457754" w:rsidRPr="0087244D" w:rsidRDefault="00457754" w:rsidP="0087244D">
      <w:pPr>
        <w:pStyle w:val="Heading4"/>
      </w:pPr>
      <w:r w:rsidRPr="0087244D">
        <w:t>1.2.1</w:t>
      </w:r>
      <w:r w:rsidR="006C6F09">
        <w:t xml:space="preserve"> </w:t>
      </w:r>
      <w:r w:rsidRPr="0087244D">
        <w:t>Project</w:t>
      </w:r>
      <w:r w:rsidR="006C6F09">
        <w:t xml:space="preserve"> </w:t>
      </w:r>
      <w:r w:rsidRPr="0087244D">
        <w:t>Sponsor</w:t>
      </w:r>
      <w:r w:rsidR="006C6F09">
        <w:t xml:space="preserve"> </w:t>
      </w:r>
    </w:p>
    <w:p w14:paraId="7B53E8B5" w14:textId="0559FD30" w:rsidR="00457754" w:rsidRDefault="00457754" w:rsidP="00457754">
      <w:r w:rsidRPr="002F04A2">
        <w:t>The</w:t>
      </w:r>
      <w:r w:rsidR="006C6F09">
        <w:t xml:space="preserve"> </w:t>
      </w:r>
      <w:r w:rsidRPr="002F04A2">
        <w:t>project</w:t>
      </w:r>
      <w:r w:rsidR="006C6F09">
        <w:t xml:space="preserve"> </w:t>
      </w:r>
      <w:r w:rsidRPr="002F04A2">
        <w:t>sponsor</w:t>
      </w:r>
      <w:r w:rsidR="006C6F09">
        <w:t xml:space="preserve"> </w:t>
      </w:r>
      <w:r w:rsidRPr="002F04A2">
        <w:t>is</w:t>
      </w:r>
      <w:r w:rsidR="006C6F09">
        <w:t xml:space="preserve"> </w:t>
      </w:r>
      <w:r w:rsidRPr="002F04A2">
        <w:t>responsible</w:t>
      </w:r>
      <w:r w:rsidR="006C6F09">
        <w:t xml:space="preserve"> </w:t>
      </w:r>
      <w:r w:rsidRPr="002F04A2">
        <w:t>for</w:t>
      </w:r>
      <w:r w:rsidR="006C6F09">
        <w:t xml:space="preserve"> </w:t>
      </w:r>
      <w:r w:rsidRPr="002F04A2">
        <w:t>initiating</w:t>
      </w:r>
      <w:r w:rsidR="006C6F09">
        <w:t xml:space="preserve"> </w:t>
      </w:r>
      <w:r w:rsidRPr="002F04A2">
        <w:t>and</w:t>
      </w:r>
      <w:r w:rsidR="006C6F09">
        <w:t xml:space="preserve"> </w:t>
      </w:r>
      <w:r w:rsidRPr="002F04A2">
        <w:t>conducting</w:t>
      </w:r>
      <w:r w:rsidR="006C6F09">
        <w:t xml:space="preserve"> </w:t>
      </w:r>
      <w:r w:rsidRPr="002F04A2">
        <w:t>the</w:t>
      </w:r>
      <w:r w:rsidR="006C6F09">
        <w:t xml:space="preserve"> </w:t>
      </w:r>
      <w:r w:rsidRPr="002F04A2">
        <w:t>applicable</w:t>
      </w:r>
      <w:r w:rsidR="006C6F09">
        <w:t xml:space="preserve"> </w:t>
      </w:r>
      <w:proofErr w:type="gramStart"/>
      <w:r w:rsidRPr="002F04A2">
        <w:t>and</w:t>
      </w:r>
      <w:r w:rsidR="006C6F09">
        <w:t xml:space="preserve"> </w:t>
      </w:r>
      <w:r w:rsidRPr="002F04A2">
        <w:t>or</w:t>
      </w:r>
      <w:proofErr w:type="gramEnd"/>
      <w:r w:rsidR="006C6F09">
        <w:t xml:space="preserve"> </w:t>
      </w:r>
      <w:r w:rsidRPr="002F04A2">
        <w:t>appropriate</w:t>
      </w:r>
      <w:r w:rsidR="006C6F09">
        <w:t xml:space="preserve"> </w:t>
      </w:r>
      <w:r w:rsidRPr="002F04A2">
        <w:t>public</w:t>
      </w:r>
      <w:r w:rsidR="006C6F09">
        <w:t xml:space="preserve"> </w:t>
      </w:r>
      <w:r w:rsidRPr="002F04A2">
        <w:t>involvement</w:t>
      </w:r>
      <w:r w:rsidR="006C6F09">
        <w:t xml:space="preserve"> </w:t>
      </w:r>
      <w:r w:rsidRPr="002F04A2">
        <w:t>procedures</w:t>
      </w:r>
      <w:r w:rsidR="006C6F09">
        <w:t xml:space="preserve"> </w:t>
      </w:r>
      <w:r w:rsidRPr="002F04A2">
        <w:t>for</w:t>
      </w:r>
      <w:r w:rsidR="006C6F09">
        <w:t xml:space="preserve"> </w:t>
      </w:r>
      <w:r w:rsidRPr="002F04A2">
        <w:t>a</w:t>
      </w:r>
      <w:r w:rsidR="006C6F09">
        <w:t xml:space="preserve"> </w:t>
      </w:r>
      <w:r w:rsidRPr="002F04A2">
        <w:t>project.</w:t>
      </w:r>
      <w:r w:rsidR="006C6F09">
        <w:t xml:space="preserve"> </w:t>
      </w:r>
      <w:r w:rsidRPr="002F04A2">
        <w:t>While</w:t>
      </w:r>
      <w:r w:rsidR="006C6F09">
        <w:t xml:space="preserve"> </w:t>
      </w:r>
      <w:r w:rsidRPr="002F04A2">
        <w:t>consultants</w:t>
      </w:r>
      <w:r w:rsidR="006C6F09">
        <w:t xml:space="preserve"> </w:t>
      </w:r>
      <w:r w:rsidRPr="002F04A2">
        <w:t>may</w:t>
      </w:r>
      <w:r w:rsidR="006C6F09">
        <w:t xml:space="preserve"> </w:t>
      </w:r>
      <w:r w:rsidRPr="002F04A2">
        <w:t>assist,</w:t>
      </w:r>
      <w:r w:rsidR="006C6F09">
        <w:t xml:space="preserve"> </w:t>
      </w:r>
      <w:r w:rsidRPr="002F04A2">
        <w:t>the</w:t>
      </w:r>
      <w:r w:rsidR="006C6F09">
        <w:t xml:space="preserve"> </w:t>
      </w:r>
      <w:r w:rsidRPr="002F04A2">
        <w:t>project</w:t>
      </w:r>
      <w:r w:rsidR="006C6F09">
        <w:t xml:space="preserve"> </w:t>
      </w:r>
      <w:r w:rsidRPr="002F04A2">
        <w:t>sponsor</w:t>
      </w:r>
      <w:r w:rsidR="006C6F09">
        <w:t xml:space="preserve"> </w:t>
      </w:r>
      <w:r w:rsidRPr="002F04A2">
        <w:t>must</w:t>
      </w:r>
      <w:r w:rsidR="006C6F09">
        <w:t xml:space="preserve"> </w:t>
      </w:r>
      <w:r w:rsidRPr="002F04A2">
        <w:t>host</w:t>
      </w:r>
      <w:r w:rsidR="006C6F09">
        <w:t xml:space="preserve"> </w:t>
      </w:r>
      <w:r w:rsidRPr="002F04A2">
        <w:t>a</w:t>
      </w:r>
      <w:r w:rsidR="006C6F09">
        <w:t xml:space="preserve"> </w:t>
      </w:r>
      <w:r w:rsidRPr="002F04A2">
        <w:t>public</w:t>
      </w:r>
      <w:r w:rsidR="006C6F09">
        <w:t xml:space="preserve"> </w:t>
      </w:r>
      <w:r w:rsidRPr="002F04A2">
        <w:t>meeting</w:t>
      </w:r>
      <w:r w:rsidR="006C6F09">
        <w:t xml:space="preserve"> </w:t>
      </w:r>
      <w:r w:rsidRPr="002F04A2">
        <w:t>or</w:t>
      </w:r>
      <w:r w:rsidR="006C6F09">
        <w:t xml:space="preserve"> </w:t>
      </w:r>
      <w:r w:rsidRPr="002F04A2">
        <w:t>public</w:t>
      </w:r>
      <w:r w:rsidR="006C6F09">
        <w:t xml:space="preserve"> </w:t>
      </w:r>
      <w:r w:rsidRPr="002F04A2">
        <w:t>hearing.</w:t>
      </w:r>
      <w:r w:rsidR="006C6F09">
        <w:t xml:space="preserve"> </w:t>
      </w:r>
      <w:r w:rsidRPr="002F04A2">
        <w:t>TxDOT</w:t>
      </w:r>
      <w:r w:rsidR="006C6F09">
        <w:t xml:space="preserve"> </w:t>
      </w:r>
      <w:r w:rsidRPr="002F04A2">
        <w:t>must</w:t>
      </w:r>
      <w:r w:rsidR="006C6F09">
        <w:t xml:space="preserve"> </w:t>
      </w:r>
      <w:r w:rsidRPr="002F04A2">
        <w:t>host</w:t>
      </w:r>
      <w:r w:rsidR="006C6F09">
        <w:t xml:space="preserve"> </w:t>
      </w:r>
      <w:r w:rsidRPr="002F04A2">
        <w:t>a</w:t>
      </w:r>
      <w:r w:rsidR="006C6F09">
        <w:t xml:space="preserve"> </w:t>
      </w:r>
      <w:r w:rsidRPr="002F04A2">
        <w:t>public</w:t>
      </w:r>
      <w:r w:rsidR="006C6F09">
        <w:t xml:space="preserve"> </w:t>
      </w:r>
      <w:r w:rsidRPr="002F04A2">
        <w:t>meeting</w:t>
      </w:r>
      <w:r w:rsidR="006C6F09">
        <w:t xml:space="preserve"> </w:t>
      </w:r>
      <w:r w:rsidRPr="002F04A2">
        <w:t>or</w:t>
      </w:r>
      <w:r w:rsidR="006C6F09">
        <w:t xml:space="preserve"> </w:t>
      </w:r>
      <w:r w:rsidRPr="002F04A2">
        <w:t>public</w:t>
      </w:r>
      <w:r w:rsidR="006C6F09">
        <w:t xml:space="preserve"> </w:t>
      </w:r>
      <w:r w:rsidRPr="002F04A2">
        <w:t>hearing</w:t>
      </w:r>
      <w:r w:rsidR="006C6F09">
        <w:t xml:space="preserve"> </w:t>
      </w:r>
      <w:r w:rsidRPr="002F04A2">
        <w:t>for</w:t>
      </w:r>
      <w:r w:rsidR="006C6F09">
        <w:t xml:space="preserve"> </w:t>
      </w:r>
      <w:r w:rsidRPr="002F04A2">
        <w:t>a</w:t>
      </w:r>
      <w:r w:rsidR="006C6F09">
        <w:t xml:space="preserve"> </w:t>
      </w:r>
      <w:r w:rsidRPr="002F04A2">
        <w:t>TxDOT</w:t>
      </w:r>
      <w:r w:rsidR="006C6F09">
        <w:t xml:space="preserve"> </w:t>
      </w:r>
      <w:r w:rsidRPr="002F04A2">
        <w:t>sponsored</w:t>
      </w:r>
      <w:r w:rsidR="006C6F09">
        <w:t xml:space="preserve"> </w:t>
      </w:r>
      <w:r w:rsidRPr="002F04A2">
        <w:t>project.</w:t>
      </w:r>
      <w:r w:rsidR="006C6F09">
        <w:t xml:space="preserve"> </w:t>
      </w:r>
      <w:r w:rsidRPr="002F04A2">
        <w:t>For</w:t>
      </w:r>
      <w:r w:rsidR="006C6F09">
        <w:t xml:space="preserve"> </w:t>
      </w:r>
      <w:r w:rsidRPr="002F04A2">
        <w:t>projects</w:t>
      </w:r>
      <w:r w:rsidR="006C6F09">
        <w:t xml:space="preserve"> </w:t>
      </w:r>
      <w:r w:rsidRPr="002F04A2">
        <w:t>where</w:t>
      </w:r>
      <w:r w:rsidR="006C6F09">
        <w:t xml:space="preserve"> </w:t>
      </w:r>
      <w:r w:rsidRPr="002F04A2">
        <w:t>a</w:t>
      </w:r>
      <w:r w:rsidR="006C6F09">
        <w:t xml:space="preserve"> </w:t>
      </w:r>
      <w:r w:rsidRPr="002F04A2">
        <w:t>municipality,</w:t>
      </w:r>
      <w:r w:rsidR="006C6F09">
        <w:t xml:space="preserve"> </w:t>
      </w:r>
      <w:r w:rsidRPr="002F04A2">
        <w:t>county,</w:t>
      </w:r>
      <w:r w:rsidR="006C6F09">
        <w:t xml:space="preserve"> </w:t>
      </w:r>
      <w:r w:rsidRPr="002F04A2">
        <w:t>group</w:t>
      </w:r>
      <w:r w:rsidR="006C6F09">
        <w:t xml:space="preserve"> </w:t>
      </w:r>
      <w:r w:rsidRPr="002F04A2">
        <w:t>of</w:t>
      </w:r>
      <w:r w:rsidR="006C6F09">
        <w:t xml:space="preserve"> </w:t>
      </w:r>
      <w:r w:rsidRPr="002F04A2">
        <w:t>adjoining</w:t>
      </w:r>
      <w:r w:rsidR="006C6F09">
        <w:t xml:space="preserve"> </w:t>
      </w:r>
      <w:r w:rsidRPr="002F04A2">
        <w:t>counties,</w:t>
      </w:r>
      <w:r w:rsidR="006C6F09">
        <w:t xml:space="preserve"> </w:t>
      </w:r>
      <w:r w:rsidRPr="002F04A2">
        <w:t>regional</w:t>
      </w:r>
      <w:r w:rsidR="006C6F09">
        <w:t xml:space="preserve"> </w:t>
      </w:r>
      <w:r w:rsidRPr="002F04A2">
        <w:t>mobility</w:t>
      </w:r>
      <w:r w:rsidR="006C6F09">
        <w:t xml:space="preserve"> </w:t>
      </w:r>
      <w:r w:rsidRPr="002F04A2">
        <w:t>authority,</w:t>
      </w:r>
      <w:r w:rsidR="006C6F09">
        <w:t xml:space="preserve"> </w:t>
      </w:r>
      <w:r w:rsidRPr="002F04A2">
        <w:t>local</w:t>
      </w:r>
      <w:r w:rsidR="006C6F09">
        <w:t xml:space="preserve"> </w:t>
      </w:r>
      <w:r w:rsidRPr="002F04A2">
        <w:t>government</w:t>
      </w:r>
      <w:r w:rsidR="006C6F09">
        <w:t xml:space="preserve"> </w:t>
      </w:r>
      <w:r w:rsidRPr="002F04A2">
        <w:t>corporation,</w:t>
      </w:r>
      <w:r w:rsidR="006C6F09">
        <w:t xml:space="preserve"> </w:t>
      </w:r>
      <w:r w:rsidRPr="002F04A2">
        <w:t>or</w:t>
      </w:r>
      <w:r w:rsidR="006C6F09">
        <w:t xml:space="preserve"> </w:t>
      </w:r>
      <w:r w:rsidRPr="002F04A2">
        <w:t>transportation</w:t>
      </w:r>
      <w:r w:rsidR="006C6F09">
        <w:t xml:space="preserve"> </w:t>
      </w:r>
      <w:r w:rsidRPr="002F04A2">
        <w:t>corporation</w:t>
      </w:r>
      <w:r w:rsidR="006C6F09">
        <w:t xml:space="preserve"> </w:t>
      </w:r>
      <w:r w:rsidRPr="002F04A2">
        <w:t>is</w:t>
      </w:r>
      <w:r w:rsidR="006C6F09">
        <w:t xml:space="preserve"> </w:t>
      </w:r>
      <w:r w:rsidRPr="002F04A2">
        <w:t>the</w:t>
      </w:r>
      <w:r w:rsidR="006C6F09">
        <w:t xml:space="preserve"> </w:t>
      </w:r>
      <w:r w:rsidRPr="002F04A2">
        <w:t>official</w:t>
      </w:r>
      <w:r w:rsidR="006C6F09">
        <w:t xml:space="preserve"> </w:t>
      </w:r>
      <w:r w:rsidRPr="002F04A2">
        <w:t>project</w:t>
      </w:r>
      <w:r w:rsidR="006C6F09">
        <w:t xml:space="preserve"> </w:t>
      </w:r>
      <w:r w:rsidRPr="002F04A2">
        <w:t>sponsor,</w:t>
      </w:r>
      <w:r w:rsidR="006C6F09">
        <w:t xml:space="preserve"> </w:t>
      </w:r>
      <w:r w:rsidRPr="002F04A2">
        <w:t>that</w:t>
      </w:r>
      <w:r w:rsidR="006C6F09">
        <w:t xml:space="preserve"> </w:t>
      </w:r>
      <w:r w:rsidRPr="002F04A2">
        <w:t>entity</w:t>
      </w:r>
      <w:r w:rsidR="006C6F09">
        <w:t xml:space="preserve"> </w:t>
      </w:r>
      <w:r w:rsidRPr="002F04A2">
        <w:t>will</w:t>
      </w:r>
      <w:r w:rsidR="006C6F09">
        <w:t xml:space="preserve"> </w:t>
      </w:r>
      <w:r w:rsidRPr="002F04A2">
        <w:t>coordinate,</w:t>
      </w:r>
      <w:r w:rsidR="006C6F09">
        <w:t xml:space="preserve"> </w:t>
      </w:r>
      <w:r w:rsidRPr="002F04A2">
        <w:t>manage,</w:t>
      </w:r>
      <w:r w:rsidR="006C6F09">
        <w:t xml:space="preserve"> </w:t>
      </w:r>
      <w:r w:rsidRPr="002F04A2">
        <w:t>and</w:t>
      </w:r>
      <w:r w:rsidR="006C6F09">
        <w:t xml:space="preserve"> </w:t>
      </w:r>
      <w:r w:rsidRPr="002F04A2">
        <w:t>deliver</w:t>
      </w:r>
      <w:r w:rsidR="006C6F09">
        <w:t xml:space="preserve"> </w:t>
      </w:r>
      <w:r w:rsidRPr="002F04A2">
        <w:t>public</w:t>
      </w:r>
      <w:r w:rsidR="006C6F09">
        <w:t xml:space="preserve"> </w:t>
      </w:r>
      <w:r w:rsidRPr="002F04A2">
        <w:t>involvement</w:t>
      </w:r>
      <w:r w:rsidR="006C6F09">
        <w:t xml:space="preserve"> </w:t>
      </w:r>
      <w:r w:rsidRPr="002F04A2">
        <w:t>activities.</w:t>
      </w:r>
      <w:r w:rsidR="006C6F09">
        <w:t xml:space="preserve"> </w:t>
      </w:r>
      <w:r w:rsidRPr="002F04A2">
        <w:t>For</w:t>
      </w:r>
      <w:r w:rsidR="006C6F09">
        <w:t xml:space="preserve"> </w:t>
      </w:r>
      <w:r w:rsidRPr="002F04A2">
        <w:t>public</w:t>
      </w:r>
      <w:r w:rsidR="006C6F09">
        <w:t xml:space="preserve"> </w:t>
      </w:r>
      <w:r w:rsidRPr="002F04A2">
        <w:t>hearings</w:t>
      </w:r>
      <w:r w:rsidR="006C6F09">
        <w:t xml:space="preserve"> </w:t>
      </w:r>
      <w:r w:rsidRPr="002F04A2">
        <w:t>on</w:t>
      </w:r>
      <w:r w:rsidR="006C6F09">
        <w:t xml:space="preserve"> </w:t>
      </w:r>
      <w:r w:rsidRPr="002F04A2">
        <w:t>Federal</w:t>
      </w:r>
      <w:r w:rsidR="006C6F09">
        <w:t xml:space="preserve"> </w:t>
      </w:r>
      <w:r w:rsidRPr="002F04A2">
        <w:t>Highway</w:t>
      </w:r>
      <w:r w:rsidR="006C6F09">
        <w:t xml:space="preserve"> </w:t>
      </w:r>
      <w:r w:rsidRPr="002F04A2">
        <w:t>Administration</w:t>
      </w:r>
      <w:r w:rsidR="006C6F09">
        <w:t xml:space="preserve"> </w:t>
      </w:r>
      <w:r w:rsidRPr="002F04A2">
        <w:t>(FHWA)</w:t>
      </w:r>
      <w:r w:rsidR="006C6F09">
        <w:t xml:space="preserve"> </w:t>
      </w:r>
      <w:r w:rsidRPr="002F04A2">
        <w:t>projects,</w:t>
      </w:r>
      <w:r w:rsidR="006C6F09">
        <w:t xml:space="preserve"> </w:t>
      </w:r>
      <w:r w:rsidRPr="002F04A2">
        <w:t>if</w:t>
      </w:r>
      <w:r w:rsidR="006C6F09">
        <w:t xml:space="preserve"> </w:t>
      </w:r>
      <w:r w:rsidRPr="002F04A2">
        <w:t>the</w:t>
      </w:r>
      <w:r w:rsidR="006C6F09">
        <w:t xml:space="preserve"> </w:t>
      </w:r>
      <w:r w:rsidRPr="002F04A2">
        <w:t>in-person</w:t>
      </w:r>
      <w:r w:rsidR="006C6F09">
        <w:t xml:space="preserve"> </w:t>
      </w:r>
      <w:r w:rsidRPr="002F04A2">
        <w:t>option</w:t>
      </w:r>
      <w:r w:rsidR="006C6F09">
        <w:t xml:space="preserve"> </w:t>
      </w:r>
      <w:r w:rsidRPr="002F04A2">
        <w:t>will</w:t>
      </w:r>
      <w:r w:rsidR="006C6F09">
        <w:t xml:space="preserve"> </w:t>
      </w:r>
      <w:r w:rsidRPr="002F04A2">
        <w:t>be</w:t>
      </w:r>
      <w:r w:rsidR="006C6F09">
        <w:t xml:space="preserve"> </w:t>
      </w:r>
      <w:r w:rsidRPr="002F04A2">
        <w:t>held</w:t>
      </w:r>
      <w:r w:rsidR="006C6F09">
        <w:t xml:space="preserve"> </w:t>
      </w:r>
      <w:r w:rsidRPr="002F04A2">
        <w:t>in</w:t>
      </w:r>
      <w:r w:rsidR="006C6F09">
        <w:t xml:space="preserve"> </w:t>
      </w:r>
      <w:r w:rsidRPr="002F04A2">
        <w:t>a</w:t>
      </w:r>
      <w:r w:rsidR="006C6F09">
        <w:t xml:space="preserve"> </w:t>
      </w:r>
      <w:r w:rsidRPr="002F04A2">
        <w:t>traditional</w:t>
      </w:r>
      <w:r w:rsidR="006C6F09">
        <w:t xml:space="preserve"> </w:t>
      </w:r>
      <w:r w:rsidRPr="002F04A2">
        <w:t>public</w:t>
      </w:r>
      <w:r w:rsidR="006C6F09">
        <w:t xml:space="preserve"> </w:t>
      </w:r>
      <w:r w:rsidRPr="002F04A2">
        <w:t>hearing</w:t>
      </w:r>
      <w:r w:rsidR="006C6F09">
        <w:t xml:space="preserve"> </w:t>
      </w:r>
      <w:r w:rsidRPr="002F04A2">
        <w:t>format</w:t>
      </w:r>
      <w:r w:rsidR="006C6F09">
        <w:t xml:space="preserve"> </w:t>
      </w:r>
      <w:r w:rsidRPr="002F04A2">
        <w:t>(as</w:t>
      </w:r>
      <w:r w:rsidR="006C6F09">
        <w:t xml:space="preserve"> </w:t>
      </w:r>
      <w:r w:rsidRPr="002F04A2">
        <w:t>opposed</w:t>
      </w:r>
      <w:r w:rsidR="006C6F09">
        <w:t xml:space="preserve"> </w:t>
      </w:r>
      <w:r w:rsidRPr="002F04A2">
        <w:t>to</w:t>
      </w:r>
      <w:r w:rsidR="006C6F09">
        <w:t xml:space="preserve"> </w:t>
      </w:r>
      <w:r w:rsidRPr="002F04A2">
        <w:t>an</w:t>
      </w:r>
      <w:r w:rsidR="006C6F09">
        <w:t xml:space="preserve"> </w:t>
      </w:r>
      <w:r w:rsidRPr="002F04A2">
        <w:t>open</w:t>
      </w:r>
      <w:r w:rsidR="006C6F09">
        <w:t xml:space="preserve"> </w:t>
      </w:r>
      <w:r w:rsidRPr="002F04A2">
        <w:t>house</w:t>
      </w:r>
      <w:r w:rsidR="006C6F09">
        <w:t xml:space="preserve"> </w:t>
      </w:r>
      <w:r w:rsidRPr="002F04A2">
        <w:t>format),</w:t>
      </w:r>
      <w:r w:rsidR="006C6F09">
        <w:t xml:space="preserve"> </w:t>
      </w:r>
      <w:r w:rsidRPr="002F04A2">
        <w:t>then</w:t>
      </w:r>
      <w:r w:rsidR="006C6F09">
        <w:t xml:space="preserve"> </w:t>
      </w:r>
      <w:r w:rsidRPr="002F04A2">
        <w:t>regardless</w:t>
      </w:r>
      <w:r w:rsidR="006C6F09">
        <w:t xml:space="preserve"> </w:t>
      </w:r>
      <w:r w:rsidRPr="002F04A2">
        <w:t>of</w:t>
      </w:r>
      <w:r w:rsidR="006C6F09">
        <w:t xml:space="preserve"> </w:t>
      </w:r>
      <w:r w:rsidRPr="002F04A2">
        <w:t>whether</w:t>
      </w:r>
      <w:r w:rsidR="006C6F09">
        <w:t xml:space="preserve"> </w:t>
      </w:r>
      <w:r w:rsidRPr="002F04A2">
        <w:t>TxDOT</w:t>
      </w:r>
      <w:r w:rsidR="006C6F09">
        <w:t xml:space="preserve"> </w:t>
      </w:r>
      <w:r w:rsidRPr="002F04A2">
        <w:t>or</w:t>
      </w:r>
      <w:r w:rsidR="006C6F09">
        <w:t xml:space="preserve"> </w:t>
      </w:r>
      <w:r w:rsidRPr="002F04A2">
        <w:t>a</w:t>
      </w:r>
      <w:r w:rsidR="006C6F09">
        <w:t xml:space="preserve"> </w:t>
      </w:r>
      <w:r w:rsidRPr="002F04A2">
        <w:t>local</w:t>
      </w:r>
      <w:r w:rsidR="006C6F09">
        <w:t xml:space="preserve"> </w:t>
      </w:r>
      <w:r w:rsidRPr="002F04A2">
        <w:t>government</w:t>
      </w:r>
      <w:r w:rsidR="006C6F09">
        <w:t xml:space="preserve"> </w:t>
      </w:r>
      <w:r w:rsidRPr="002F04A2">
        <w:t>is</w:t>
      </w:r>
      <w:r w:rsidR="006C6F09">
        <w:t xml:space="preserve"> </w:t>
      </w:r>
      <w:r w:rsidRPr="002F04A2">
        <w:t>the</w:t>
      </w:r>
      <w:r w:rsidR="006C6F09">
        <w:t xml:space="preserve"> </w:t>
      </w:r>
      <w:r w:rsidRPr="002F04A2">
        <w:t>project</w:t>
      </w:r>
      <w:r w:rsidR="006C6F09">
        <w:t xml:space="preserve"> </w:t>
      </w:r>
      <w:r w:rsidRPr="002F04A2">
        <w:t>sponsor,</w:t>
      </w:r>
      <w:r w:rsidR="006C6F09">
        <w:t xml:space="preserve"> </w:t>
      </w:r>
      <w:r w:rsidRPr="002F04A2">
        <w:t>an</w:t>
      </w:r>
      <w:r w:rsidR="006C6F09">
        <w:t xml:space="preserve"> </w:t>
      </w:r>
      <w:r w:rsidRPr="002F04A2">
        <w:t>appropriately</w:t>
      </w:r>
      <w:r w:rsidR="006C6F09">
        <w:t xml:space="preserve"> </w:t>
      </w:r>
      <w:r w:rsidRPr="002F04A2">
        <w:t>designated</w:t>
      </w:r>
      <w:r w:rsidR="006C6F09">
        <w:t xml:space="preserve"> </w:t>
      </w:r>
      <w:r w:rsidRPr="002F04A2">
        <w:t>TxDOT</w:t>
      </w:r>
      <w:r w:rsidR="006C6F09">
        <w:t xml:space="preserve"> </w:t>
      </w:r>
      <w:r w:rsidRPr="002F04A2">
        <w:t>employee</w:t>
      </w:r>
      <w:r w:rsidR="006C6F09">
        <w:t xml:space="preserve"> </w:t>
      </w:r>
      <w:r w:rsidRPr="002F04A2">
        <w:t>must</w:t>
      </w:r>
      <w:r w:rsidR="006C6F09">
        <w:t xml:space="preserve"> </w:t>
      </w:r>
      <w:r w:rsidRPr="002F04A2">
        <w:t>open</w:t>
      </w:r>
      <w:r w:rsidR="006C6F09">
        <w:t xml:space="preserve"> </w:t>
      </w:r>
      <w:r w:rsidRPr="002F04A2">
        <w:t>the</w:t>
      </w:r>
      <w:r w:rsidR="006C6F09">
        <w:t xml:space="preserve"> </w:t>
      </w:r>
      <w:r w:rsidRPr="002F04A2">
        <w:t>public</w:t>
      </w:r>
      <w:r w:rsidR="006C6F09">
        <w:t xml:space="preserve"> </w:t>
      </w:r>
      <w:r w:rsidRPr="002F04A2">
        <w:t>hearing,</w:t>
      </w:r>
      <w:r w:rsidR="006C6F09">
        <w:t xml:space="preserve"> </w:t>
      </w:r>
      <w:r w:rsidRPr="002F04A2">
        <w:t>officiate</w:t>
      </w:r>
      <w:r w:rsidR="006C6F09">
        <w:t xml:space="preserve"> </w:t>
      </w:r>
      <w:r w:rsidRPr="002F04A2">
        <w:t>the</w:t>
      </w:r>
      <w:r w:rsidR="006C6F09">
        <w:t xml:space="preserve"> </w:t>
      </w:r>
      <w:r w:rsidRPr="002F04A2">
        <w:t>public</w:t>
      </w:r>
      <w:r w:rsidR="006C6F09">
        <w:t xml:space="preserve"> </w:t>
      </w:r>
      <w:r w:rsidRPr="002F04A2">
        <w:t>comment</w:t>
      </w:r>
      <w:r w:rsidR="006C6F09">
        <w:t xml:space="preserve"> </w:t>
      </w:r>
      <w:r w:rsidRPr="002F04A2">
        <w:t>portion</w:t>
      </w:r>
      <w:r w:rsidR="006C6F09">
        <w:t xml:space="preserve"> </w:t>
      </w:r>
      <w:r w:rsidRPr="002F04A2">
        <w:t>of</w:t>
      </w:r>
      <w:r w:rsidR="006C6F09">
        <w:t xml:space="preserve"> </w:t>
      </w:r>
      <w:r w:rsidRPr="002F04A2">
        <w:t>the</w:t>
      </w:r>
      <w:r w:rsidR="006C6F09">
        <w:t xml:space="preserve"> </w:t>
      </w:r>
      <w:r w:rsidRPr="002F04A2">
        <w:t>hearing,</w:t>
      </w:r>
      <w:r w:rsidR="006C6F09">
        <w:t xml:space="preserve"> </w:t>
      </w:r>
      <w:r w:rsidRPr="002F04A2">
        <w:t>and</w:t>
      </w:r>
      <w:r w:rsidR="006C6F09">
        <w:t xml:space="preserve"> </w:t>
      </w:r>
      <w:r w:rsidRPr="002F04A2">
        <w:t>close</w:t>
      </w:r>
      <w:r w:rsidR="006C6F09">
        <w:t xml:space="preserve"> </w:t>
      </w:r>
      <w:r w:rsidRPr="002F04A2">
        <w:t>the</w:t>
      </w:r>
      <w:r w:rsidR="006C6F09">
        <w:t xml:space="preserve"> </w:t>
      </w:r>
      <w:r w:rsidRPr="002F04A2">
        <w:t>public</w:t>
      </w:r>
      <w:r w:rsidR="006C6F09">
        <w:t xml:space="preserve"> </w:t>
      </w:r>
      <w:r w:rsidRPr="002F04A2">
        <w:t>hearing</w:t>
      </w:r>
      <w:r w:rsidR="006C6F09">
        <w:t xml:space="preserve"> </w:t>
      </w:r>
      <w:r w:rsidRPr="002F04A2">
        <w:t>(this</w:t>
      </w:r>
      <w:r w:rsidR="006C6F09">
        <w:t xml:space="preserve"> </w:t>
      </w:r>
      <w:r w:rsidRPr="002F04A2">
        <w:t>requirement</w:t>
      </w:r>
      <w:r w:rsidR="006C6F09">
        <w:t xml:space="preserve"> </w:t>
      </w:r>
      <w:r w:rsidRPr="002F04A2">
        <w:t>does</w:t>
      </w:r>
      <w:r w:rsidR="006C6F09">
        <w:t xml:space="preserve"> </w:t>
      </w:r>
      <w:r w:rsidRPr="002F04A2">
        <w:t>not</w:t>
      </w:r>
      <w:r w:rsidR="006C6F09">
        <w:t xml:space="preserve"> </w:t>
      </w:r>
      <w:r w:rsidRPr="002F04A2">
        <w:t>apply</w:t>
      </w:r>
      <w:r w:rsidR="006C6F09">
        <w:t xml:space="preserve"> </w:t>
      </w:r>
      <w:r w:rsidRPr="002F04A2">
        <w:t>to</w:t>
      </w:r>
      <w:r w:rsidR="006C6F09">
        <w:t xml:space="preserve"> </w:t>
      </w:r>
      <w:r w:rsidRPr="002F04A2">
        <w:t>the</w:t>
      </w:r>
      <w:r w:rsidR="006C6F09">
        <w:t xml:space="preserve"> </w:t>
      </w:r>
      <w:r w:rsidRPr="002F04A2">
        <w:t>virtual</w:t>
      </w:r>
      <w:r w:rsidR="006C6F09">
        <w:t xml:space="preserve"> </w:t>
      </w:r>
      <w:r w:rsidRPr="002F04A2">
        <w:t>hearing</w:t>
      </w:r>
      <w:r w:rsidR="006C6F09">
        <w:t xml:space="preserve"> </w:t>
      </w:r>
      <w:r w:rsidRPr="002F04A2">
        <w:t>presentation,</w:t>
      </w:r>
      <w:r w:rsidR="006C6F09">
        <w:t xml:space="preserve"> </w:t>
      </w:r>
      <w:r w:rsidRPr="002F04A2">
        <w:t>as</w:t>
      </w:r>
      <w:r w:rsidR="006C6F09">
        <w:t xml:space="preserve"> </w:t>
      </w:r>
      <w:r w:rsidRPr="002F04A2">
        <w:t>the</w:t>
      </w:r>
      <w:r w:rsidR="006C6F09">
        <w:t xml:space="preserve"> </w:t>
      </w:r>
      <w:r w:rsidRPr="002F04A2">
        <w:t>narrator</w:t>
      </w:r>
      <w:r w:rsidR="006C6F09">
        <w:t xml:space="preserve"> </w:t>
      </w:r>
      <w:r w:rsidRPr="002F04A2">
        <w:t>voiceover</w:t>
      </w:r>
      <w:r w:rsidR="006C6F09">
        <w:t xml:space="preserve"> </w:t>
      </w:r>
      <w:r w:rsidRPr="002F04A2">
        <w:t>for</w:t>
      </w:r>
      <w:r w:rsidR="006C6F09">
        <w:t xml:space="preserve"> </w:t>
      </w:r>
      <w:r w:rsidRPr="002F04A2">
        <w:t>the</w:t>
      </w:r>
      <w:r w:rsidR="006C6F09">
        <w:t xml:space="preserve"> </w:t>
      </w:r>
      <w:r w:rsidRPr="002F04A2">
        <w:t>online</w:t>
      </w:r>
      <w:r w:rsidR="006C6F09">
        <w:t xml:space="preserve"> </w:t>
      </w:r>
      <w:r w:rsidRPr="002F04A2">
        <w:t>presentation</w:t>
      </w:r>
      <w:r w:rsidR="006C6F09">
        <w:t xml:space="preserve"> </w:t>
      </w:r>
      <w:r w:rsidRPr="002F04A2">
        <w:t>does</w:t>
      </w:r>
      <w:r w:rsidR="006C6F09">
        <w:t xml:space="preserve"> </w:t>
      </w:r>
      <w:r w:rsidRPr="002F04A2">
        <w:t>not</w:t>
      </w:r>
      <w:r w:rsidR="006C6F09">
        <w:t xml:space="preserve"> </w:t>
      </w:r>
      <w:r w:rsidRPr="002F04A2">
        <w:t>need</w:t>
      </w:r>
      <w:r w:rsidR="006C6F09">
        <w:t xml:space="preserve"> </w:t>
      </w:r>
      <w:r w:rsidRPr="002F04A2">
        <w:t>to</w:t>
      </w:r>
      <w:r w:rsidR="006C6F09">
        <w:t xml:space="preserve"> </w:t>
      </w:r>
      <w:r w:rsidRPr="002F04A2">
        <w:t>be</w:t>
      </w:r>
      <w:r w:rsidR="006C6F09">
        <w:t xml:space="preserve"> </w:t>
      </w:r>
      <w:r w:rsidRPr="002F04A2">
        <w:t>a</w:t>
      </w:r>
      <w:r w:rsidR="006C6F09">
        <w:t xml:space="preserve"> </w:t>
      </w:r>
      <w:r w:rsidRPr="002F04A2">
        <w:t>TxDOT</w:t>
      </w:r>
      <w:r w:rsidR="006C6F09">
        <w:t xml:space="preserve"> </w:t>
      </w:r>
      <w:r w:rsidRPr="002F04A2">
        <w:t>employee).The</w:t>
      </w:r>
      <w:r w:rsidR="006C6F09">
        <w:t xml:space="preserve"> </w:t>
      </w:r>
      <w:r w:rsidRPr="002F04A2">
        <w:t>project</w:t>
      </w:r>
      <w:r w:rsidR="006C6F09">
        <w:t xml:space="preserve"> </w:t>
      </w:r>
      <w:r w:rsidRPr="002F04A2">
        <w:t>sponsor</w:t>
      </w:r>
      <w:r w:rsidR="006C6F09">
        <w:t xml:space="preserve"> </w:t>
      </w:r>
      <w:r w:rsidRPr="002F04A2">
        <w:t>is</w:t>
      </w:r>
      <w:r w:rsidR="006C6F09">
        <w:t xml:space="preserve"> </w:t>
      </w:r>
      <w:r w:rsidRPr="002F04A2">
        <w:t>responsible</w:t>
      </w:r>
      <w:r w:rsidR="006C6F09">
        <w:t xml:space="preserve"> </w:t>
      </w:r>
      <w:r w:rsidRPr="002F04A2">
        <w:t>for</w:t>
      </w:r>
      <w:r w:rsidR="006C6F09">
        <w:t xml:space="preserve"> </w:t>
      </w:r>
      <w:r w:rsidRPr="002F04A2">
        <w:t>preparing</w:t>
      </w:r>
      <w:r w:rsidR="006C6F09">
        <w:t xml:space="preserve"> </w:t>
      </w:r>
      <w:r w:rsidRPr="002F04A2">
        <w:t>and</w:t>
      </w:r>
      <w:r w:rsidR="006C6F09">
        <w:t xml:space="preserve"> </w:t>
      </w:r>
      <w:r w:rsidRPr="002F04A2">
        <w:t>publishing</w:t>
      </w:r>
      <w:r w:rsidR="006C6F09">
        <w:t xml:space="preserve"> </w:t>
      </w:r>
      <w:r w:rsidRPr="002F04A2">
        <w:lastRenderedPageBreak/>
        <w:t>notices</w:t>
      </w:r>
      <w:r w:rsidR="006C6F09">
        <w:t xml:space="preserve"> </w:t>
      </w:r>
      <w:r w:rsidRPr="002F04A2">
        <w:t>for</w:t>
      </w:r>
      <w:r w:rsidR="006C6F09">
        <w:t xml:space="preserve"> </w:t>
      </w:r>
      <w:r w:rsidRPr="002F04A2">
        <w:t>public</w:t>
      </w:r>
      <w:r w:rsidR="006C6F09">
        <w:t xml:space="preserve"> </w:t>
      </w:r>
      <w:r w:rsidRPr="002F04A2">
        <w:t>involvement</w:t>
      </w:r>
      <w:r w:rsidR="006C6F09">
        <w:t xml:space="preserve"> </w:t>
      </w:r>
      <w:r w:rsidRPr="002F04A2">
        <w:t>activities.</w:t>
      </w:r>
      <w:r w:rsidR="006C6F09">
        <w:t xml:space="preserve"> </w:t>
      </w:r>
      <w:r w:rsidRPr="002F04A2">
        <w:t>The</w:t>
      </w:r>
      <w:r w:rsidR="006C6F09">
        <w:t xml:space="preserve"> </w:t>
      </w:r>
      <w:r w:rsidRPr="002F04A2">
        <w:t>project</w:t>
      </w:r>
      <w:r w:rsidR="006C6F09">
        <w:t xml:space="preserve"> </w:t>
      </w:r>
      <w:r w:rsidRPr="002F04A2">
        <w:t>sponsor</w:t>
      </w:r>
      <w:r w:rsidR="006C6F09">
        <w:t xml:space="preserve"> </w:t>
      </w:r>
      <w:r w:rsidRPr="002F04A2">
        <w:t>maintains</w:t>
      </w:r>
      <w:r w:rsidR="006C6F09">
        <w:t xml:space="preserve"> </w:t>
      </w:r>
      <w:r w:rsidRPr="002F04A2">
        <w:t>a</w:t>
      </w:r>
      <w:r w:rsidR="006C6F09">
        <w:t xml:space="preserve"> </w:t>
      </w:r>
      <w:r w:rsidRPr="002F04A2">
        <w:t>list</w:t>
      </w:r>
      <w:r w:rsidR="006C6F09">
        <w:t xml:space="preserve"> </w:t>
      </w:r>
      <w:r w:rsidRPr="002F04A2">
        <w:t>of</w:t>
      </w:r>
      <w:r w:rsidR="006C6F09">
        <w:t xml:space="preserve"> </w:t>
      </w:r>
      <w:r w:rsidRPr="002F04A2">
        <w:t>interested</w:t>
      </w:r>
      <w:r w:rsidR="006C6F09">
        <w:t xml:space="preserve"> </w:t>
      </w:r>
      <w:r w:rsidRPr="002F04A2">
        <w:t>individuals</w:t>
      </w:r>
      <w:r w:rsidR="006C6F09">
        <w:t xml:space="preserve"> </w:t>
      </w:r>
      <w:r w:rsidRPr="002F04A2">
        <w:t>and</w:t>
      </w:r>
      <w:r w:rsidR="006C6F09">
        <w:t xml:space="preserve"> </w:t>
      </w:r>
      <w:r w:rsidRPr="002F04A2">
        <w:t>groups</w:t>
      </w:r>
      <w:r w:rsidR="006C6F09">
        <w:t xml:space="preserve"> </w:t>
      </w:r>
      <w:r w:rsidRPr="002F04A2">
        <w:t>to</w:t>
      </w:r>
      <w:r w:rsidR="006C6F09">
        <w:t xml:space="preserve"> </w:t>
      </w:r>
      <w:r w:rsidRPr="002F04A2">
        <w:t>be</w:t>
      </w:r>
      <w:r w:rsidR="006C6F09">
        <w:t xml:space="preserve"> </w:t>
      </w:r>
      <w:r w:rsidRPr="002F04A2">
        <w:t>notified</w:t>
      </w:r>
      <w:r w:rsidR="006C6F09">
        <w:t xml:space="preserve"> </w:t>
      </w:r>
      <w:r w:rsidRPr="002F04A2">
        <w:t>of</w:t>
      </w:r>
      <w:r w:rsidR="006C6F09">
        <w:t xml:space="preserve"> </w:t>
      </w:r>
      <w:r w:rsidRPr="002F04A2">
        <w:t>public</w:t>
      </w:r>
      <w:r w:rsidR="006C6F09">
        <w:t xml:space="preserve"> </w:t>
      </w:r>
      <w:r w:rsidRPr="002F04A2">
        <w:t>involvement</w:t>
      </w:r>
      <w:r w:rsidR="006C6F09">
        <w:t xml:space="preserve"> </w:t>
      </w:r>
      <w:r w:rsidRPr="002F04A2">
        <w:t>activities</w:t>
      </w:r>
      <w:r w:rsidR="006C6F09">
        <w:t xml:space="preserve"> </w:t>
      </w:r>
      <w:r w:rsidRPr="002F04A2">
        <w:t>related</w:t>
      </w:r>
      <w:r w:rsidR="006C6F09">
        <w:t xml:space="preserve"> </w:t>
      </w:r>
      <w:r w:rsidRPr="002F04A2">
        <w:t>to</w:t>
      </w:r>
      <w:r w:rsidR="006C6F09">
        <w:t xml:space="preserve"> </w:t>
      </w:r>
      <w:r w:rsidRPr="002F04A2">
        <w:t>a</w:t>
      </w:r>
      <w:r w:rsidR="006C6F09">
        <w:t xml:space="preserve"> </w:t>
      </w:r>
      <w:r w:rsidRPr="002F04A2">
        <w:t>proposed</w:t>
      </w:r>
      <w:r w:rsidR="006C6F09">
        <w:t xml:space="preserve"> </w:t>
      </w:r>
      <w:r w:rsidRPr="002F04A2">
        <w:t>project</w:t>
      </w:r>
      <w:r w:rsidR="006C6F09">
        <w:t xml:space="preserve"> </w:t>
      </w:r>
      <w:r w:rsidRPr="002F04A2">
        <w:t>and</w:t>
      </w:r>
      <w:r w:rsidR="006C6F09">
        <w:t xml:space="preserve"> </w:t>
      </w:r>
      <w:r w:rsidRPr="002F04A2">
        <w:t>retains</w:t>
      </w:r>
      <w:r w:rsidR="006C6F09">
        <w:t xml:space="preserve"> </w:t>
      </w:r>
      <w:r w:rsidRPr="002F04A2">
        <w:t>the</w:t>
      </w:r>
      <w:r w:rsidR="006C6F09">
        <w:t xml:space="preserve"> </w:t>
      </w:r>
      <w:r w:rsidRPr="002F04A2">
        <w:t>list</w:t>
      </w:r>
      <w:r w:rsidR="006C6F09">
        <w:t xml:space="preserve"> </w:t>
      </w:r>
      <w:r w:rsidRPr="002F04A2">
        <w:t>in</w:t>
      </w:r>
      <w:r w:rsidR="006C6F09">
        <w:t xml:space="preserve"> </w:t>
      </w:r>
      <w:r w:rsidRPr="002F04A2">
        <w:t>the</w:t>
      </w:r>
      <w:r w:rsidR="006C6F09">
        <w:t xml:space="preserve"> </w:t>
      </w:r>
      <w:r w:rsidRPr="002F04A2">
        <w:t>project</w:t>
      </w:r>
      <w:r w:rsidR="006C6F09">
        <w:t xml:space="preserve"> </w:t>
      </w:r>
      <w:r w:rsidRPr="002F04A2">
        <w:t>file.</w:t>
      </w:r>
      <w:r w:rsidR="006C6F09">
        <w:t xml:space="preserve"> </w:t>
      </w:r>
      <w:r w:rsidRPr="002F04A2">
        <w:t>Copies</w:t>
      </w:r>
      <w:r w:rsidR="006C6F09">
        <w:t xml:space="preserve"> </w:t>
      </w:r>
      <w:r w:rsidRPr="002F04A2">
        <w:t>of</w:t>
      </w:r>
      <w:r w:rsidR="006C6F09">
        <w:t xml:space="preserve"> </w:t>
      </w:r>
      <w:r w:rsidRPr="002F04A2">
        <w:t>notices</w:t>
      </w:r>
      <w:r w:rsidR="006C6F09">
        <w:t xml:space="preserve"> </w:t>
      </w:r>
      <w:r w:rsidRPr="002F04A2">
        <w:t>are</w:t>
      </w:r>
      <w:r w:rsidR="006C6F09">
        <w:t xml:space="preserve"> </w:t>
      </w:r>
      <w:r w:rsidRPr="002F04A2">
        <w:t>mailed</w:t>
      </w:r>
      <w:r w:rsidR="006C6F09">
        <w:t xml:space="preserve"> </w:t>
      </w:r>
      <w:r w:rsidRPr="002F04A2">
        <w:t>to</w:t>
      </w:r>
      <w:r w:rsidR="006C6F09">
        <w:t xml:space="preserve"> </w:t>
      </w:r>
      <w:r w:rsidRPr="002F04A2">
        <w:t>these</w:t>
      </w:r>
      <w:r w:rsidR="006C6F09">
        <w:t xml:space="preserve"> </w:t>
      </w:r>
      <w:r w:rsidRPr="002F04A2">
        <w:t>individuals</w:t>
      </w:r>
      <w:r w:rsidR="006C6F09">
        <w:t xml:space="preserve"> </w:t>
      </w:r>
      <w:r w:rsidRPr="002F04A2">
        <w:t>or</w:t>
      </w:r>
      <w:r w:rsidR="006C6F09">
        <w:t xml:space="preserve"> </w:t>
      </w:r>
      <w:r w:rsidRPr="002F04A2">
        <w:t>groups.</w:t>
      </w:r>
    </w:p>
    <w:p w14:paraId="5D136050" w14:textId="637258B8" w:rsidR="00457754" w:rsidRPr="0087244D" w:rsidRDefault="00457754" w:rsidP="0087244D">
      <w:pPr>
        <w:pStyle w:val="Heading4"/>
      </w:pPr>
      <w:r w:rsidRPr="0087244D">
        <w:t>1.2.2</w:t>
      </w:r>
      <w:r w:rsidR="006C6F09">
        <w:t xml:space="preserve"> </w:t>
      </w:r>
      <w:r w:rsidRPr="0087244D">
        <w:t>Department</w:t>
      </w:r>
      <w:r w:rsidR="006C6F09">
        <w:t xml:space="preserve"> </w:t>
      </w:r>
      <w:r w:rsidRPr="0087244D">
        <w:t>Delegate</w:t>
      </w:r>
      <w:r w:rsidR="006C6F09">
        <w:t xml:space="preserve"> </w:t>
      </w:r>
    </w:p>
    <w:p w14:paraId="4B62C0F1" w14:textId="76EA0257" w:rsidR="00457754" w:rsidRPr="00291144" w:rsidRDefault="00457754" w:rsidP="00457754">
      <w:r w:rsidRPr="00291144">
        <w:t>The</w:t>
      </w:r>
      <w:r w:rsidR="006C6F09">
        <w:t xml:space="preserve"> </w:t>
      </w:r>
      <w:r w:rsidRPr="00291144">
        <w:t>department</w:t>
      </w:r>
      <w:r w:rsidR="006C6F09">
        <w:t xml:space="preserve"> </w:t>
      </w:r>
      <w:r w:rsidRPr="00291144">
        <w:t>delegate</w:t>
      </w:r>
      <w:r w:rsidR="006C6F09">
        <w:t xml:space="preserve"> </w:t>
      </w:r>
      <w:r w:rsidRPr="00291144">
        <w:t>is</w:t>
      </w:r>
      <w:r w:rsidR="006C6F09">
        <w:t xml:space="preserve"> </w:t>
      </w:r>
      <w:r w:rsidRPr="00291144">
        <w:t>responsible</w:t>
      </w:r>
      <w:r w:rsidR="006C6F09">
        <w:t xml:space="preserve"> </w:t>
      </w:r>
      <w:r w:rsidRPr="00291144">
        <w:t>for</w:t>
      </w:r>
      <w:r w:rsidR="006C6F09">
        <w:t xml:space="preserve"> </w:t>
      </w:r>
      <w:r w:rsidRPr="00291144">
        <w:t>ensuring</w:t>
      </w:r>
      <w:r w:rsidR="006C6F09">
        <w:t xml:space="preserve"> </w:t>
      </w:r>
      <w:r w:rsidRPr="00291144">
        <w:t>notices</w:t>
      </w:r>
      <w:r w:rsidR="006C6F09">
        <w:t xml:space="preserve"> </w:t>
      </w:r>
      <w:r w:rsidRPr="00291144">
        <w:t>are</w:t>
      </w:r>
      <w:r w:rsidR="006C6F09">
        <w:t xml:space="preserve"> </w:t>
      </w:r>
      <w:r w:rsidRPr="00291144">
        <w:t>posted</w:t>
      </w:r>
      <w:r w:rsidR="006C6F09">
        <w:t xml:space="preserve"> </w:t>
      </w:r>
      <w:r w:rsidRPr="00291144">
        <w:t>on</w:t>
      </w:r>
      <w:r w:rsidR="006C6F09">
        <w:t xml:space="preserve"> </w:t>
      </w:r>
      <w:r w:rsidRPr="00291144">
        <w:t>the</w:t>
      </w:r>
      <w:r w:rsidR="006C6F09">
        <w:t xml:space="preserve"> </w:t>
      </w:r>
      <w:r w:rsidRPr="00291144">
        <w:t>“</w:t>
      </w:r>
      <w:r w:rsidRPr="007524B7">
        <w:t>Hearings,</w:t>
      </w:r>
      <w:r w:rsidR="006C6F09">
        <w:t xml:space="preserve"> </w:t>
      </w:r>
      <w:r w:rsidRPr="007524B7">
        <w:t>meetings</w:t>
      </w:r>
      <w:r w:rsidR="006C6F09">
        <w:t xml:space="preserve"> </w:t>
      </w:r>
      <w:r w:rsidRPr="007524B7">
        <w:t>and</w:t>
      </w:r>
      <w:r w:rsidR="006C6F09">
        <w:t xml:space="preserve"> </w:t>
      </w:r>
      <w:r w:rsidRPr="007524B7">
        <w:t>notices</w:t>
      </w:r>
      <w:r w:rsidR="006C6F09">
        <w:t xml:space="preserve"> </w:t>
      </w:r>
      <w:r w:rsidRPr="007524B7">
        <w:t>schedule</w:t>
      </w:r>
      <w:r w:rsidRPr="00291144">
        <w:t>”</w:t>
      </w:r>
      <w:r w:rsidR="006C6F09">
        <w:t xml:space="preserve"> </w:t>
      </w:r>
      <w:r w:rsidRPr="00291144">
        <w:t>web</w:t>
      </w:r>
      <w:r w:rsidR="006C6F09">
        <w:t xml:space="preserve"> </w:t>
      </w:r>
      <w:r w:rsidRPr="00291144">
        <w:t>page</w:t>
      </w:r>
      <w:r w:rsidR="006C6F09">
        <w:t xml:space="preserve"> </w:t>
      </w:r>
      <w:r w:rsidRPr="00291144">
        <w:t>on</w:t>
      </w:r>
      <w:r w:rsidR="006C6F09">
        <w:t xml:space="preserve"> </w:t>
      </w:r>
      <w:r w:rsidRPr="00291144">
        <w:t>txdot.gov,</w:t>
      </w:r>
      <w:r w:rsidR="006C6F09">
        <w:t xml:space="preserve"> </w:t>
      </w:r>
      <w:r w:rsidRPr="00291144">
        <w:t>as</w:t>
      </w:r>
      <w:r w:rsidR="006C6F09">
        <w:t xml:space="preserve"> </w:t>
      </w:r>
      <w:r w:rsidRPr="00291144">
        <w:t>appropriate.</w:t>
      </w:r>
      <w:r w:rsidR="006C6F09">
        <w:t xml:space="preserve"> </w:t>
      </w:r>
      <w:r w:rsidRPr="00291144">
        <w:t>TxDOT’s</w:t>
      </w:r>
      <w:r w:rsidR="006C6F09">
        <w:t xml:space="preserve"> </w:t>
      </w:r>
      <w:r w:rsidRPr="00291144">
        <w:t>Environmental</w:t>
      </w:r>
      <w:r w:rsidR="006C6F09">
        <w:t xml:space="preserve"> </w:t>
      </w:r>
      <w:r w:rsidRPr="00291144">
        <w:t>Affairs</w:t>
      </w:r>
      <w:r w:rsidR="006C6F09">
        <w:t xml:space="preserve"> </w:t>
      </w:r>
      <w:r w:rsidRPr="00291144">
        <w:t>Division</w:t>
      </w:r>
      <w:r w:rsidR="006C6F09">
        <w:t xml:space="preserve"> </w:t>
      </w:r>
      <w:r w:rsidRPr="00291144">
        <w:t>(ENV)</w:t>
      </w:r>
      <w:r w:rsidR="006C6F09">
        <w:t xml:space="preserve"> </w:t>
      </w:r>
      <w:r w:rsidRPr="00291144">
        <w:t>arranges</w:t>
      </w:r>
      <w:r w:rsidR="006C6F09">
        <w:t xml:space="preserve"> </w:t>
      </w:r>
      <w:r w:rsidRPr="00291144">
        <w:t>for</w:t>
      </w:r>
      <w:r w:rsidR="006C6F09">
        <w:t xml:space="preserve"> </w:t>
      </w:r>
      <w:r w:rsidRPr="00291144">
        <w:t>publication</w:t>
      </w:r>
      <w:r w:rsidR="006C6F09">
        <w:t xml:space="preserve"> </w:t>
      </w:r>
      <w:r w:rsidRPr="00291144">
        <w:t>of</w:t>
      </w:r>
      <w:r w:rsidR="006C6F09">
        <w:t xml:space="preserve"> </w:t>
      </w:r>
      <w:r w:rsidRPr="00291144">
        <w:t>notices</w:t>
      </w:r>
      <w:r w:rsidR="006C6F09">
        <w:t xml:space="preserve"> </w:t>
      </w:r>
      <w:r w:rsidRPr="00291144">
        <w:t>of</w:t>
      </w:r>
      <w:r w:rsidR="006C6F09">
        <w:t xml:space="preserve"> </w:t>
      </w:r>
      <w:r w:rsidRPr="00291144">
        <w:t>availability</w:t>
      </w:r>
      <w:r w:rsidR="006C6F09">
        <w:t xml:space="preserve"> </w:t>
      </w:r>
      <w:r w:rsidRPr="00291144">
        <w:t>for</w:t>
      </w:r>
      <w:r w:rsidR="006C6F09">
        <w:t xml:space="preserve"> </w:t>
      </w:r>
      <w:r w:rsidRPr="00291144">
        <w:t>Draft</w:t>
      </w:r>
      <w:r w:rsidR="006C6F09">
        <w:t xml:space="preserve"> </w:t>
      </w:r>
      <w:r w:rsidRPr="00291144">
        <w:t>Environmental</w:t>
      </w:r>
      <w:r w:rsidR="006C6F09">
        <w:t xml:space="preserve"> </w:t>
      </w:r>
      <w:r w:rsidRPr="00291144">
        <w:t>Impact</w:t>
      </w:r>
      <w:r w:rsidR="006C6F09">
        <w:t xml:space="preserve"> </w:t>
      </w:r>
      <w:r w:rsidRPr="00291144">
        <w:t>Statements</w:t>
      </w:r>
      <w:r w:rsidR="006C6F09">
        <w:t xml:space="preserve"> </w:t>
      </w:r>
      <w:r w:rsidRPr="00291144">
        <w:t>(DEISs)</w:t>
      </w:r>
      <w:r w:rsidR="006C6F09">
        <w:t xml:space="preserve"> </w:t>
      </w:r>
      <w:r w:rsidRPr="00291144">
        <w:t>and</w:t>
      </w:r>
      <w:r w:rsidR="006C6F09">
        <w:t xml:space="preserve"> </w:t>
      </w:r>
      <w:r w:rsidRPr="00291144">
        <w:t>Final</w:t>
      </w:r>
      <w:r w:rsidR="006C6F09">
        <w:t xml:space="preserve"> </w:t>
      </w:r>
      <w:r w:rsidRPr="00291144">
        <w:t>Environmental</w:t>
      </w:r>
      <w:r w:rsidR="006C6F09">
        <w:t xml:space="preserve"> </w:t>
      </w:r>
      <w:r w:rsidRPr="00291144">
        <w:t>Impact</w:t>
      </w:r>
      <w:r w:rsidR="006C6F09">
        <w:t xml:space="preserve"> </w:t>
      </w:r>
      <w:r w:rsidRPr="00291144">
        <w:t>Statements</w:t>
      </w:r>
      <w:r w:rsidR="006C6F09">
        <w:t xml:space="preserve"> </w:t>
      </w:r>
      <w:r w:rsidRPr="00291144">
        <w:t>(FEISs)</w:t>
      </w:r>
      <w:r w:rsidR="006C6F09">
        <w:t xml:space="preserve"> </w:t>
      </w:r>
      <w:r w:rsidRPr="00291144">
        <w:t>directly</w:t>
      </w:r>
      <w:r w:rsidR="006C6F09">
        <w:t xml:space="preserve"> </w:t>
      </w:r>
      <w:r w:rsidRPr="00291144">
        <w:t>with</w:t>
      </w:r>
      <w:r w:rsidR="006C6F09">
        <w:t xml:space="preserve"> </w:t>
      </w:r>
      <w:r w:rsidRPr="00291144">
        <w:t>the</w:t>
      </w:r>
      <w:r w:rsidR="006C6F09">
        <w:t xml:space="preserve"> </w:t>
      </w:r>
      <w:r w:rsidRPr="00291144">
        <w:t>Environmental</w:t>
      </w:r>
      <w:r w:rsidR="006C6F09">
        <w:t xml:space="preserve"> </w:t>
      </w:r>
      <w:r w:rsidRPr="00291144">
        <w:t>Protection</w:t>
      </w:r>
      <w:r w:rsidR="006C6F09">
        <w:t xml:space="preserve"> </w:t>
      </w:r>
      <w:r w:rsidRPr="00291144">
        <w:t>Agency</w:t>
      </w:r>
      <w:r w:rsidR="006C6F09">
        <w:t xml:space="preserve"> </w:t>
      </w:r>
      <w:r w:rsidRPr="00291144">
        <w:t>(EPA).</w:t>
      </w:r>
      <w:r w:rsidR="006C6F09">
        <w:t xml:space="preserve"> </w:t>
      </w:r>
      <w:r w:rsidRPr="00291144">
        <w:t>ENV</w:t>
      </w:r>
      <w:r w:rsidR="006C6F09">
        <w:t xml:space="preserve"> </w:t>
      </w:r>
      <w:r w:rsidRPr="00291144">
        <w:t>also</w:t>
      </w:r>
      <w:r w:rsidR="006C6F09">
        <w:t xml:space="preserve"> </w:t>
      </w:r>
      <w:r w:rsidRPr="00291144">
        <w:t>arranges</w:t>
      </w:r>
      <w:r w:rsidR="006C6F09">
        <w:t xml:space="preserve"> </w:t>
      </w:r>
      <w:r w:rsidRPr="00291144">
        <w:t>for</w:t>
      </w:r>
      <w:r w:rsidR="006C6F09">
        <w:t xml:space="preserve"> </w:t>
      </w:r>
      <w:r w:rsidRPr="00291144">
        <w:t>publication</w:t>
      </w:r>
      <w:r w:rsidR="006C6F09">
        <w:t xml:space="preserve"> </w:t>
      </w:r>
      <w:r w:rsidRPr="00291144">
        <w:t>of</w:t>
      </w:r>
      <w:r w:rsidR="006C6F09">
        <w:t xml:space="preserve"> </w:t>
      </w:r>
      <w:r w:rsidRPr="00291144">
        <w:t>required</w:t>
      </w:r>
      <w:r w:rsidR="006C6F09">
        <w:t xml:space="preserve"> </w:t>
      </w:r>
      <w:r w:rsidRPr="00291144">
        <w:t>notices</w:t>
      </w:r>
      <w:r w:rsidR="006C6F09">
        <w:t xml:space="preserve"> </w:t>
      </w:r>
      <w:r w:rsidRPr="00291144">
        <w:t>in</w:t>
      </w:r>
      <w:r w:rsidR="006C6F09">
        <w:t xml:space="preserve"> </w:t>
      </w:r>
      <w:r w:rsidRPr="00291144">
        <w:t>the</w:t>
      </w:r>
      <w:r w:rsidR="006C6F09">
        <w:t xml:space="preserve"> </w:t>
      </w:r>
      <w:r w:rsidRPr="00291144">
        <w:t>Texas</w:t>
      </w:r>
      <w:r w:rsidR="006C6F09">
        <w:t xml:space="preserve"> </w:t>
      </w:r>
      <w:r w:rsidRPr="00291144">
        <w:t>or</w:t>
      </w:r>
      <w:r w:rsidR="006C6F09">
        <w:t xml:space="preserve"> </w:t>
      </w:r>
      <w:r w:rsidRPr="00291144">
        <w:t>Federal</w:t>
      </w:r>
      <w:r w:rsidR="006C6F09">
        <w:t xml:space="preserve"> </w:t>
      </w:r>
      <w:r w:rsidRPr="00291144">
        <w:t>Register.</w:t>
      </w:r>
    </w:p>
    <w:p w14:paraId="2690BC43" w14:textId="01CDF104" w:rsidR="00457754" w:rsidRPr="0087244D" w:rsidRDefault="00457754" w:rsidP="0087244D">
      <w:pPr>
        <w:pStyle w:val="Heading4"/>
      </w:pPr>
      <w:bookmarkStart w:id="11" w:name="_Ref219385407"/>
      <w:bookmarkStart w:id="12" w:name="_Ref219790416"/>
      <w:bookmarkStart w:id="13" w:name="_Ref219790773"/>
      <w:bookmarkStart w:id="14" w:name="_Hlk216849173"/>
      <w:r w:rsidRPr="0087244D">
        <w:t>1.2.3</w:t>
      </w:r>
      <w:r w:rsidR="006C6F09">
        <w:t xml:space="preserve"> </w:t>
      </w:r>
      <w:r w:rsidRPr="0087244D">
        <w:t>Public</w:t>
      </w:r>
      <w:r w:rsidR="006C6F09">
        <w:t xml:space="preserve"> </w:t>
      </w:r>
      <w:r w:rsidRPr="0087244D">
        <w:t>Involvement</w:t>
      </w:r>
      <w:r w:rsidR="006C6F09">
        <w:t xml:space="preserve"> </w:t>
      </w:r>
      <w:r w:rsidRPr="0087244D">
        <w:t>Section,</w:t>
      </w:r>
      <w:r w:rsidR="006C6F09">
        <w:t xml:space="preserve"> </w:t>
      </w:r>
      <w:r w:rsidRPr="0087244D">
        <w:t>Transportation</w:t>
      </w:r>
      <w:r w:rsidR="006C6F09">
        <w:t xml:space="preserve"> </w:t>
      </w:r>
      <w:r w:rsidRPr="0087244D">
        <w:t>Planning</w:t>
      </w:r>
      <w:r w:rsidR="006C6F09">
        <w:t xml:space="preserve"> </w:t>
      </w:r>
      <w:r w:rsidRPr="0087244D">
        <w:t>and</w:t>
      </w:r>
      <w:r w:rsidR="006C6F09">
        <w:t xml:space="preserve"> </w:t>
      </w:r>
      <w:r w:rsidRPr="0087244D">
        <w:t>Programming</w:t>
      </w:r>
      <w:r w:rsidR="006C6F09">
        <w:t xml:space="preserve"> </w:t>
      </w:r>
      <w:r w:rsidRPr="0087244D">
        <w:t>Division</w:t>
      </w:r>
      <w:bookmarkEnd w:id="11"/>
      <w:bookmarkEnd w:id="12"/>
      <w:bookmarkEnd w:id="13"/>
      <w:r w:rsidR="006C6F09">
        <w:t xml:space="preserve"> </w:t>
      </w:r>
    </w:p>
    <w:bookmarkEnd w:id="14"/>
    <w:p w14:paraId="19932099" w14:textId="3A5F9831" w:rsidR="00457754" w:rsidRDefault="00457754" w:rsidP="00457754">
      <w:r>
        <w:t>The</w:t>
      </w:r>
      <w:r w:rsidR="006C6F09">
        <w:t xml:space="preserve"> </w:t>
      </w:r>
      <w:r>
        <w:t>TxDOT</w:t>
      </w:r>
      <w:r w:rsidR="006C6F09">
        <w:t xml:space="preserve"> </w:t>
      </w:r>
      <w:r>
        <w:t>Office</w:t>
      </w:r>
      <w:r w:rsidR="006C6F09">
        <w:t xml:space="preserve"> </w:t>
      </w:r>
      <w:r>
        <w:t>of</w:t>
      </w:r>
      <w:r w:rsidR="006C6F09">
        <w:t xml:space="preserve"> </w:t>
      </w:r>
      <w:r>
        <w:t>Public</w:t>
      </w:r>
      <w:r w:rsidR="006C6F09">
        <w:t xml:space="preserve"> </w:t>
      </w:r>
      <w:r>
        <w:t>Involvement</w:t>
      </w:r>
      <w:r w:rsidR="006C6F09">
        <w:t xml:space="preserve"> </w:t>
      </w:r>
      <w:r>
        <w:t>was</w:t>
      </w:r>
      <w:r w:rsidR="006C6F09">
        <w:t xml:space="preserve"> </w:t>
      </w:r>
      <w:r>
        <w:t>created</w:t>
      </w:r>
      <w:r w:rsidR="006C6F09">
        <w:t xml:space="preserve"> </w:t>
      </w:r>
      <w:r>
        <w:t>by</w:t>
      </w:r>
      <w:r w:rsidR="006C6F09">
        <w:t xml:space="preserve"> </w:t>
      </w:r>
      <w:r>
        <w:t>TxDOT</w:t>
      </w:r>
      <w:r w:rsidR="006C6F09">
        <w:t xml:space="preserve"> </w:t>
      </w:r>
      <w:r>
        <w:t>in</w:t>
      </w:r>
      <w:r w:rsidR="006C6F09">
        <w:t xml:space="preserve"> </w:t>
      </w:r>
      <w:r>
        <w:t>2012</w:t>
      </w:r>
      <w:r w:rsidR="006C6F09">
        <w:t xml:space="preserve"> </w:t>
      </w:r>
      <w:r>
        <w:t>to</w:t>
      </w:r>
      <w:r w:rsidR="006C6F09">
        <w:t xml:space="preserve"> </w:t>
      </w:r>
      <w:r>
        <w:t>assist</w:t>
      </w:r>
      <w:r w:rsidR="006C6F09">
        <w:t xml:space="preserve"> </w:t>
      </w:r>
      <w:r>
        <w:t>districts,</w:t>
      </w:r>
      <w:r w:rsidR="006C6F09">
        <w:t xml:space="preserve"> </w:t>
      </w:r>
      <w:r>
        <w:t>divisions,</w:t>
      </w:r>
      <w:r w:rsidR="006C6F09">
        <w:t xml:space="preserve"> </w:t>
      </w:r>
      <w:r>
        <w:t>and</w:t>
      </w:r>
      <w:r w:rsidR="006C6F09">
        <w:t xml:space="preserve"> </w:t>
      </w:r>
      <w:r>
        <w:t>offices</w:t>
      </w:r>
      <w:r w:rsidR="006C6F09">
        <w:t xml:space="preserve"> </w:t>
      </w:r>
      <w:r>
        <w:t>with</w:t>
      </w:r>
      <w:r w:rsidR="006C6F09">
        <w:t xml:space="preserve"> </w:t>
      </w:r>
      <w:r>
        <w:t>public</w:t>
      </w:r>
      <w:r w:rsidR="006C6F09">
        <w:t xml:space="preserve"> </w:t>
      </w:r>
      <w:r>
        <w:t>involvement</w:t>
      </w:r>
      <w:r w:rsidR="006C6F09">
        <w:t xml:space="preserve"> </w:t>
      </w:r>
      <w:r>
        <w:t>efforts</w:t>
      </w:r>
      <w:r w:rsidR="006C6F09">
        <w:t xml:space="preserve"> </w:t>
      </w:r>
      <w:r>
        <w:t>throughout</w:t>
      </w:r>
      <w:r w:rsidR="006C6F09">
        <w:t xml:space="preserve"> </w:t>
      </w:r>
      <w:r>
        <w:t>the</w:t>
      </w:r>
      <w:r w:rsidR="006C6F09">
        <w:t xml:space="preserve"> </w:t>
      </w:r>
      <w:r>
        <w:t>life</w:t>
      </w:r>
      <w:r w:rsidR="006C6F09">
        <w:t xml:space="preserve"> </w:t>
      </w:r>
      <w:r>
        <w:t>cycle</w:t>
      </w:r>
      <w:r w:rsidR="006C6F09">
        <w:t xml:space="preserve"> </w:t>
      </w:r>
      <w:r>
        <w:t>of</w:t>
      </w:r>
      <w:r w:rsidR="006C6F09">
        <w:t xml:space="preserve"> </w:t>
      </w:r>
      <w:r>
        <w:t>TxDOT</w:t>
      </w:r>
      <w:r w:rsidR="006C6F09">
        <w:t xml:space="preserve"> </w:t>
      </w:r>
      <w:r>
        <w:t>projects.</w:t>
      </w:r>
      <w:r w:rsidR="006C6F09">
        <w:t xml:space="preserve"> </w:t>
      </w:r>
      <w:r>
        <w:t>Now</w:t>
      </w:r>
      <w:r w:rsidR="006C6F09">
        <w:t xml:space="preserve"> </w:t>
      </w:r>
      <w:r>
        <w:t>part</w:t>
      </w:r>
      <w:r w:rsidR="006C6F09">
        <w:t xml:space="preserve"> </w:t>
      </w:r>
      <w:r>
        <w:t>of</w:t>
      </w:r>
      <w:r w:rsidR="006C6F09">
        <w:t xml:space="preserve"> </w:t>
      </w:r>
      <w:r>
        <w:t>TxDOT’s</w:t>
      </w:r>
      <w:r w:rsidR="006C6F09">
        <w:t xml:space="preserve"> </w:t>
      </w:r>
      <w:r>
        <w:t>Transportation</w:t>
      </w:r>
      <w:r w:rsidR="006C6F09">
        <w:t xml:space="preserve"> </w:t>
      </w:r>
      <w:r>
        <w:t>Planning</w:t>
      </w:r>
      <w:r w:rsidR="006C6F09">
        <w:t xml:space="preserve"> </w:t>
      </w:r>
      <w:r>
        <w:t>and</w:t>
      </w:r>
      <w:r w:rsidR="006C6F09">
        <w:t xml:space="preserve"> </w:t>
      </w:r>
      <w:r>
        <w:t>Programming</w:t>
      </w:r>
      <w:r w:rsidR="006C6F09">
        <w:t xml:space="preserve"> </w:t>
      </w:r>
      <w:r>
        <w:t>(TPP)</w:t>
      </w:r>
      <w:r w:rsidR="006C6F09">
        <w:t xml:space="preserve"> </w:t>
      </w:r>
      <w:r>
        <w:t>Division,</w:t>
      </w:r>
      <w:r w:rsidR="006C6F09">
        <w:t xml:space="preserve"> </w:t>
      </w:r>
      <w:r>
        <w:t>the</w:t>
      </w:r>
      <w:r w:rsidR="006C6F09">
        <w:t xml:space="preserve"> </w:t>
      </w:r>
      <w:r>
        <w:t>Public</w:t>
      </w:r>
      <w:r w:rsidR="006C6F09">
        <w:t xml:space="preserve"> </w:t>
      </w:r>
      <w:r>
        <w:t>Involvement</w:t>
      </w:r>
      <w:r w:rsidR="006C6F09">
        <w:t xml:space="preserve"> </w:t>
      </w:r>
      <w:r>
        <w:t>(PI)</w:t>
      </w:r>
      <w:r w:rsidR="006C6F09">
        <w:t xml:space="preserve"> </w:t>
      </w:r>
      <w:r>
        <w:t>Section</w:t>
      </w:r>
      <w:r w:rsidR="006C6F09">
        <w:t xml:space="preserve"> </w:t>
      </w:r>
      <w:r>
        <w:t>is</w:t>
      </w:r>
      <w:r w:rsidR="006C6F09">
        <w:t xml:space="preserve"> </w:t>
      </w:r>
      <w:r>
        <w:t>an</w:t>
      </w:r>
      <w:r w:rsidR="006C6F09">
        <w:t xml:space="preserve"> </w:t>
      </w:r>
      <w:r>
        <w:t>on-site</w:t>
      </w:r>
      <w:r w:rsidR="006C6F09">
        <w:t xml:space="preserve"> </w:t>
      </w:r>
      <w:r>
        <w:t>resource</w:t>
      </w:r>
      <w:r w:rsidR="006C6F09">
        <w:t xml:space="preserve"> </w:t>
      </w:r>
      <w:r>
        <w:t>that</w:t>
      </w:r>
      <w:r w:rsidR="006C6F09">
        <w:t xml:space="preserve"> </w:t>
      </w:r>
      <w:r>
        <w:t>can</w:t>
      </w:r>
      <w:r w:rsidR="006C6F09">
        <w:t xml:space="preserve"> </w:t>
      </w:r>
      <w:r>
        <w:t>help</w:t>
      </w:r>
      <w:r w:rsidR="006C6F09">
        <w:t xml:space="preserve"> </w:t>
      </w:r>
      <w:r>
        <w:t>ensure</w:t>
      </w:r>
      <w:r w:rsidR="006C6F09">
        <w:t xml:space="preserve"> </w:t>
      </w:r>
      <w:r>
        <w:t>the</w:t>
      </w:r>
      <w:r w:rsidR="006C6F09">
        <w:t xml:space="preserve"> </w:t>
      </w:r>
      <w:r>
        <w:t>TxDOT</w:t>
      </w:r>
      <w:r w:rsidR="006C6F09">
        <w:t xml:space="preserve"> </w:t>
      </w:r>
      <w:r>
        <w:t>public</w:t>
      </w:r>
      <w:r w:rsidR="006C6F09">
        <w:t xml:space="preserve"> </w:t>
      </w:r>
      <w:r>
        <w:t>involvement</w:t>
      </w:r>
      <w:r w:rsidR="006C6F09">
        <w:t xml:space="preserve"> </w:t>
      </w:r>
      <w:r>
        <w:t>policy</w:t>
      </w:r>
      <w:r w:rsidR="006C6F09">
        <w:t xml:space="preserve"> </w:t>
      </w:r>
      <w:r>
        <w:t>is</w:t>
      </w:r>
      <w:r w:rsidR="006C6F09">
        <w:t xml:space="preserve"> </w:t>
      </w:r>
      <w:r>
        <w:t>understood</w:t>
      </w:r>
      <w:r w:rsidR="006C6F09">
        <w:t xml:space="preserve"> </w:t>
      </w:r>
      <w:r>
        <w:t>and</w:t>
      </w:r>
      <w:r w:rsidR="006C6F09">
        <w:t xml:space="preserve"> </w:t>
      </w:r>
      <w:r>
        <w:t>followed.</w:t>
      </w:r>
      <w:r w:rsidR="006C6F09">
        <w:t xml:space="preserve"> </w:t>
      </w:r>
      <w:r>
        <w:t>Staff</w:t>
      </w:r>
      <w:r w:rsidR="006C6F09">
        <w:t xml:space="preserve"> </w:t>
      </w:r>
      <w:r>
        <w:t>can</w:t>
      </w:r>
      <w:r w:rsidR="006C6F09">
        <w:t xml:space="preserve"> </w:t>
      </w:r>
      <w:r>
        <w:t>create</w:t>
      </w:r>
      <w:r w:rsidR="006C6F09">
        <w:t xml:space="preserve"> </w:t>
      </w:r>
      <w:r>
        <w:t>and</w:t>
      </w:r>
      <w:r w:rsidR="006C6F09">
        <w:t xml:space="preserve"> </w:t>
      </w:r>
      <w:r>
        <w:t>review</w:t>
      </w:r>
      <w:r w:rsidR="006C6F09">
        <w:t xml:space="preserve"> </w:t>
      </w:r>
      <w:r>
        <w:t>public</w:t>
      </w:r>
      <w:r w:rsidR="006C6F09">
        <w:t xml:space="preserve"> </w:t>
      </w:r>
      <w:r>
        <w:t>involvement</w:t>
      </w:r>
      <w:r w:rsidR="006C6F09">
        <w:t xml:space="preserve"> </w:t>
      </w:r>
      <w:r>
        <w:t>plans,</w:t>
      </w:r>
      <w:r w:rsidR="006C6F09">
        <w:t xml:space="preserve"> </w:t>
      </w:r>
      <w:r>
        <w:t>provide</w:t>
      </w:r>
      <w:r w:rsidR="006C6F09">
        <w:t xml:space="preserve"> </w:t>
      </w:r>
      <w:r>
        <w:t>public</w:t>
      </w:r>
      <w:r w:rsidR="006C6F09">
        <w:t xml:space="preserve"> </w:t>
      </w:r>
      <w:r>
        <w:t>involvement</w:t>
      </w:r>
      <w:r w:rsidR="006C6F09">
        <w:t xml:space="preserve"> </w:t>
      </w:r>
      <w:r>
        <w:t>strategies</w:t>
      </w:r>
      <w:r w:rsidR="006C6F09">
        <w:t xml:space="preserve"> </w:t>
      </w:r>
      <w:r>
        <w:t>and</w:t>
      </w:r>
      <w:r w:rsidR="006C6F09">
        <w:t xml:space="preserve"> </w:t>
      </w:r>
      <w:r>
        <w:t>techniques,</w:t>
      </w:r>
      <w:r w:rsidR="006C6F09">
        <w:t xml:space="preserve"> </w:t>
      </w:r>
      <w:r>
        <w:t>and</w:t>
      </w:r>
      <w:r w:rsidR="006C6F09">
        <w:t xml:space="preserve"> </w:t>
      </w:r>
      <w:r>
        <w:t>provide</w:t>
      </w:r>
      <w:r w:rsidR="006C6F09">
        <w:t xml:space="preserve"> </w:t>
      </w:r>
      <w:r>
        <w:t>additional</w:t>
      </w:r>
      <w:r w:rsidR="006C6F09">
        <w:t xml:space="preserve"> </w:t>
      </w:r>
      <w:r>
        <w:t>staff</w:t>
      </w:r>
      <w:r w:rsidR="006C6F09">
        <w:t xml:space="preserve"> </w:t>
      </w:r>
      <w:r>
        <w:t>for</w:t>
      </w:r>
      <w:r w:rsidR="006C6F09">
        <w:t xml:space="preserve"> </w:t>
      </w:r>
      <w:r>
        <w:t>community</w:t>
      </w:r>
      <w:r w:rsidR="006C6F09">
        <w:t xml:space="preserve"> </w:t>
      </w:r>
      <w:r>
        <w:t>meetings</w:t>
      </w:r>
      <w:r w:rsidR="006C6F09">
        <w:t xml:space="preserve"> </w:t>
      </w:r>
      <w:r>
        <w:t>and</w:t>
      </w:r>
      <w:r w:rsidR="006C6F09">
        <w:t xml:space="preserve"> </w:t>
      </w:r>
      <w:r>
        <w:t>other</w:t>
      </w:r>
      <w:r w:rsidR="006C6F09">
        <w:t xml:space="preserve"> </w:t>
      </w:r>
      <w:r>
        <w:t>public</w:t>
      </w:r>
      <w:r w:rsidR="006C6F09">
        <w:t xml:space="preserve"> </w:t>
      </w:r>
      <w:r>
        <w:t>involvement</w:t>
      </w:r>
      <w:r w:rsidR="006C6F09">
        <w:t xml:space="preserve"> </w:t>
      </w:r>
      <w:r>
        <w:t>activities.</w:t>
      </w:r>
    </w:p>
    <w:p w14:paraId="3C564148" w14:textId="48AE36C6" w:rsidR="00457754" w:rsidRDefault="00457754" w:rsidP="00457754">
      <w:r>
        <w:t>TPP’s</w:t>
      </w:r>
      <w:r w:rsidR="006C6F09">
        <w:t xml:space="preserve"> </w:t>
      </w:r>
      <w:r>
        <w:t>PI</w:t>
      </w:r>
      <w:r w:rsidR="006C6F09">
        <w:t xml:space="preserve"> </w:t>
      </w:r>
      <w:r>
        <w:t>Section</w:t>
      </w:r>
      <w:r w:rsidR="006C6F09">
        <w:t xml:space="preserve"> </w:t>
      </w:r>
      <w:r>
        <w:t>is</w:t>
      </w:r>
      <w:r w:rsidR="006C6F09">
        <w:t xml:space="preserve"> </w:t>
      </w:r>
      <w:r>
        <w:t>responsible</w:t>
      </w:r>
      <w:r w:rsidR="006C6F09">
        <w:t xml:space="preserve"> </w:t>
      </w:r>
      <w:r>
        <w:t>for</w:t>
      </w:r>
      <w:r w:rsidR="006C6F09">
        <w:t xml:space="preserve"> </w:t>
      </w:r>
      <w:r>
        <w:t>facilitating</w:t>
      </w:r>
      <w:r w:rsidR="006C6F09">
        <w:t xml:space="preserve"> </w:t>
      </w:r>
      <w:r>
        <w:t>community</w:t>
      </w:r>
      <w:r w:rsidR="006C6F09">
        <w:t xml:space="preserve"> </w:t>
      </w:r>
      <w:r>
        <w:t>engagement</w:t>
      </w:r>
      <w:r w:rsidR="006C6F09">
        <w:t xml:space="preserve"> </w:t>
      </w:r>
      <w:r>
        <w:t>in</w:t>
      </w:r>
      <w:r w:rsidR="006C6F09">
        <w:t xml:space="preserve"> </w:t>
      </w:r>
      <w:r>
        <w:t>environmental</w:t>
      </w:r>
      <w:r w:rsidR="006C6F09">
        <w:t xml:space="preserve"> </w:t>
      </w:r>
      <w:r>
        <w:t>reviews</w:t>
      </w:r>
      <w:r w:rsidR="006C6F09">
        <w:t xml:space="preserve"> </w:t>
      </w:r>
      <w:r>
        <w:t>across</w:t>
      </w:r>
      <w:r w:rsidR="006C6F09">
        <w:t xml:space="preserve"> </w:t>
      </w:r>
      <w:r>
        <w:t>the</w:t>
      </w:r>
      <w:r w:rsidR="006C6F09">
        <w:t xml:space="preserve"> </w:t>
      </w:r>
      <w:r>
        <w:t>agency</w:t>
      </w:r>
      <w:r w:rsidR="006C6F09">
        <w:t xml:space="preserve"> </w:t>
      </w:r>
      <w:r>
        <w:t>and,</w:t>
      </w:r>
      <w:r w:rsidR="006C6F09">
        <w:t xml:space="preserve"> </w:t>
      </w:r>
      <w:r>
        <w:t>where</w:t>
      </w:r>
      <w:r w:rsidR="006C6F09">
        <w:t xml:space="preserve"> </w:t>
      </w:r>
      <w:r>
        <w:t>appropriate,</w:t>
      </w:r>
      <w:r w:rsidR="006C6F09">
        <w:t xml:space="preserve"> </w:t>
      </w:r>
      <w:r>
        <w:t>the</w:t>
      </w:r>
      <w:r w:rsidR="006C6F09">
        <w:t xml:space="preserve"> </w:t>
      </w:r>
      <w:r>
        <w:t>provision</w:t>
      </w:r>
      <w:r w:rsidR="006C6F09">
        <w:t xml:space="preserve"> </w:t>
      </w:r>
      <w:r>
        <w:t>of</w:t>
      </w:r>
      <w:r w:rsidR="006C6F09">
        <w:t xml:space="preserve"> </w:t>
      </w:r>
      <w:r>
        <w:t>technical</w:t>
      </w:r>
      <w:r w:rsidR="006C6F09">
        <w:t xml:space="preserve"> </w:t>
      </w:r>
      <w:r>
        <w:t>assistance</w:t>
      </w:r>
      <w:r w:rsidR="006C6F09">
        <w:t xml:space="preserve"> </w:t>
      </w:r>
      <w:r>
        <w:t>to</w:t>
      </w:r>
      <w:r w:rsidR="006C6F09">
        <w:t xml:space="preserve"> </w:t>
      </w:r>
      <w:r>
        <w:t>communities.</w:t>
      </w:r>
    </w:p>
    <w:p w14:paraId="54134DBB" w14:textId="14F3ED39" w:rsidR="00457754" w:rsidRPr="006D4ADA" w:rsidRDefault="00457754" w:rsidP="00457754">
      <w:pPr>
        <w:spacing w:after="0"/>
        <w:rPr>
          <w:b/>
          <w:bCs/>
        </w:rPr>
      </w:pPr>
      <w:r w:rsidRPr="006D4ADA">
        <w:rPr>
          <w:b/>
          <w:bCs/>
        </w:rPr>
        <w:t>PI</w:t>
      </w:r>
      <w:r w:rsidR="006C6F09" w:rsidRPr="006D4ADA">
        <w:rPr>
          <w:b/>
          <w:bCs/>
        </w:rPr>
        <w:t xml:space="preserve"> </w:t>
      </w:r>
      <w:r w:rsidRPr="006D4ADA">
        <w:rPr>
          <w:b/>
          <w:bCs/>
        </w:rPr>
        <w:t>Section</w:t>
      </w:r>
      <w:r w:rsidR="006C6F09" w:rsidRPr="006D4ADA">
        <w:rPr>
          <w:b/>
          <w:bCs/>
        </w:rPr>
        <w:t xml:space="preserve"> </w:t>
      </w:r>
      <w:r w:rsidRPr="006D4ADA">
        <w:rPr>
          <w:b/>
          <w:bCs/>
        </w:rPr>
        <w:t>Services</w:t>
      </w:r>
    </w:p>
    <w:p w14:paraId="0399F254" w14:textId="52B996EE" w:rsidR="00457754" w:rsidRPr="002A5CFA" w:rsidRDefault="00457754" w:rsidP="00457754">
      <w:pPr>
        <w:pStyle w:val="ListBullet"/>
      </w:pPr>
      <w:r w:rsidRPr="002A5CFA">
        <w:t>Develop</w:t>
      </w:r>
      <w:r w:rsidR="006C6F09">
        <w:t xml:space="preserve"> </w:t>
      </w:r>
      <w:r w:rsidRPr="002A5CFA">
        <w:t>custom</w:t>
      </w:r>
      <w:r w:rsidR="006C6F09">
        <w:t xml:space="preserve"> </w:t>
      </w:r>
      <w:r w:rsidRPr="002A5CFA">
        <w:t>public</w:t>
      </w:r>
      <w:r w:rsidR="006C6F09">
        <w:t xml:space="preserve"> </w:t>
      </w:r>
      <w:r w:rsidRPr="002A5CFA">
        <w:t>involvement</w:t>
      </w:r>
      <w:r w:rsidR="006C6F09">
        <w:t xml:space="preserve"> </w:t>
      </w:r>
      <w:r w:rsidRPr="002A5CFA">
        <w:t>strategies</w:t>
      </w:r>
    </w:p>
    <w:p w14:paraId="43F22980" w14:textId="42933C82" w:rsidR="00457754" w:rsidRPr="002A5CFA" w:rsidRDefault="00457754" w:rsidP="00457754">
      <w:pPr>
        <w:pStyle w:val="ListBullet"/>
      </w:pPr>
      <w:r w:rsidRPr="002A5CFA">
        <w:t>Create</w:t>
      </w:r>
      <w:r w:rsidR="006C6F09">
        <w:t xml:space="preserve"> </w:t>
      </w:r>
      <w:r w:rsidRPr="002A5CFA">
        <w:t>public</w:t>
      </w:r>
      <w:r w:rsidR="006C6F09">
        <w:t xml:space="preserve"> </w:t>
      </w:r>
      <w:r w:rsidRPr="002A5CFA">
        <w:t>involvement</w:t>
      </w:r>
      <w:r w:rsidR="006C6F09">
        <w:t xml:space="preserve"> </w:t>
      </w:r>
      <w:proofErr w:type="gramStart"/>
      <w:r w:rsidRPr="002A5CFA">
        <w:t>plans;</w:t>
      </w:r>
      <w:proofErr w:type="gramEnd"/>
      <w:r w:rsidR="006C6F09">
        <w:t xml:space="preserve"> </w:t>
      </w:r>
      <w:r w:rsidRPr="002A5CFA">
        <w:t>review</w:t>
      </w:r>
      <w:r w:rsidR="006C6F09">
        <w:t xml:space="preserve"> </w:t>
      </w:r>
      <w:r w:rsidRPr="002A5CFA">
        <w:t>consultant</w:t>
      </w:r>
      <w:r w:rsidR="006C6F09">
        <w:t xml:space="preserve"> </w:t>
      </w:r>
      <w:r w:rsidRPr="002A5CFA">
        <w:t>plans</w:t>
      </w:r>
    </w:p>
    <w:p w14:paraId="3C2EFB0D" w14:textId="31654FA2" w:rsidR="00457754" w:rsidRPr="002A5CFA" w:rsidRDefault="00457754" w:rsidP="00457754">
      <w:pPr>
        <w:pStyle w:val="ListBullet"/>
      </w:pPr>
      <w:r w:rsidRPr="002A5CFA">
        <w:lastRenderedPageBreak/>
        <w:t>Create</w:t>
      </w:r>
      <w:r w:rsidR="006C6F09">
        <w:t xml:space="preserve"> </w:t>
      </w:r>
      <w:r w:rsidRPr="002A5CFA">
        <w:t>project</w:t>
      </w:r>
      <w:r w:rsidR="006C6F09">
        <w:t xml:space="preserve"> </w:t>
      </w:r>
      <w:r w:rsidRPr="002A5CFA">
        <w:t>fact</w:t>
      </w:r>
      <w:r w:rsidR="006C6F09">
        <w:t xml:space="preserve"> </w:t>
      </w:r>
      <w:r w:rsidRPr="002A5CFA">
        <w:t>sheets</w:t>
      </w:r>
      <w:r w:rsidR="006C6F09">
        <w:t xml:space="preserve"> </w:t>
      </w:r>
      <w:r w:rsidRPr="002A5CFA">
        <w:t>and</w:t>
      </w:r>
      <w:r w:rsidR="006C6F09">
        <w:t xml:space="preserve"> </w:t>
      </w:r>
      <w:r w:rsidRPr="002A5CFA">
        <w:t>other</w:t>
      </w:r>
      <w:r w:rsidR="006C6F09">
        <w:t xml:space="preserve"> </w:t>
      </w:r>
      <w:r w:rsidRPr="002A5CFA">
        <w:t>meeting</w:t>
      </w:r>
      <w:r w:rsidR="006C6F09">
        <w:t xml:space="preserve"> </w:t>
      </w:r>
      <w:r w:rsidRPr="002A5CFA">
        <w:t>materials</w:t>
      </w:r>
    </w:p>
    <w:p w14:paraId="7161FC9C" w14:textId="788278DF" w:rsidR="00457754" w:rsidRPr="002A5CFA" w:rsidRDefault="00457754" w:rsidP="00543D09">
      <w:pPr>
        <w:pStyle w:val="ListBullet"/>
      </w:pPr>
      <w:r w:rsidRPr="002A5CFA">
        <w:t>Develop</w:t>
      </w:r>
      <w:r w:rsidR="006C6F09">
        <w:t xml:space="preserve"> </w:t>
      </w:r>
      <w:r w:rsidRPr="002A5CFA">
        <w:t>and</w:t>
      </w:r>
      <w:r w:rsidR="006C6F09">
        <w:t xml:space="preserve"> </w:t>
      </w:r>
      <w:r w:rsidRPr="002A5CFA">
        <w:t>post</w:t>
      </w:r>
      <w:r w:rsidR="006C6F09">
        <w:t xml:space="preserve"> </w:t>
      </w:r>
      <w:r w:rsidRPr="002A5CFA">
        <w:t>meeting</w:t>
      </w:r>
      <w:r w:rsidR="006C6F09">
        <w:t xml:space="preserve"> </w:t>
      </w:r>
      <w:r w:rsidRPr="002A5CFA">
        <w:t>notices</w:t>
      </w:r>
      <w:r w:rsidR="006C6F09">
        <w:t xml:space="preserve"> </w:t>
      </w:r>
      <w:r w:rsidRPr="002A5CFA">
        <w:t>and</w:t>
      </w:r>
      <w:r w:rsidR="006C6F09">
        <w:t xml:space="preserve"> </w:t>
      </w:r>
      <w:r w:rsidRPr="002A5CFA">
        <w:t>project</w:t>
      </w:r>
      <w:r w:rsidR="006C6F09">
        <w:t xml:space="preserve"> </w:t>
      </w:r>
      <w:r w:rsidRPr="002A5CFA">
        <w:t>studies</w:t>
      </w:r>
      <w:r w:rsidR="006C6F09">
        <w:t xml:space="preserve"> </w:t>
      </w:r>
      <w:r w:rsidRPr="002A5CFA">
        <w:t>pages</w:t>
      </w:r>
      <w:r w:rsidR="006C6F09">
        <w:t xml:space="preserve"> </w:t>
      </w:r>
      <w:r w:rsidRPr="002A5CFA">
        <w:t>and</w:t>
      </w:r>
      <w:r w:rsidR="006C6F09">
        <w:t xml:space="preserve"> </w:t>
      </w:r>
      <w:proofErr w:type="gramStart"/>
      <w:r w:rsidRPr="002A5CFA">
        <w:t>supporting</w:t>
      </w:r>
      <w:proofErr w:type="gramEnd"/>
      <w:r w:rsidR="006C6F09">
        <w:t xml:space="preserve"> </w:t>
      </w:r>
      <w:r w:rsidRPr="002A5CFA">
        <w:t>information</w:t>
      </w:r>
      <w:r w:rsidR="006C6F09">
        <w:t xml:space="preserve"> </w:t>
      </w:r>
      <w:r w:rsidRPr="002A5CFA">
        <w:t>such</w:t>
      </w:r>
      <w:r w:rsidR="006C6F09">
        <w:t xml:space="preserve"> </w:t>
      </w:r>
      <w:r w:rsidRPr="002A5CFA">
        <w:t>as</w:t>
      </w:r>
      <w:r w:rsidR="006C6F09">
        <w:t xml:space="preserve"> </w:t>
      </w:r>
      <w:r w:rsidRPr="002A5CFA">
        <w:t>exhibits,</w:t>
      </w:r>
      <w:r w:rsidR="006C6F09">
        <w:t xml:space="preserve"> </w:t>
      </w:r>
      <w:r w:rsidRPr="002A5CFA">
        <w:t>fact</w:t>
      </w:r>
      <w:r w:rsidR="006C6F09">
        <w:t xml:space="preserve"> </w:t>
      </w:r>
      <w:r w:rsidRPr="002A5CFA">
        <w:t>sheets,</w:t>
      </w:r>
      <w:r w:rsidR="006C6F09">
        <w:t xml:space="preserve"> </w:t>
      </w:r>
      <w:r w:rsidRPr="002A5CFA">
        <w:t>and</w:t>
      </w:r>
      <w:r w:rsidR="006C6F09">
        <w:t xml:space="preserve"> </w:t>
      </w:r>
      <w:r w:rsidRPr="002A5CFA">
        <w:t>maps</w:t>
      </w:r>
      <w:r w:rsidR="006C6F09">
        <w:t xml:space="preserve"> </w:t>
      </w:r>
      <w:r w:rsidRPr="002A5CFA">
        <w:t>to</w:t>
      </w:r>
      <w:r w:rsidR="006C6F09">
        <w:t xml:space="preserve"> </w:t>
      </w:r>
      <w:hyperlink r:id="rId15" w:history="1">
        <w:r w:rsidR="000872E0">
          <w:rPr>
            <w:rStyle w:val="Hyperlink"/>
          </w:rPr>
          <w:t>TxDOT's</w:t>
        </w:r>
        <w:r w:rsidR="006C6F09">
          <w:rPr>
            <w:rStyle w:val="Hyperlink"/>
          </w:rPr>
          <w:t xml:space="preserve"> </w:t>
        </w:r>
        <w:r w:rsidR="000872E0">
          <w:rPr>
            <w:rStyle w:val="Hyperlink"/>
          </w:rPr>
          <w:t>website</w:t>
        </w:r>
      </w:hyperlink>
    </w:p>
    <w:p w14:paraId="5724D32C" w14:textId="66D00602" w:rsidR="00457754" w:rsidRPr="004D1AB6" w:rsidRDefault="00457754" w:rsidP="00457754">
      <w:pPr>
        <w:pStyle w:val="ListBullet"/>
      </w:pPr>
      <w:r w:rsidRPr="004D1AB6">
        <w:t>Brainstorm</w:t>
      </w:r>
      <w:r w:rsidR="006C6F09">
        <w:t xml:space="preserve"> </w:t>
      </w:r>
      <w:r w:rsidRPr="004D1AB6">
        <w:t>appropriate</w:t>
      </w:r>
      <w:r w:rsidR="006C6F09">
        <w:t xml:space="preserve"> </w:t>
      </w:r>
      <w:r w:rsidRPr="004D1AB6">
        <w:t>notification</w:t>
      </w:r>
      <w:r w:rsidR="006C6F09">
        <w:t xml:space="preserve"> </w:t>
      </w:r>
      <w:r w:rsidRPr="004D1AB6">
        <w:t>techniques,</w:t>
      </w:r>
      <w:r w:rsidR="006C6F09">
        <w:t xml:space="preserve"> </w:t>
      </w:r>
      <w:r w:rsidRPr="004D1AB6">
        <w:t>which</w:t>
      </w:r>
      <w:r w:rsidR="006C6F09">
        <w:t xml:space="preserve"> </w:t>
      </w:r>
      <w:r w:rsidRPr="004D1AB6">
        <w:t>may</w:t>
      </w:r>
      <w:r w:rsidR="006C6F09">
        <w:t xml:space="preserve"> </w:t>
      </w:r>
      <w:r w:rsidRPr="004D1AB6">
        <w:t>include</w:t>
      </w:r>
      <w:r w:rsidR="006C6F09">
        <w:t xml:space="preserve"> </w:t>
      </w:r>
      <w:r w:rsidRPr="004D1AB6">
        <w:t>postcards,</w:t>
      </w:r>
      <w:r w:rsidR="006C6F09">
        <w:t xml:space="preserve"> </w:t>
      </w:r>
      <w:r w:rsidRPr="004D1AB6">
        <w:t>newsletters,</w:t>
      </w:r>
      <w:r w:rsidR="006C6F09">
        <w:t xml:space="preserve"> </w:t>
      </w:r>
      <w:r w:rsidRPr="004D1AB6">
        <w:t>and</w:t>
      </w:r>
      <w:r w:rsidR="006C6F09">
        <w:t xml:space="preserve"> </w:t>
      </w:r>
      <w:r w:rsidRPr="004D1AB6">
        <w:t>email</w:t>
      </w:r>
      <w:r w:rsidR="006C6F09">
        <w:t xml:space="preserve"> </w:t>
      </w:r>
      <w:r w:rsidRPr="004D1AB6">
        <w:t>blasts</w:t>
      </w:r>
    </w:p>
    <w:p w14:paraId="3AC62B68" w14:textId="31CDDF8D" w:rsidR="00457754" w:rsidRPr="004D1AB6" w:rsidRDefault="00457754" w:rsidP="00457754">
      <w:pPr>
        <w:pStyle w:val="ListBullet"/>
      </w:pPr>
      <w:r w:rsidRPr="004D1AB6">
        <w:t>Review</w:t>
      </w:r>
      <w:r w:rsidR="006C6F09">
        <w:t xml:space="preserve"> </w:t>
      </w:r>
      <w:r w:rsidRPr="004D1AB6">
        <w:t>or</w:t>
      </w:r>
      <w:r w:rsidR="006C6F09">
        <w:t xml:space="preserve"> </w:t>
      </w:r>
      <w:r w:rsidRPr="004D1AB6">
        <w:t>improve</w:t>
      </w:r>
      <w:r w:rsidR="006C6F09">
        <w:t xml:space="preserve"> </w:t>
      </w:r>
      <w:r w:rsidRPr="004D1AB6">
        <w:t>map</w:t>
      </w:r>
      <w:r w:rsidR="006C6F09">
        <w:t xml:space="preserve"> </w:t>
      </w:r>
      <w:r w:rsidRPr="004D1AB6">
        <w:t>schematics,</w:t>
      </w:r>
      <w:r w:rsidR="006C6F09">
        <w:t xml:space="preserve"> </w:t>
      </w:r>
      <w:r w:rsidRPr="004D1AB6">
        <w:t>improve</w:t>
      </w:r>
      <w:r w:rsidR="006C6F09">
        <w:t xml:space="preserve"> </w:t>
      </w:r>
      <w:r w:rsidRPr="004D1AB6">
        <w:t>language</w:t>
      </w:r>
      <w:r w:rsidR="006C6F09">
        <w:t xml:space="preserve"> </w:t>
      </w:r>
      <w:r w:rsidRPr="004D1AB6">
        <w:t>for</w:t>
      </w:r>
      <w:r w:rsidR="006C6F09">
        <w:t xml:space="preserve"> </w:t>
      </w:r>
      <w:r w:rsidRPr="004D1AB6">
        <w:t>the</w:t>
      </w:r>
      <w:r w:rsidR="006C6F09">
        <w:t xml:space="preserve"> </w:t>
      </w:r>
      <w:r w:rsidRPr="004D1AB6">
        <w:t>public</w:t>
      </w:r>
    </w:p>
    <w:p w14:paraId="5F7C0840" w14:textId="19CA24FA" w:rsidR="00457754" w:rsidRPr="004D1AB6" w:rsidRDefault="00457754" w:rsidP="00457754">
      <w:pPr>
        <w:pStyle w:val="ListBullet"/>
      </w:pPr>
      <w:r w:rsidRPr="004D1AB6">
        <w:t>Build</w:t>
      </w:r>
      <w:r w:rsidR="006C6F09">
        <w:t xml:space="preserve"> </w:t>
      </w:r>
      <w:r w:rsidRPr="004D1AB6">
        <w:t>or</w:t>
      </w:r>
      <w:r w:rsidR="006C6F09">
        <w:t xml:space="preserve"> </w:t>
      </w:r>
      <w:r w:rsidRPr="004D1AB6">
        <w:t>revise</w:t>
      </w:r>
      <w:r w:rsidR="006C6F09">
        <w:t xml:space="preserve"> </w:t>
      </w:r>
      <w:r w:rsidRPr="004D1AB6">
        <w:t>leadership</w:t>
      </w:r>
      <w:r w:rsidR="006C6F09">
        <w:t xml:space="preserve"> </w:t>
      </w:r>
      <w:r w:rsidRPr="004D1AB6">
        <w:t>presentations</w:t>
      </w:r>
    </w:p>
    <w:p w14:paraId="3455666D" w14:textId="3A82DC5E" w:rsidR="00457754" w:rsidRPr="004D1AB6" w:rsidRDefault="00457754" w:rsidP="00457754">
      <w:pPr>
        <w:pStyle w:val="ListBullet"/>
      </w:pPr>
      <w:r w:rsidRPr="004D1AB6">
        <w:t>Write</w:t>
      </w:r>
      <w:r w:rsidR="006C6F09">
        <w:t xml:space="preserve"> </w:t>
      </w:r>
      <w:r w:rsidRPr="004D1AB6">
        <w:t>and</w:t>
      </w:r>
      <w:r w:rsidR="006C6F09">
        <w:t xml:space="preserve"> </w:t>
      </w:r>
      <w:r w:rsidRPr="004D1AB6">
        <w:t>review</w:t>
      </w:r>
      <w:r w:rsidR="006C6F09">
        <w:t xml:space="preserve"> </w:t>
      </w:r>
      <w:r w:rsidRPr="004D1AB6">
        <w:t>public</w:t>
      </w:r>
      <w:r w:rsidR="006C6F09">
        <w:t xml:space="preserve"> </w:t>
      </w:r>
      <w:r w:rsidRPr="004D1AB6">
        <w:t>meeting</w:t>
      </w:r>
      <w:r w:rsidR="006C6F09">
        <w:t xml:space="preserve"> </w:t>
      </w:r>
      <w:r w:rsidRPr="004D1AB6">
        <w:t>scripts,</w:t>
      </w:r>
      <w:r w:rsidR="006C6F09">
        <w:t xml:space="preserve"> </w:t>
      </w:r>
      <w:r w:rsidRPr="004D1AB6">
        <w:t>presentations,</w:t>
      </w:r>
      <w:r w:rsidR="006C6F09">
        <w:t xml:space="preserve"> </w:t>
      </w:r>
      <w:r w:rsidRPr="004D1AB6">
        <w:t>and</w:t>
      </w:r>
      <w:r w:rsidR="006C6F09">
        <w:t xml:space="preserve"> </w:t>
      </w:r>
      <w:r w:rsidRPr="004D1AB6">
        <w:t>materials</w:t>
      </w:r>
    </w:p>
    <w:p w14:paraId="4B474202" w14:textId="718126A3" w:rsidR="00457754" w:rsidRPr="004D1AB6" w:rsidRDefault="00457754" w:rsidP="00457754">
      <w:pPr>
        <w:pStyle w:val="ListBullet"/>
      </w:pPr>
      <w:r w:rsidRPr="004D1AB6">
        <w:t>Facilitate</w:t>
      </w:r>
      <w:r w:rsidR="006C6F09">
        <w:t xml:space="preserve"> </w:t>
      </w:r>
      <w:r w:rsidRPr="004D1AB6">
        <w:t>and</w:t>
      </w:r>
      <w:r w:rsidR="006C6F09">
        <w:t xml:space="preserve"> </w:t>
      </w:r>
      <w:r w:rsidRPr="004D1AB6">
        <w:t>coordinate</w:t>
      </w:r>
      <w:r w:rsidR="006C6F09">
        <w:t xml:space="preserve"> </w:t>
      </w:r>
      <w:r w:rsidRPr="004D1AB6">
        <w:t>public</w:t>
      </w:r>
      <w:r w:rsidR="006C6F09">
        <w:t xml:space="preserve"> </w:t>
      </w:r>
      <w:r w:rsidRPr="004D1AB6">
        <w:t>meetings</w:t>
      </w:r>
    </w:p>
    <w:p w14:paraId="07BC1B79" w14:textId="015F191B" w:rsidR="00457754" w:rsidRPr="004D1AB6" w:rsidRDefault="00457754" w:rsidP="00457754">
      <w:pPr>
        <w:pStyle w:val="ListBullet"/>
      </w:pPr>
      <w:r w:rsidRPr="004D1AB6">
        <w:t>Create</w:t>
      </w:r>
      <w:r w:rsidR="006C6F09">
        <w:t xml:space="preserve"> </w:t>
      </w:r>
      <w:r w:rsidRPr="004D1AB6">
        <w:t>public</w:t>
      </w:r>
      <w:r w:rsidR="006C6F09">
        <w:t xml:space="preserve"> </w:t>
      </w:r>
      <w:r w:rsidRPr="004D1AB6">
        <w:t>event</w:t>
      </w:r>
      <w:r w:rsidR="006C6F09">
        <w:t xml:space="preserve"> </w:t>
      </w:r>
      <w:r w:rsidRPr="004D1AB6">
        <w:t>displays</w:t>
      </w:r>
    </w:p>
    <w:p w14:paraId="5676B524" w14:textId="3E405819" w:rsidR="00457754" w:rsidRPr="004D1AB6" w:rsidRDefault="00457754" w:rsidP="00457754">
      <w:pPr>
        <w:pStyle w:val="ListBullet"/>
      </w:pPr>
      <w:r w:rsidRPr="004D1AB6">
        <w:t>Provide</w:t>
      </w:r>
      <w:r w:rsidR="006C6F09">
        <w:t xml:space="preserve"> </w:t>
      </w:r>
      <w:r w:rsidRPr="004D1AB6">
        <w:t>on-site</w:t>
      </w:r>
      <w:r w:rsidR="006C6F09">
        <w:t xml:space="preserve"> </w:t>
      </w:r>
      <w:r w:rsidRPr="004D1AB6">
        <w:t>public</w:t>
      </w:r>
      <w:r w:rsidR="006C6F09">
        <w:t xml:space="preserve"> </w:t>
      </w:r>
      <w:r w:rsidRPr="004D1AB6">
        <w:t>event</w:t>
      </w:r>
      <w:r w:rsidR="006C6F09">
        <w:t xml:space="preserve"> </w:t>
      </w:r>
      <w:r w:rsidRPr="004D1AB6">
        <w:t>support</w:t>
      </w:r>
    </w:p>
    <w:p w14:paraId="23100B29" w14:textId="4ACA1109" w:rsidR="00457754" w:rsidRPr="004D1AB6" w:rsidRDefault="00457754" w:rsidP="00457754">
      <w:pPr>
        <w:pStyle w:val="ListBullet"/>
      </w:pPr>
      <w:r w:rsidRPr="004D1AB6">
        <w:t>Translate</w:t>
      </w:r>
      <w:r w:rsidR="006C6F09">
        <w:t xml:space="preserve"> </w:t>
      </w:r>
      <w:r w:rsidRPr="004D1AB6">
        <w:t>public</w:t>
      </w:r>
      <w:r w:rsidR="006C6F09">
        <w:t xml:space="preserve"> </w:t>
      </w:r>
      <w:r w:rsidRPr="004D1AB6">
        <w:t>materials</w:t>
      </w:r>
      <w:r w:rsidR="006C6F09">
        <w:t xml:space="preserve"> </w:t>
      </w:r>
      <w:r w:rsidRPr="004D1AB6">
        <w:t>into</w:t>
      </w:r>
      <w:r w:rsidR="006C6F09">
        <w:t xml:space="preserve"> </w:t>
      </w:r>
      <w:r w:rsidRPr="004D1AB6">
        <w:t>other</w:t>
      </w:r>
      <w:r w:rsidR="006C6F09">
        <w:t xml:space="preserve"> </w:t>
      </w:r>
      <w:r w:rsidRPr="004D1AB6">
        <w:t>languages</w:t>
      </w:r>
    </w:p>
    <w:p w14:paraId="3988D8A5" w14:textId="6A8BB834" w:rsidR="00457754" w:rsidRPr="004D1AB6" w:rsidRDefault="00457754" w:rsidP="00457754">
      <w:pPr>
        <w:pStyle w:val="ListBullet"/>
      </w:pPr>
      <w:r w:rsidRPr="004D1AB6">
        <w:t>Facilitate</w:t>
      </w:r>
      <w:r w:rsidR="006C6F09">
        <w:t xml:space="preserve"> </w:t>
      </w:r>
      <w:r w:rsidRPr="004D1AB6">
        <w:t>techniques</w:t>
      </w:r>
      <w:r w:rsidR="006C6F09">
        <w:t xml:space="preserve"> </w:t>
      </w:r>
      <w:r w:rsidRPr="004D1AB6">
        <w:t>for</w:t>
      </w:r>
      <w:r w:rsidR="006C6F09">
        <w:t xml:space="preserve"> </w:t>
      </w:r>
      <w:r w:rsidRPr="004D1AB6">
        <w:t>reaching</w:t>
      </w:r>
      <w:r w:rsidR="006C6F09">
        <w:t xml:space="preserve"> </w:t>
      </w:r>
      <w:r w:rsidRPr="004D1AB6">
        <w:t>out</w:t>
      </w:r>
      <w:r w:rsidR="006C6F09">
        <w:t xml:space="preserve"> </w:t>
      </w:r>
      <w:r w:rsidRPr="004D1AB6">
        <w:t>to</w:t>
      </w:r>
      <w:r w:rsidR="006C6F09">
        <w:t xml:space="preserve"> </w:t>
      </w:r>
      <w:r w:rsidRPr="004D1AB6">
        <w:t>limited</w:t>
      </w:r>
      <w:r w:rsidR="006C6F09">
        <w:t xml:space="preserve"> </w:t>
      </w:r>
      <w:r w:rsidRPr="004D1AB6">
        <w:t>English</w:t>
      </w:r>
      <w:r w:rsidR="006C6F09">
        <w:t xml:space="preserve"> </w:t>
      </w:r>
      <w:r w:rsidRPr="004D1AB6">
        <w:t>proficient</w:t>
      </w:r>
      <w:r w:rsidR="006C6F09">
        <w:t xml:space="preserve"> </w:t>
      </w:r>
      <w:r w:rsidRPr="004D1AB6">
        <w:t>(LEP)</w:t>
      </w:r>
      <w:r w:rsidR="006C6F09">
        <w:t xml:space="preserve"> </w:t>
      </w:r>
      <w:r w:rsidRPr="004D1AB6">
        <w:t>populations</w:t>
      </w:r>
      <w:r w:rsidR="006C6F09">
        <w:t xml:space="preserve"> </w:t>
      </w:r>
      <w:r w:rsidRPr="004D1AB6">
        <w:t>(</w:t>
      </w:r>
      <w:r>
        <w:t>in</w:t>
      </w:r>
      <w:r w:rsidR="006C6F09">
        <w:t xml:space="preserve"> </w:t>
      </w:r>
      <w:r>
        <w:t>other</w:t>
      </w:r>
      <w:r w:rsidR="006C6F09">
        <w:t xml:space="preserve"> </w:t>
      </w:r>
      <w:r>
        <w:t>words</w:t>
      </w:r>
      <w:r w:rsidRPr="004D1AB6">
        <w:t>,</w:t>
      </w:r>
      <w:r w:rsidR="006C6F09">
        <w:t xml:space="preserve"> </w:t>
      </w:r>
      <w:r w:rsidRPr="004D1AB6">
        <w:t>translating</w:t>
      </w:r>
      <w:r w:rsidR="006C6F09">
        <w:t xml:space="preserve"> </w:t>
      </w:r>
      <w:r w:rsidRPr="004D1AB6">
        <w:t>notices</w:t>
      </w:r>
      <w:r w:rsidR="006C6F09">
        <w:t xml:space="preserve"> </w:t>
      </w:r>
      <w:r w:rsidRPr="004D1AB6">
        <w:t>into</w:t>
      </w:r>
      <w:r w:rsidR="006C6F09">
        <w:t xml:space="preserve"> </w:t>
      </w:r>
      <w:r w:rsidRPr="004D1AB6">
        <w:t>languages</w:t>
      </w:r>
      <w:r w:rsidR="006C6F09">
        <w:t xml:space="preserve"> </w:t>
      </w:r>
      <w:r w:rsidRPr="004D1AB6">
        <w:t>predominantly</w:t>
      </w:r>
      <w:r w:rsidR="006C6F09">
        <w:t xml:space="preserve"> </w:t>
      </w:r>
      <w:r w:rsidRPr="004D1AB6">
        <w:t>spoken</w:t>
      </w:r>
      <w:r w:rsidR="006C6F09">
        <w:t xml:space="preserve"> </w:t>
      </w:r>
      <w:r w:rsidRPr="004D1AB6">
        <w:t>in</w:t>
      </w:r>
      <w:r w:rsidR="006C6F09">
        <w:t xml:space="preserve"> </w:t>
      </w:r>
      <w:r w:rsidRPr="004D1AB6">
        <w:t>the</w:t>
      </w:r>
      <w:r w:rsidR="006C6F09">
        <w:t xml:space="preserve"> </w:t>
      </w:r>
      <w:r w:rsidRPr="004D1AB6">
        <w:t>project</w:t>
      </w:r>
      <w:r w:rsidR="006C6F09">
        <w:t xml:space="preserve"> </w:t>
      </w:r>
      <w:r w:rsidRPr="004D1AB6">
        <w:t>area,</w:t>
      </w:r>
      <w:r w:rsidR="006C6F09">
        <w:t xml:space="preserve"> </w:t>
      </w:r>
      <w:r w:rsidRPr="004D1AB6">
        <w:t>identifying</w:t>
      </w:r>
      <w:r w:rsidR="006C6F09">
        <w:t xml:space="preserve"> </w:t>
      </w:r>
      <w:r w:rsidRPr="004D1AB6">
        <w:t>appropriate</w:t>
      </w:r>
      <w:r w:rsidR="006C6F09">
        <w:t xml:space="preserve"> </w:t>
      </w:r>
      <w:r w:rsidRPr="004D1AB6">
        <w:t>publications</w:t>
      </w:r>
      <w:r w:rsidR="006C6F09">
        <w:t xml:space="preserve"> </w:t>
      </w:r>
      <w:r w:rsidRPr="004D1AB6">
        <w:t>and</w:t>
      </w:r>
      <w:r w:rsidR="006C6F09">
        <w:t xml:space="preserve"> </w:t>
      </w:r>
      <w:r w:rsidRPr="004D1AB6">
        <w:t>other</w:t>
      </w:r>
      <w:r w:rsidR="006C6F09">
        <w:t xml:space="preserve"> </w:t>
      </w:r>
      <w:r w:rsidRPr="004D1AB6">
        <w:t>means</w:t>
      </w:r>
      <w:r w:rsidR="006C6F09">
        <w:t xml:space="preserve"> </w:t>
      </w:r>
      <w:r w:rsidRPr="004D1AB6">
        <w:t>to</w:t>
      </w:r>
      <w:r w:rsidR="006C6F09">
        <w:t xml:space="preserve"> </w:t>
      </w:r>
      <w:r w:rsidRPr="004D1AB6">
        <w:t>reach</w:t>
      </w:r>
      <w:r w:rsidR="006C6F09">
        <w:t xml:space="preserve"> </w:t>
      </w:r>
      <w:r w:rsidRPr="004D1AB6">
        <w:t>these</w:t>
      </w:r>
      <w:r w:rsidR="006C6F09">
        <w:t xml:space="preserve"> </w:t>
      </w:r>
      <w:r w:rsidRPr="004D1AB6">
        <w:t>audiences</w:t>
      </w:r>
      <w:r w:rsidR="006C6F09">
        <w:t xml:space="preserve"> </w:t>
      </w:r>
      <w:r w:rsidRPr="004D1AB6">
        <w:t>such</w:t>
      </w:r>
      <w:r w:rsidR="006C6F09">
        <w:t xml:space="preserve"> </w:t>
      </w:r>
      <w:r w:rsidRPr="004D1AB6">
        <w:t>as</w:t>
      </w:r>
      <w:r w:rsidR="006C6F09">
        <w:t xml:space="preserve"> </w:t>
      </w:r>
      <w:r w:rsidRPr="004D1AB6">
        <w:t>flyers,</w:t>
      </w:r>
      <w:r w:rsidR="006C6F09">
        <w:t xml:space="preserve"> </w:t>
      </w:r>
      <w:r w:rsidRPr="004D1AB6">
        <w:t>posters,</w:t>
      </w:r>
      <w:r w:rsidR="006C6F09">
        <w:t xml:space="preserve"> </w:t>
      </w:r>
      <w:r w:rsidRPr="004D1AB6">
        <w:t>radio</w:t>
      </w:r>
      <w:r w:rsidR="006C6F09">
        <w:t xml:space="preserve"> </w:t>
      </w:r>
      <w:r w:rsidRPr="004D1AB6">
        <w:t>advertisements,</w:t>
      </w:r>
      <w:r w:rsidR="006C6F09">
        <w:t xml:space="preserve"> </w:t>
      </w:r>
      <w:r w:rsidRPr="004D1AB6">
        <w:t>changeable</w:t>
      </w:r>
      <w:r w:rsidR="006C6F09">
        <w:t xml:space="preserve"> </w:t>
      </w:r>
      <w:r w:rsidRPr="004D1AB6">
        <w:t>message</w:t>
      </w:r>
      <w:r w:rsidR="006C6F09">
        <w:t xml:space="preserve"> </w:t>
      </w:r>
      <w:r w:rsidRPr="004D1AB6">
        <w:t>boards,</w:t>
      </w:r>
      <w:r w:rsidR="006C6F09">
        <w:t xml:space="preserve"> </w:t>
      </w:r>
      <w:r w:rsidRPr="004D1AB6">
        <w:t>etcetera)</w:t>
      </w:r>
    </w:p>
    <w:p w14:paraId="51EC06FC" w14:textId="5E3375F8" w:rsidR="00457754" w:rsidRPr="004D1AB6" w:rsidRDefault="00457754" w:rsidP="00457754">
      <w:pPr>
        <w:pStyle w:val="ListBullet"/>
      </w:pPr>
      <w:r w:rsidRPr="004D1AB6">
        <w:t>Facilitate</w:t>
      </w:r>
      <w:r w:rsidR="006C6F09">
        <w:t xml:space="preserve"> </w:t>
      </w:r>
      <w:r w:rsidRPr="004D1AB6">
        <w:t>online</w:t>
      </w:r>
      <w:r w:rsidR="006C6F09">
        <w:t xml:space="preserve"> </w:t>
      </w:r>
      <w:r w:rsidRPr="004D1AB6">
        <w:t>public</w:t>
      </w:r>
      <w:r w:rsidR="006C6F09">
        <w:t xml:space="preserve"> </w:t>
      </w:r>
      <w:r w:rsidRPr="004D1AB6">
        <w:t>engagement,</w:t>
      </w:r>
      <w:r w:rsidR="006C6F09">
        <w:t xml:space="preserve"> </w:t>
      </w:r>
      <w:r w:rsidRPr="004D1AB6">
        <w:t>including</w:t>
      </w:r>
      <w:r w:rsidR="006C6F09">
        <w:t xml:space="preserve"> </w:t>
      </w:r>
      <w:r w:rsidRPr="004D1AB6">
        <w:t>virtual</w:t>
      </w:r>
      <w:r w:rsidR="006C6F09">
        <w:t xml:space="preserve"> </w:t>
      </w:r>
      <w:r w:rsidRPr="004D1AB6">
        <w:t>open</w:t>
      </w:r>
      <w:r w:rsidR="006C6F09">
        <w:t xml:space="preserve"> </w:t>
      </w:r>
      <w:r w:rsidRPr="004D1AB6">
        <w:t>houses</w:t>
      </w:r>
      <w:r w:rsidR="006C6F09">
        <w:t xml:space="preserve"> </w:t>
      </w:r>
      <w:r w:rsidRPr="004D1AB6">
        <w:t>and</w:t>
      </w:r>
      <w:r w:rsidR="006C6F09">
        <w:t xml:space="preserve"> </w:t>
      </w:r>
      <w:r w:rsidRPr="004D1AB6">
        <w:t>surveys</w:t>
      </w:r>
    </w:p>
    <w:p w14:paraId="5CE4ADED" w14:textId="399ADACF" w:rsidR="00867162" w:rsidRPr="00867162" w:rsidRDefault="00457754" w:rsidP="00867162">
      <w:r w:rsidRPr="00852EE6">
        <w:t>ENV</w:t>
      </w:r>
      <w:r w:rsidR="006C6F09">
        <w:t xml:space="preserve"> </w:t>
      </w:r>
      <w:r w:rsidRPr="00852EE6">
        <w:t>recommends</w:t>
      </w:r>
      <w:r w:rsidR="006C6F09">
        <w:t xml:space="preserve"> </w:t>
      </w:r>
      <w:r w:rsidRPr="00852EE6">
        <w:t>contacting</w:t>
      </w:r>
      <w:r w:rsidR="006C6F09">
        <w:t xml:space="preserve"> </w:t>
      </w:r>
      <w:r w:rsidRPr="00852EE6">
        <w:t>the</w:t>
      </w:r>
      <w:r w:rsidR="006C6F09">
        <w:t xml:space="preserve"> </w:t>
      </w:r>
      <w:r w:rsidRPr="00852EE6">
        <w:t>PI</w:t>
      </w:r>
      <w:r w:rsidR="006C6F09">
        <w:t xml:space="preserve"> </w:t>
      </w:r>
      <w:r w:rsidRPr="00852EE6">
        <w:t>Section</w:t>
      </w:r>
      <w:r w:rsidR="006C6F09">
        <w:t xml:space="preserve"> </w:t>
      </w:r>
      <w:r w:rsidRPr="00852EE6">
        <w:t>for</w:t>
      </w:r>
      <w:r w:rsidR="006C6F09">
        <w:t xml:space="preserve"> </w:t>
      </w:r>
      <w:r w:rsidRPr="00852EE6">
        <w:t>the</w:t>
      </w:r>
      <w:r w:rsidR="006C6F09">
        <w:t xml:space="preserve"> </w:t>
      </w:r>
      <w:r w:rsidRPr="00852EE6">
        <w:t>latest</w:t>
      </w:r>
      <w:r w:rsidR="006C6F09">
        <w:t xml:space="preserve"> </w:t>
      </w:r>
      <w:r w:rsidRPr="00852EE6">
        <w:t>notification</w:t>
      </w:r>
      <w:r w:rsidR="006C6F09">
        <w:t xml:space="preserve"> </w:t>
      </w:r>
      <w:r w:rsidRPr="00852EE6">
        <w:t>techniques</w:t>
      </w:r>
      <w:r w:rsidR="006C6F09">
        <w:t xml:space="preserve"> </w:t>
      </w:r>
      <w:r w:rsidRPr="00852EE6">
        <w:t>and</w:t>
      </w:r>
      <w:r w:rsidR="006C6F09">
        <w:t xml:space="preserve"> </w:t>
      </w:r>
      <w:r w:rsidRPr="00852EE6">
        <w:t>assistance</w:t>
      </w:r>
      <w:r w:rsidR="006C6F09">
        <w:t xml:space="preserve"> </w:t>
      </w:r>
      <w:r w:rsidRPr="00852EE6">
        <w:t>with</w:t>
      </w:r>
      <w:r w:rsidR="006C6F09">
        <w:t xml:space="preserve"> </w:t>
      </w:r>
      <w:r w:rsidRPr="00852EE6">
        <w:t>public</w:t>
      </w:r>
      <w:r w:rsidR="006C6F09">
        <w:t xml:space="preserve"> </w:t>
      </w:r>
      <w:r w:rsidRPr="00852EE6">
        <w:t>outreach</w:t>
      </w:r>
      <w:r w:rsidR="006C6F09">
        <w:t xml:space="preserve"> </w:t>
      </w:r>
      <w:r w:rsidRPr="00852EE6">
        <w:t>to</w:t>
      </w:r>
      <w:r w:rsidR="006C6F09">
        <w:t xml:space="preserve"> </w:t>
      </w:r>
      <w:r w:rsidRPr="00852EE6">
        <w:t>improve</w:t>
      </w:r>
      <w:r w:rsidR="006C6F09">
        <w:t xml:space="preserve"> </w:t>
      </w:r>
      <w:r w:rsidRPr="00852EE6">
        <w:t>public</w:t>
      </w:r>
      <w:r w:rsidR="006C6F09">
        <w:t xml:space="preserve"> </w:t>
      </w:r>
      <w:r w:rsidRPr="00852EE6">
        <w:t>involvement</w:t>
      </w:r>
      <w:r w:rsidR="006C6F09">
        <w:t xml:space="preserve"> </w:t>
      </w:r>
      <w:r w:rsidRPr="00852EE6">
        <w:t>and</w:t>
      </w:r>
      <w:r w:rsidR="006C6F09">
        <w:t xml:space="preserve"> </w:t>
      </w:r>
      <w:r w:rsidRPr="00852EE6">
        <w:t>input</w:t>
      </w:r>
      <w:r w:rsidR="006C6F09">
        <w:t xml:space="preserve"> </w:t>
      </w:r>
      <w:r w:rsidRPr="00852EE6">
        <w:t>opportunities</w:t>
      </w:r>
      <w:r w:rsidR="006C6F09">
        <w:t xml:space="preserve"> </w:t>
      </w:r>
      <w:r w:rsidRPr="00852EE6">
        <w:t>statewide.</w:t>
      </w:r>
      <w:r w:rsidR="006C6F09">
        <w:t xml:space="preserve"> </w:t>
      </w:r>
      <w:r w:rsidRPr="00852EE6">
        <w:t>This</w:t>
      </w:r>
      <w:r w:rsidR="006C6F09">
        <w:t xml:space="preserve"> </w:t>
      </w:r>
      <w:r w:rsidRPr="00852EE6">
        <w:t>supports</w:t>
      </w:r>
      <w:r w:rsidR="006C6F09">
        <w:t xml:space="preserve"> </w:t>
      </w:r>
      <w:r w:rsidRPr="00852EE6">
        <w:t>the</w:t>
      </w:r>
      <w:r w:rsidR="006C6F09">
        <w:t xml:space="preserve"> </w:t>
      </w:r>
      <w:r w:rsidRPr="00852EE6">
        <w:t>TxDOT</w:t>
      </w:r>
      <w:r w:rsidR="006C6F09">
        <w:t xml:space="preserve"> </w:t>
      </w:r>
      <w:r w:rsidRPr="00852EE6">
        <w:t>public</w:t>
      </w:r>
      <w:r w:rsidR="006C6F09">
        <w:t xml:space="preserve"> </w:t>
      </w:r>
      <w:r w:rsidRPr="00852EE6">
        <w:t>involvement</w:t>
      </w:r>
      <w:r w:rsidR="006C6F09">
        <w:t xml:space="preserve"> </w:t>
      </w:r>
      <w:r w:rsidRPr="00852EE6">
        <w:t>policy</w:t>
      </w:r>
      <w:r w:rsidR="006C6F09">
        <w:t xml:space="preserve"> </w:t>
      </w:r>
      <w:r w:rsidRPr="00852EE6">
        <w:t>to</w:t>
      </w:r>
      <w:r w:rsidR="006C6F09">
        <w:t xml:space="preserve"> </w:t>
      </w:r>
      <w:r w:rsidRPr="00852EE6">
        <w:t>“regularly</w:t>
      </w:r>
      <w:r w:rsidR="006C6F09">
        <w:t xml:space="preserve"> </w:t>
      </w:r>
      <w:r w:rsidRPr="00852EE6">
        <w:t>update</w:t>
      </w:r>
      <w:r w:rsidR="006C6F09">
        <w:t xml:space="preserve"> </w:t>
      </w:r>
      <w:r w:rsidRPr="00852EE6">
        <w:t>public</w:t>
      </w:r>
      <w:r w:rsidR="006C6F09">
        <w:t xml:space="preserve"> </w:t>
      </w:r>
      <w:r w:rsidRPr="00852EE6">
        <w:t>involvement</w:t>
      </w:r>
      <w:r w:rsidR="006C6F09">
        <w:t xml:space="preserve"> </w:t>
      </w:r>
      <w:r w:rsidRPr="00852EE6">
        <w:t>methods</w:t>
      </w:r>
      <w:r w:rsidR="006C6F09">
        <w:t xml:space="preserve"> </w:t>
      </w:r>
      <w:r w:rsidRPr="00852EE6">
        <w:t>to</w:t>
      </w:r>
      <w:r w:rsidR="006C6F09">
        <w:t xml:space="preserve"> </w:t>
      </w:r>
      <w:r w:rsidRPr="00852EE6">
        <w:t>include</w:t>
      </w:r>
      <w:r w:rsidR="006C6F09">
        <w:t xml:space="preserve"> </w:t>
      </w:r>
      <w:r w:rsidRPr="00852EE6">
        <w:t>best</w:t>
      </w:r>
      <w:r w:rsidR="006C6F09">
        <w:t xml:space="preserve"> </w:t>
      </w:r>
      <w:r w:rsidRPr="00852EE6">
        <w:t>practices</w:t>
      </w:r>
      <w:r w:rsidR="006C6F09">
        <w:t xml:space="preserve"> </w:t>
      </w:r>
      <w:r w:rsidRPr="00852EE6">
        <w:t>in</w:t>
      </w:r>
      <w:r w:rsidR="006C6F09">
        <w:t xml:space="preserve"> </w:t>
      </w:r>
      <w:r w:rsidRPr="00852EE6">
        <w:t>public</w:t>
      </w:r>
      <w:r w:rsidR="006C6F09">
        <w:t xml:space="preserve"> </w:t>
      </w:r>
      <w:r w:rsidRPr="00852EE6">
        <w:t>involvement</w:t>
      </w:r>
      <w:r w:rsidR="006C6F09">
        <w:t xml:space="preserve"> </w:t>
      </w:r>
      <w:r w:rsidRPr="00852EE6">
        <w:t>and</w:t>
      </w:r>
      <w:r w:rsidR="006C6F09">
        <w:t xml:space="preserve"> </w:t>
      </w:r>
      <w:r w:rsidRPr="00852EE6">
        <w:t>incorporate</w:t>
      </w:r>
      <w:r w:rsidR="006C6F09">
        <w:t xml:space="preserve"> </w:t>
      </w:r>
      <w:r w:rsidRPr="00852EE6">
        <w:t>a</w:t>
      </w:r>
      <w:r w:rsidR="006C6F09">
        <w:t xml:space="preserve"> </w:t>
      </w:r>
      <w:r w:rsidRPr="00852EE6">
        <w:t>range</w:t>
      </w:r>
      <w:r w:rsidR="006C6F09">
        <w:t xml:space="preserve"> </w:t>
      </w:r>
      <w:r w:rsidRPr="00852EE6">
        <w:t>of</w:t>
      </w:r>
      <w:r w:rsidR="006C6F09">
        <w:t xml:space="preserve"> </w:t>
      </w:r>
      <w:r w:rsidRPr="00852EE6">
        <w:t>strategies</w:t>
      </w:r>
      <w:r w:rsidR="006C6F09">
        <w:t xml:space="preserve"> </w:t>
      </w:r>
      <w:r w:rsidRPr="00852EE6">
        <w:t>to</w:t>
      </w:r>
      <w:r w:rsidR="006C6F09">
        <w:t xml:space="preserve"> </w:t>
      </w:r>
      <w:r w:rsidRPr="00852EE6">
        <w:t>encourage</w:t>
      </w:r>
      <w:r w:rsidR="006C6F09">
        <w:t xml:space="preserve"> </w:t>
      </w:r>
      <w:r w:rsidRPr="00852EE6">
        <w:t>broad</w:t>
      </w:r>
      <w:r w:rsidR="006C6F09">
        <w:t xml:space="preserve"> </w:t>
      </w:r>
      <w:r w:rsidRPr="00852EE6">
        <w:t>participation</w:t>
      </w:r>
      <w:r w:rsidR="006C6F09">
        <w:t xml:space="preserve"> </w:t>
      </w:r>
      <w:r w:rsidRPr="00852EE6">
        <w:t>reflective</w:t>
      </w:r>
      <w:r w:rsidR="006C6F09">
        <w:t xml:space="preserve"> </w:t>
      </w:r>
      <w:r w:rsidRPr="00852EE6">
        <w:t>of</w:t>
      </w:r>
      <w:r w:rsidR="006C6F09">
        <w:t xml:space="preserve"> </w:t>
      </w:r>
      <w:r w:rsidRPr="00852EE6">
        <w:t>the</w:t>
      </w:r>
      <w:r w:rsidR="006C6F09">
        <w:t xml:space="preserve"> </w:t>
      </w:r>
      <w:r w:rsidRPr="00852EE6">
        <w:t>needs</w:t>
      </w:r>
      <w:r w:rsidR="006C6F09">
        <w:t xml:space="preserve"> </w:t>
      </w:r>
      <w:r w:rsidRPr="00852EE6">
        <w:t>of</w:t>
      </w:r>
      <w:r w:rsidR="006C6F09">
        <w:t xml:space="preserve"> </w:t>
      </w:r>
      <w:r w:rsidRPr="00852EE6">
        <w:t>the</w:t>
      </w:r>
      <w:r w:rsidR="006C6F09">
        <w:t xml:space="preserve"> </w:t>
      </w:r>
      <w:r w:rsidRPr="00852EE6">
        <w:t>state’s</w:t>
      </w:r>
      <w:r w:rsidR="006C6F09">
        <w:t xml:space="preserve"> </w:t>
      </w:r>
      <w:r w:rsidRPr="00852EE6">
        <w:t>population”</w:t>
      </w:r>
      <w:r w:rsidR="006C6F09">
        <w:t xml:space="preserve"> </w:t>
      </w:r>
      <w:r w:rsidRPr="00852EE6">
        <w:t>(</w:t>
      </w:r>
      <w:r w:rsidRPr="007524B7">
        <w:t>Minute</w:t>
      </w:r>
      <w:r w:rsidR="006C6F09">
        <w:t xml:space="preserve"> </w:t>
      </w:r>
      <w:r w:rsidRPr="007524B7">
        <w:t>Order</w:t>
      </w:r>
      <w:r w:rsidR="006C6F09">
        <w:t xml:space="preserve"> </w:t>
      </w:r>
      <w:r w:rsidRPr="00430F47">
        <w:t>112555</w:t>
      </w:r>
      <w:r w:rsidRPr="00852EE6">
        <w:t>).</w:t>
      </w:r>
      <w:r w:rsidR="006C6F09">
        <w:t xml:space="preserve"> </w:t>
      </w:r>
      <w:r w:rsidRPr="00852EE6">
        <w:t>The</w:t>
      </w:r>
      <w:r w:rsidR="006C6F09">
        <w:t xml:space="preserve"> </w:t>
      </w:r>
      <w:r w:rsidRPr="00852EE6">
        <w:t>PI</w:t>
      </w:r>
      <w:r w:rsidR="006C6F09">
        <w:t xml:space="preserve"> </w:t>
      </w:r>
      <w:r w:rsidRPr="00852EE6">
        <w:t>Section’s</w:t>
      </w:r>
      <w:r w:rsidR="006C6F09">
        <w:t xml:space="preserve"> </w:t>
      </w:r>
      <w:r w:rsidR="0020379B">
        <w:t>SharePoint</w:t>
      </w:r>
      <w:r w:rsidR="006C6F09">
        <w:t xml:space="preserve"> </w:t>
      </w:r>
      <w:r w:rsidR="0020379B">
        <w:t>site</w:t>
      </w:r>
      <w:r w:rsidR="006C6F09">
        <w:t xml:space="preserve"> </w:t>
      </w:r>
      <w:r w:rsidRPr="00852EE6">
        <w:t>with</w:t>
      </w:r>
      <w:r w:rsidR="006C6F09">
        <w:t xml:space="preserve"> </w:t>
      </w:r>
      <w:r w:rsidRPr="00852EE6">
        <w:t>valuable</w:t>
      </w:r>
      <w:r w:rsidR="006C6F09">
        <w:t xml:space="preserve"> </w:t>
      </w:r>
      <w:r w:rsidRPr="00852EE6">
        <w:t>resources,</w:t>
      </w:r>
      <w:r w:rsidR="006C6F09">
        <w:t xml:space="preserve"> </w:t>
      </w:r>
      <w:r w:rsidRPr="00852EE6">
        <w:t>including</w:t>
      </w:r>
      <w:r w:rsidR="006C6F09">
        <w:t xml:space="preserve"> </w:t>
      </w:r>
      <w:r w:rsidRPr="00852EE6">
        <w:t>Best</w:t>
      </w:r>
      <w:r w:rsidR="006C6F09">
        <w:t xml:space="preserve"> </w:t>
      </w:r>
      <w:r w:rsidRPr="00852EE6">
        <w:t>Practices,</w:t>
      </w:r>
      <w:r w:rsidR="006C6F09">
        <w:t xml:space="preserve"> </w:t>
      </w:r>
      <w:r w:rsidRPr="00852EE6">
        <w:t>is</w:t>
      </w:r>
      <w:r w:rsidR="006C6F09">
        <w:t xml:space="preserve"> </w:t>
      </w:r>
      <w:r w:rsidRPr="00852EE6">
        <w:t>available</w:t>
      </w:r>
      <w:r w:rsidR="006C6F09">
        <w:t xml:space="preserve"> </w:t>
      </w:r>
      <w:r w:rsidR="00867162" w:rsidRPr="00867162">
        <w:t>at</w:t>
      </w:r>
      <w:r w:rsidR="006C6F09">
        <w:t xml:space="preserve"> </w:t>
      </w:r>
      <w:hyperlink r:id="rId16" w:history="1">
        <w:r w:rsidR="00867162" w:rsidRPr="00867162">
          <w:rPr>
            <w:rStyle w:val="Hyperlink"/>
            <w:rFonts w:cstheme="minorBidi"/>
          </w:rPr>
          <w:t>Public</w:t>
        </w:r>
        <w:r w:rsidR="006C6F09">
          <w:rPr>
            <w:rStyle w:val="Hyperlink"/>
            <w:rFonts w:cstheme="minorBidi"/>
          </w:rPr>
          <w:t xml:space="preserve"> </w:t>
        </w:r>
        <w:r w:rsidR="00867162" w:rsidRPr="00867162">
          <w:rPr>
            <w:rStyle w:val="Hyperlink"/>
            <w:rFonts w:cstheme="minorBidi"/>
          </w:rPr>
          <w:t>Involvement</w:t>
        </w:r>
        <w:r w:rsidR="006C6F09">
          <w:rPr>
            <w:rStyle w:val="Hyperlink"/>
            <w:rFonts w:cstheme="minorBidi"/>
          </w:rPr>
          <w:t xml:space="preserve"> </w:t>
        </w:r>
        <w:r w:rsidR="00867162" w:rsidRPr="00867162">
          <w:rPr>
            <w:rStyle w:val="Hyperlink"/>
            <w:rFonts w:cstheme="minorBidi"/>
          </w:rPr>
          <w:t>Section</w:t>
        </w:r>
        <w:r w:rsidR="006C6F09">
          <w:rPr>
            <w:rStyle w:val="Hyperlink"/>
            <w:rFonts w:cstheme="minorBidi"/>
          </w:rPr>
          <w:t xml:space="preserve"> </w:t>
        </w:r>
        <w:r w:rsidR="00867162" w:rsidRPr="00867162">
          <w:rPr>
            <w:rStyle w:val="Hyperlink"/>
            <w:rFonts w:cstheme="minorBidi"/>
          </w:rPr>
          <w:t>-</w:t>
        </w:r>
        <w:r w:rsidR="006C6F09">
          <w:rPr>
            <w:rStyle w:val="Hyperlink"/>
            <w:rFonts w:cstheme="minorBidi"/>
          </w:rPr>
          <w:t xml:space="preserve"> </w:t>
        </w:r>
        <w:r w:rsidR="00867162" w:rsidRPr="00867162">
          <w:rPr>
            <w:rStyle w:val="Hyperlink"/>
            <w:rFonts w:cstheme="minorBidi"/>
          </w:rPr>
          <w:t>Home</w:t>
        </w:r>
      </w:hyperlink>
      <w:r w:rsidR="006C6F09">
        <w:t xml:space="preserve"> </w:t>
      </w:r>
      <w:r w:rsidR="00867162" w:rsidRPr="00867162">
        <w:t>(accessible</w:t>
      </w:r>
      <w:r w:rsidR="006C6F09">
        <w:t xml:space="preserve"> </w:t>
      </w:r>
      <w:r w:rsidR="00867162" w:rsidRPr="00867162">
        <w:t>by</w:t>
      </w:r>
      <w:r w:rsidR="006C6F09">
        <w:t xml:space="preserve"> </w:t>
      </w:r>
      <w:r w:rsidR="00867162" w:rsidRPr="00867162">
        <w:t>TxDOT</w:t>
      </w:r>
      <w:r w:rsidR="006C6F09">
        <w:t xml:space="preserve"> </w:t>
      </w:r>
      <w:r w:rsidR="00867162" w:rsidRPr="00867162">
        <w:t>staff</w:t>
      </w:r>
      <w:r w:rsidR="006C6F09">
        <w:t xml:space="preserve"> </w:t>
      </w:r>
      <w:r w:rsidR="00867162" w:rsidRPr="00867162">
        <w:t>only).</w:t>
      </w:r>
    </w:p>
    <w:p w14:paraId="0D79FBE8" w14:textId="1EFDF344" w:rsidR="00457754" w:rsidRDefault="00457754" w:rsidP="00457754">
      <w:r>
        <w:lastRenderedPageBreak/>
        <w:t>In</w:t>
      </w:r>
      <w:r w:rsidR="006C6F09">
        <w:t xml:space="preserve"> </w:t>
      </w:r>
      <w:r>
        <w:t>2024,</w:t>
      </w:r>
      <w:r w:rsidR="006C6F09">
        <w:t xml:space="preserve"> </w:t>
      </w:r>
      <w:r>
        <w:t>the</w:t>
      </w:r>
      <w:r w:rsidR="006C6F09">
        <w:t xml:space="preserve"> </w:t>
      </w:r>
      <w:r>
        <w:t>PI</w:t>
      </w:r>
      <w:r w:rsidR="006C6F09">
        <w:t xml:space="preserve"> </w:t>
      </w:r>
      <w:r>
        <w:t>Section</w:t>
      </w:r>
      <w:r w:rsidR="006C6F09">
        <w:t xml:space="preserve"> </w:t>
      </w:r>
      <w:r>
        <w:t>released</w:t>
      </w:r>
      <w:r w:rsidR="006C6F09">
        <w:t xml:space="preserve"> </w:t>
      </w:r>
      <w:r>
        <w:t>its</w:t>
      </w:r>
      <w:r w:rsidR="006C6F09">
        <w:t xml:space="preserve"> </w:t>
      </w:r>
      <w:r w:rsidRPr="007524B7">
        <w:t>Strategic</w:t>
      </w:r>
      <w:r w:rsidR="006C6F09">
        <w:t xml:space="preserve"> </w:t>
      </w:r>
      <w:r w:rsidRPr="007524B7">
        <w:t>Public</w:t>
      </w:r>
      <w:r w:rsidR="006C6F09">
        <w:t xml:space="preserve"> </w:t>
      </w:r>
      <w:r w:rsidRPr="007524B7">
        <w:t>Engagement</w:t>
      </w:r>
      <w:r w:rsidR="006C6F09">
        <w:t xml:space="preserve"> </w:t>
      </w:r>
      <w:r w:rsidRPr="007524B7">
        <w:t>Guidance</w:t>
      </w:r>
      <w:r w:rsidR="006C6F09">
        <w:t xml:space="preserve"> </w:t>
      </w:r>
      <w:r>
        <w:t>or</w:t>
      </w:r>
      <w:r w:rsidR="006C6F09">
        <w:t xml:space="preserve"> </w:t>
      </w:r>
      <w:r>
        <w:t>“SPEG.”</w:t>
      </w:r>
      <w:r w:rsidR="00135456">
        <w:t xml:space="preserve"> </w:t>
      </w:r>
      <w:r>
        <w:t>The</w:t>
      </w:r>
      <w:r w:rsidR="006C6F09">
        <w:t xml:space="preserve"> </w:t>
      </w:r>
      <w:r>
        <w:t>SPEG</w:t>
      </w:r>
      <w:r w:rsidR="006C6F09">
        <w:t xml:space="preserve"> </w:t>
      </w:r>
      <w:r>
        <w:t>was</w:t>
      </w:r>
      <w:r w:rsidR="006C6F09">
        <w:t xml:space="preserve"> </w:t>
      </w:r>
      <w:r>
        <w:t>the</w:t>
      </w:r>
      <w:r w:rsidR="006C6F09">
        <w:t xml:space="preserve"> </w:t>
      </w:r>
      <w:r>
        <w:t>result</w:t>
      </w:r>
      <w:r w:rsidR="006C6F09">
        <w:t xml:space="preserve"> </w:t>
      </w:r>
      <w:r>
        <w:t>of</w:t>
      </w:r>
      <w:r w:rsidR="006C6F09">
        <w:t xml:space="preserve"> </w:t>
      </w:r>
      <w:r>
        <w:t>a</w:t>
      </w:r>
      <w:r w:rsidR="006C6F09">
        <w:t xml:space="preserve"> </w:t>
      </w:r>
      <w:r>
        <w:t>TxDOT</w:t>
      </w:r>
      <w:r w:rsidR="006C6F09">
        <w:t xml:space="preserve"> </w:t>
      </w:r>
      <w:r>
        <w:t>Administration-approved</w:t>
      </w:r>
      <w:r w:rsidR="006C6F09">
        <w:t xml:space="preserve"> </w:t>
      </w:r>
      <w:r>
        <w:t>initiative</w:t>
      </w:r>
      <w:r w:rsidR="006C6F09">
        <w:t xml:space="preserve"> </w:t>
      </w:r>
      <w:r>
        <w:t>that</w:t>
      </w:r>
      <w:r w:rsidR="006C6F09">
        <w:t xml:space="preserve"> </w:t>
      </w:r>
      <w:r>
        <w:t>helps</w:t>
      </w:r>
      <w:r w:rsidR="006C6F09">
        <w:t xml:space="preserve"> </w:t>
      </w:r>
      <w:r>
        <w:t>ensure</w:t>
      </w:r>
      <w:r w:rsidR="006C6F09">
        <w:t xml:space="preserve"> </w:t>
      </w:r>
      <w:r>
        <w:t>TxDOT</w:t>
      </w:r>
      <w:r w:rsidR="006C6F09">
        <w:t xml:space="preserve"> </w:t>
      </w:r>
      <w:r>
        <w:t>has</w:t>
      </w:r>
      <w:r w:rsidR="006C6F09">
        <w:t xml:space="preserve"> </w:t>
      </w:r>
      <w:r>
        <w:t>a</w:t>
      </w:r>
      <w:r w:rsidR="006C6F09">
        <w:t xml:space="preserve"> </w:t>
      </w:r>
      <w:r>
        <w:t>comprehensive</w:t>
      </w:r>
      <w:r w:rsidR="006C6F09">
        <w:t xml:space="preserve"> </w:t>
      </w:r>
      <w:r>
        <w:t>plan</w:t>
      </w:r>
      <w:r w:rsidR="006C6F09">
        <w:t xml:space="preserve"> </w:t>
      </w:r>
      <w:r>
        <w:t>for</w:t>
      </w:r>
      <w:r w:rsidR="006C6F09">
        <w:t xml:space="preserve"> </w:t>
      </w:r>
      <w:r>
        <w:t>including</w:t>
      </w:r>
      <w:r w:rsidR="006C6F09">
        <w:t xml:space="preserve"> </w:t>
      </w:r>
      <w:r>
        <w:t>all</w:t>
      </w:r>
      <w:r w:rsidR="006C6F09">
        <w:t xml:space="preserve"> </w:t>
      </w:r>
      <w:r>
        <w:t>populations</w:t>
      </w:r>
      <w:r w:rsidR="006C6F09">
        <w:t xml:space="preserve"> </w:t>
      </w:r>
      <w:r>
        <w:t>that</w:t>
      </w:r>
      <w:r w:rsidR="006C6F09">
        <w:t xml:space="preserve"> </w:t>
      </w:r>
      <w:r>
        <w:t>comprise</w:t>
      </w:r>
      <w:r w:rsidR="006C6F09">
        <w:t xml:space="preserve"> </w:t>
      </w:r>
      <w:r>
        <w:t>Texas.</w:t>
      </w:r>
      <w:r w:rsidR="006C6F09">
        <w:t xml:space="preserve"> </w:t>
      </w:r>
      <w:r>
        <w:t>The</w:t>
      </w:r>
      <w:r w:rsidR="006C6F09">
        <w:t xml:space="preserve"> </w:t>
      </w:r>
      <w:r>
        <w:t>SPEG</w:t>
      </w:r>
      <w:r w:rsidR="006C6F09">
        <w:t xml:space="preserve"> </w:t>
      </w:r>
      <w:r>
        <w:t>was</w:t>
      </w:r>
      <w:r w:rsidR="006C6F09">
        <w:t xml:space="preserve"> </w:t>
      </w:r>
      <w:r>
        <w:t>developed</w:t>
      </w:r>
      <w:r w:rsidR="006C6F09">
        <w:t xml:space="preserve"> </w:t>
      </w:r>
      <w:r>
        <w:t>after</w:t>
      </w:r>
      <w:r w:rsidR="006C6F09">
        <w:t xml:space="preserve"> </w:t>
      </w:r>
      <w:r>
        <w:t>review</w:t>
      </w:r>
      <w:r w:rsidR="006C6F09">
        <w:t xml:space="preserve"> </w:t>
      </w:r>
      <w:r>
        <w:t>of</w:t>
      </w:r>
      <w:r w:rsidR="006C6F09">
        <w:t xml:space="preserve"> </w:t>
      </w:r>
      <w:r>
        <w:t>existing</w:t>
      </w:r>
      <w:r w:rsidR="006C6F09">
        <w:t xml:space="preserve"> </w:t>
      </w:r>
      <w:r>
        <w:t>studies</w:t>
      </w:r>
      <w:r w:rsidR="006C6F09">
        <w:t xml:space="preserve"> </w:t>
      </w:r>
      <w:r>
        <w:t>and</w:t>
      </w:r>
      <w:r w:rsidR="006C6F09">
        <w:t xml:space="preserve"> </w:t>
      </w:r>
      <w:r>
        <w:t>best</w:t>
      </w:r>
      <w:r w:rsidR="006C6F09">
        <w:t xml:space="preserve"> </w:t>
      </w:r>
      <w:r>
        <w:t>practices,</w:t>
      </w:r>
      <w:r w:rsidR="006C6F09">
        <w:t xml:space="preserve"> </w:t>
      </w:r>
      <w:r>
        <w:t>surveys</w:t>
      </w:r>
      <w:r w:rsidR="006C6F09">
        <w:t xml:space="preserve"> </w:t>
      </w:r>
      <w:r>
        <w:t>of</w:t>
      </w:r>
      <w:r w:rsidR="006C6F09">
        <w:t xml:space="preserve"> </w:t>
      </w:r>
      <w:r>
        <w:t>both</w:t>
      </w:r>
      <w:r w:rsidR="006C6F09">
        <w:t xml:space="preserve"> </w:t>
      </w:r>
      <w:r>
        <w:t>the</w:t>
      </w:r>
      <w:r w:rsidR="006C6F09">
        <w:t xml:space="preserve"> </w:t>
      </w:r>
      <w:r>
        <w:t>public</w:t>
      </w:r>
      <w:r w:rsidR="006C6F09">
        <w:t xml:space="preserve"> </w:t>
      </w:r>
      <w:r>
        <w:t>and</w:t>
      </w:r>
      <w:r w:rsidR="006C6F09">
        <w:t xml:space="preserve"> </w:t>
      </w:r>
      <w:r>
        <w:t>other</w:t>
      </w:r>
      <w:r w:rsidR="006C6F09">
        <w:t xml:space="preserve"> </w:t>
      </w:r>
      <w:r>
        <w:t>departments</w:t>
      </w:r>
      <w:r w:rsidR="006C6F09">
        <w:t xml:space="preserve"> </w:t>
      </w:r>
      <w:r>
        <w:t>of</w:t>
      </w:r>
      <w:r w:rsidR="006C6F09">
        <w:t xml:space="preserve"> </w:t>
      </w:r>
      <w:r>
        <w:t>transportation</w:t>
      </w:r>
      <w:r w:rsidR="006C6F09">
        <w:t xml:space="preserve"> </w:t>
      </w:r>
      <w:r>
        <w:t>across</w:t>
      </w:r>
      <w:r w:rsidR="006C6F09">
        <w:t xml:space="preserve"> </w:t>
      </w:r>
      <w:r>
        <w:t>the</w:t>
      </w:r>
      <w:r w:rsidR="006C6F09">
        <w:t xml:space="preserve"> </w:t>
      </w:r>
      <w:r>
        <w:t>country,</w:t>
      </w:r>
      <w:r w:rsidR="006C6F09">
        <w:t xml:space="preserve"> </w:t>
      </w:r>
      <w:r>
        <w:t>and</w:t>
      </w:r>
      <w:r w:rsidR="006C6F09">
        <w:t xml:space="preserve"> </w:t>
      </w:r>
      <w:r>
        <w:t>internal</w:t>
      </w:r>
      <w:r w:rsidR="006C6F09">
        <w:t xml:space="preserve"> </w:t>
      </w:r>
      <w:r>
        <w:t>discussion</w:t>
      </w:r>
      <w:r w:rsidR="006C6F09">
        <w:t xml:space="preserve"> </w:t>
      </w:r>
      <w:r>
        <w:t>and</w:t>
      </w:r>
      <w:r w:rsidR="006C6F09">
        <w:t xml:space="preserve"> </w:t>
      </w:r>
      <w:r>
        <w:t>consultation.</w:t>
      </w:r>
      <w:r w:rsidR="006C6F09">
        <w:t xml:space="preserve"> </w:t>
      </w:r>
      <w:r>
        <w:t>The</w:t>
      </w:r>
      <w:r w:rsidR="006C6F09">
        <w:t xml:space="preserve"> </w:t>
      </w:r>
      <w:r>
        <w:t>major</w:t>
      </w:r>
      <w:r w:rsidR="006C6F09">
        <w:t xml:space="preserve"> </w:t>
      </w:r>
      <w:r>
        <w:t>topics</w:t>
      </w:r>
      <w:r w:rsidR="006C6F09">
        <w:t xml:space="preserve"> </w:t>
      </w:r>
      <w:r>
        <w:t>covered</w:t>
      </w:r>
      <w:r w:rsidR="006C6F09">
        <w:t xml:space="preserve"> </w:t>
      </w:r>
      <w:r>
        <w:t>by</w:t>
      </w:r>
      <w:r w:rsidR="006C6F09">
        <w:t xml:space="preserve"> </w:t>
      </w:r>
      <w:r>
        <w:t>the</w:t>
      </w:r>
      <w:r w:rsidR="006C6F09">
        <w:t xml:space="preserve"> </w:t>
      </w:r>
      <w:r>
        <w:t>SPEG</w:t>
      </w:r>
      <w:r w:rsidR="006C6F09">
        <w:t xml:space="preserve"> </w:t>
      </w:r>
      <w:r>
        <w:t>include</w:t>
      </w:r>
      <w:r w:rsidR="006C6F09">
        <w:t xml:space="preserve"> </w:t>
      </w:r>
      <w:r>
        <w:t>the</w:t>
      </w:r>
      <w:r w:rsidR="006C6F09">
        <w:t xml:space="preserve"> </w:t>
      </w:r>
      <w:r>
        <w:t>Importance</w:t>
      </w:r>
      <w:r w:rsidR="006C6F09">
        <w:t xml:space="preserve"> </w:t>
      </w:r>
      <w:r>
        <w:t>of</w:t>
      </w:r>
      <w:r w:rsidR="006C6F09">
        <w:t xml:space="preserve"> </w:t>
      </w:r>
      <w:r>
        <w:t>Public</w:t>
      </w:r>
      <w:r w:rsidR="006C6F09">
        <w:t xml:space="preserve"> </w:t>
      </w:r>
      <w:r>
        <w:t>Involvement,</w:t>
      </w:r>
      <w:r w:rsidR="006C6F09">
        <w:t xml:space="preserve"> </w:t>
      </w:r>
      <w:proofErr w:type="gramStart"/>
      <w:r>
        <w:t>Building</w:t>
      </w:r>
      <w:proofErr w:type="gramEnd"/>
      <w:r w:rsidR="006C6F09">
        <w:t xml:space="preserve"> </w:t>
      </w:r>
      <w:r>
        <w:t>a</w:t>
      </w:r>
      <w:r w:rsidR="006C6F09">
        <w:t xml:space="preserve"> </w:t>
      </w:r>
      <w:r>
        <w:t>Community</w:t>
      </w:r>
      <w:r w:rsidR="006C6F09">
        <w:t xml:space="preserve"> </w:t>
      </w:r>
      <w:r>
        <w:t>Profile,</w:t>
      </w:r>
      <w:r w:rsidR="006C6F09">
        <w:t xml:space="preserve"> </w:t>
      </w:r>
      <w:r>
        <w:t>Engaging</w:t>
      </w:r>
      <w:r w:rsidR="006C6F09">
        <w:t xml:space="preserve"> </w:t>
      </w:r>
      <w:r>
        <w:t>with</w:t>
      </w:r>
      <w:r w:rsidR="006C6F09">
        <w:t xml:space="preserve"> </w:t>
      </w:r>
      <w:r>
        <w:t>Intention,</w:t>
      </w:r>
      <w:r w:rsidR="006C6F09">
        <w:t xml:space="preserve"> </w:t>
      </w:r>
      <w:r>
        <w:t>Minimizing</w:t>
      </w:r>
      <w:r w:rsidR="006C6F09">
        <w:t xml:space="preserve"> </w:t>
      </w:r>
      <w:r>
        <w:t>Barriers</w:t>
      </w:r>
      <w:r w:rsidR="006C6F09">
        <w:t xml:space="preserve"> </w:t>
      </w:r>
      <w:r>
        <w:t>to</w:t>
      </w:r>
      <w:r w:rsidR="006C6F09">
        <w:t xml:space="preserve"> </w:t>
      </w:r>
      <w:r>
        <w:t>Engagement</w:t>
      </w:r>
      <w:r w:rsidR="006C6F09">
        <w:t xml:space="preserve"> </w:t>
      </w:r>
      <w:r>
        <w:t>(including</w:t>
      </w:r>
      <w:r w:rsidR="006C6F09">
        <w:t xml:space="preserve"> </w:t>
      </w:r>
      <w:r>
        <w:t>Limited</w:t>
      </w:r>
      <w:r w:rsidR="006C6F09">
        <w:t xml:space="preserve"> </w:t>
      </w:r>
      <w:r>
        <w:t>English</w:t>
      </w:r>
      <w:r w:rsidR="006C6F09">
        <w:t xml:space="preserve"> </w:t>
      </w:r>
      <w:r>
        <w:t>Proficiency),</w:t>
      </w:r>
      <w:r w:rsidR="006C6F09">
        <w:t xml:space="preserve"> </w:t>
      </w:r>
      <w:r>
        <w:t>and</w:t>
      </w:r>
      <w:r w:rsidR="006C6F09">
        <w:t xml:space="preserve"> </w:t>
      </w:r>
      <w:r>
        <w:t>Building</w:t>
      </w:r>
      <w:r w:rsidR="006C6F09">
        <w:t xml:space="preserve"> </w:t>
      </w:r>
      <w:r>
        <w:t>Community</w:t>
      </w:r>
      <w:r w:rsidR="006C6F09">
        <w:t xml:space="preserve"> </w:t>
      </w:r>
      <w:r>
        <w:t>Partnerships.</w:t>
      </w:r>
      <w:r w:rsidR="006C6F09">
        <w:t xml:space="preserve"> </w:t>
      </w:r>
      <w:r>
        <w:t>The</w:t>
      </w:r>
      <w:r w:rsidR="006C6F09">
        <w:t xml:space="preserve"> </w:t>
      </w:r>
      <w:r>
        <w:t>SPEG</w:t>
      </w:r>
      <w:r w:rsidR="006C6F09">
        <w:t xml:space="preserve"> </w:t>
      </w:r>
      <w:r>
        <w:t>is</w:t>
      </w:r>
      <w:r w:rsidR="006C6F09">
        <w:t xml:space="preserve"> </w:t>
      </w:r>
      <w:r>
        <w:t>available</w:t>
      </w:r>
      <w:r w:rsidR="006C6F09">
        <w:t xml:space="preserve"> </w:t>
      </w:r>
      <w:r>
        <w:t>online</w:t>
      </w:r>
      <w:r w:rsidR="006C6F09">
        <w:t xml:space="preserve"> </w:t>
      </w:r>
      <w:r>
        <w:t>at</w:t>
      </w:r>
      <w:r w:rsidR="006C6F09">
        <w:t xml:space="preserve"> </w:t>
      </w:r>
      <w:r w:rsidR="00EC1B68">
        <w:t>the</w:t>
      </w:r>
      <w:r w:rsidR="006C6F09">
        <w:t xml:space="preserve"> </w:t>
      </w:r>
      <w:hyperlink r:id="rId17" w:history="1">
        <w:r w:rsidRPr="0098473C">
          <w:rPr>
            <w:rStyle w:val="Hyperlink"/>
          </w:rPr>
          <w:t>Strategic</w:t>
        </w:r>
        <w:r w:rsidR="006C6F09">
          <w:rPr>
            <w:rStyle w:val="Hyperlink"/>
          </w:rPr>
          <w:t xml:space="preserve"> </w:t>
        </w:r>
        <w:r w:rsidRPr="0098473C">
          <w:rPr>
            <w:rStyle w:val="Hyperlink"/>
          </w:rPr>
          <w:t>Public</w:t>
        </w:r>
        <w:r w:rsidR="006C6F09">
          <w:rPr>
            <w:rStyle w:val="Hyperlink"/>
          </w:rPr>
          <w:t xml:space="preserve"> </w:t>
        </w:r>
        <w:r w:rsidRPr="0098473C">
          <w:rPr>
            <w:rStyle w:val="Hyperlink"/>
          </w:rPr>
          <w:t>Engagement</w:t>
        </w:r>
        <w:r w:rsidR="006C6F09">
          <w:rPr>
            <w:rStyle w:val="Hyperlink"/>
          </w:rPr>
          <w:t xml:space="preserve"> </w:t>
        </w:r>
        <w:r w:rsidRPr="0098473C">
          <w:rPr>
            <w:rStyle w:val="Hyperlink"/>
          </w:rPr>
          <w:t>Guidance</w:t>
        </w:r>
      </w:hyperlink>
      <w:r w:rsidRPr="0098473C">
        <w:t>.</w:t>
      </w:r>
    </w:p>
    <w:p w14:paraId="1BC1A988" w14:textId="259ABC94" w:rsidR="00457754" w:rsidRDefault="00457754" w:rsidP="00457754">
      <w:r>
        <w:t>While</w:t>
      </w:r>
      <w:r w:rsidR="006C6F09">
        <w:t xml:space="preserve"> </w:t>
      </w:r>
      <w:r>
        <w:t>project</w:t>
      </w:r>
      <w:r w:rsidR="006C6F09">
        <w:t xml:space="preserve"> </w:t>
      </w:r>
      <w:r>
        <w:t>sponsors</w:t>
      </w:r>
      <w:r w:rsidR="006C6F09">
        <w:t xml:space="preserve"> </w:t>
      </w:r>
      <w:r>
        <w:t>should</w:t>
      </w:r>
      <w:r w:rsidR="006C6F09">
        <w:t xml:space="preserve"> </w:t>
      </w:r>
      <w:r>
        <w:t>consider</w:t>
      </w:r>
      <w:r w:rsidR="006C6F09">
        <w:t xml:space="preserve"> </w:t>
      </w:r>
      <w:r>
        <w:t>implementing</w:t>
      </w:r>
      <w:r w:rsidR="006C6F09">
        <w:t xml:space="preserve"> </w:t>
      </w:r>
      <w:r>
        <w:t>any</w:t>
      </w:r>
      <w:r w:rsidR="006C6F09">
        <w:t xml:space="preserve"> </w:t>
      </w:r>
      <w:r>
        <w:t>suggestions</w:t>
      </w:r>
      <w:r w:rsidR="006C6F09">
        <w:t xml:space="preserve"> </w:t>
      </w:r>
      <w:r>
        <w:t>or</w:t>
      </w:r>
      <w:r w:rsidR="006C6F09">
        <w:t xml:space="preserve"> </w:t>
      </w:r>
      <w:r>
        <w:t>guidance</w:t>
      </w:r>
      <w:r w:rsidR="006C6F09">
        <w:t xml:space="preserve"> </w:t>
      </w:r>
      <w:r>
        <w:t>provided</w:t>
      </w:r>
      <w:r w:rsidR="006C6F09">
        <w:t xml:space="preserve"> </w:t>
      </w:r>
      <w:r>
        <w:t>by</w:t>
      </w:r>
      <w:r w:rsidR="006C6F09">
        <w:t xml:space="preserve"> </w:t>
      </w:r>
      <w:r>
        <w:t>TPP’s</w:t>
      </w:r>
      <w:r w:rsidR="006C6F09">
        <w:t xml:space="preserve"> </w:t>
      </w:r>
      <w:r>
        <w:t>PI</w:t>
      </w:r>
      <w:r w:rsidR="006C6F09">
        <w:t xml:space="preserve"> </w:t>
      </w:r>
      <w:r>
        <w:t>Section,</w:t>
      </w:r>
      <w:r w:rsidR="006C6F09">
        <w:t xml:space="preserve"> </w:t>
      </w:r>
      <w:r>
        <w:t>such</w:t>
      </w:r>
      <w:r w:rsidR="006C6F09">
        <w:t xml:space="preserve"> </w:t>
      </w:r>
      <w:r>
        <w:t>suggestions</w:t>
      </w:r>
      <w:r w:rsidR="006C6F09">
        <w:t xml:space="preserve"> </w:t>
      </w:r>
      <w:r>
        <w:t>or</w:t>
      </w:r>
      <w:r w:rsidR="006C6F09">
        <w:t xml:space="preserve"> </w:t>
      </w:r>
      <w:r>
        <w:t>guidance</w:t>
      </w:r>
      <w:r w:rsidR="006C6F09">
        <w:t xml:space="preserve"> </w:t>
      </w:r>
      <w:r>
        <w:t>do</w:t>
      </w:r>
      <w:r w:rsidR="006C6F09">
        <w:t xml:space="preserve"> </w:t>
      </w:r>
      <w:r>
        <w:t>not</w:t>
      </w:r>
      <w:r w:rsidR="006C6F09">
        <w:t xml:space="preserve"> </w:t>
      </w:r>
      <w:r>
        <w:t>alter</w:t>
      </w:r>
      <w:r w:rsidR="006C6F09">
        <w:t xml:space="preserve"> </w:t>
      </w:r>
      <w:r>
        <w:t>the</w:t>
      </w:r>
      <w:r w:rsidR="006C6F09">
        <w:t xml:space="preserve"> </w:t>
      </w:r>
      <w:r>
        <w:t>procedures</w:t>
      </w:r>
      <w:r w:rsidR="006C6F09">
        <w:t xml:space="preserve"> </w:t>
      </w:r>
      <w:r>
        <w:t>set</w:t>
      </w:r>
      <w:r w:rsidR="006C6F09">
        <w:t xml:space="preserve"> </w:t>
      </w:r>
      <w:r>
        <w:t>forth</w:t>
      </w:r>
      <w:r w:rsidR="006C6F09">
        <w:t xml:space="preserve"> </w:t>
      </w:r>
      <w:r>
        <w:t>in</w:t>
      </w:r>
      <w:r w:rsidR="006C6F09">
        <w:t xml:space="preserve"> </w:t>
      </w:r>
      <w:r>
        <w:t>this</w:t>
      </w:r>
      <w:r w:rsidR="006C6F09">
        <w:t xml:space="preserve"> </w:t>
      </w:r>
      <w:r>
        <w:t>Handbook,</w:t>
      </w:r>
      <w:r w:rsidR="006C6F09">
        <w:t xml:space="preserve"> </w:t>
      </w:r>
      <w:r>
        <w:t>which</w:t>
      </w:r>
      <w:r w:rsidR="006C6F09">
        <w:t xml:space="preserve"> </w:t>
      </w:r>
      <w:r>
        <w:t>must</w:t>
      </w:r>
      <w:r w:rsidR="006C6F09">
        <w:t xml:space="preserve"> </w:t>
      </w:r>
      <w:r>
        <w:t>be</w:t>
      </w:r>
      <w:r w:rsidR="006C6F09">
        <w:t xml:space="preserve"> </w:t>
      </w:r>
      <w:r>
        <w:t>complied</w:t>
      </w:r>
      <w:r w:rsidR="006C6F09">
        <w:t xml:space="preserve"> </w:t>
      </w:r>
      <w:r>
        <w:t>with</w:t>
      </w:r>
      <w:r w:rsidR="006C6F09">
        <w:t xml:space="preserve"> </w:t>
      </w:r>
      <w:r>
        <w:t>at</w:t>
      </w:r>
      <w:r w:rsidR="006C6F09">
        <w:t xml:space="preserve"> </w:t>
      </w:r>
      <w:r>
        <w:t>a</w:t>
      </w:r>
      <w:r w:rsidR="006C6F09">
        <w:t xml:space="preserve"> </w:t>
      </w:r>
      <w:r>
        <w:t>minimum</w:t>
      </w:r>
      <w:r w:rsidR="006C6F09">
        <w:t xml:space="preserve"> </w:t>
      </w:r>
      <w:r>
        <w:t>as</w:t>
      </w:r>
      <w:r w:rsidR="006C6F09">
        <w:t xml:space="preserve"> </w:t>
      </w:r>
      <w:r>
        <w:t>part</w:t>
      </w:r>
      <w:r w:rsidR="006C6F09">
        <w:t xml:space="preserve"> </w:t>
      </w:r>
      <w:r>
        <w:t>of</w:t>
      </w:r>
      <w:r w:rsidR="006C6F09">
        <w:t xml:space="preserve"> </w:t>
      </w:r>
      <w:r>
        <w:t>the</w:t>
      </w:r>
      <w:r w:rsidR="006C6F09">
        <w:t xml:space="preserve"> </w:t>
      </w:r>
      <w:r>
        <w:t>environmental</w:t>
      </w:r>
      <w:r w:rsidR="006C6F09">
        <w:t xml:space="preserve"> </w:t>
      </w:r>
      <w:r>
        <w:t>review</w:t>
      </w:r>
      <w:r w:rsidR="006C6F09">
        <w:t xml:space="preserve"> </w:t>
      </w:r>
      <w:r>
        <w:t>process.</w:t>
      </w:r>
      <w:r w:rsidR="006C6F09">
        <w:t xml:space="preserve"> </w:t>
      </w:r>
      <w:r>
        <w:t>And</w:t>
      </w:r>
      <w:r w:rsidR="006C6F09">
        <w:t xml:space="preserve"> </w:t>
      </w:r>
      <w:r>
        <w:t>because</w:t>
      </w:r>
      <w:r w:rsidR="006C6F09">
        <w:t xml:space="preserve"> </w:t>
      </w:r>
      <w:r>
        <w:t>TxDOT</w:t>
      </w:r>
      <w:r w:rsidR="006C6F09">
        <w:t xml:space="preserve"> </w:t>
      </w:r>
      <w:r>
        <w:t>has</w:t>
      </w:r>
      <w:r w:rsidR="006C6F09">
        <w:t xml:space="preserve"> </w:t>
      </w:r>
      <w:r>
        <w:t>committed</w:t>
      </w:r>
      <w:r w:rsidR="006C6F09">
        <w:t xml:space="preserve"> </w:t>
      </w:r>
      <w:r>
        <w:t>to</w:t>
      </w:r>
      <w:r w:rsidR="006C6F09">
        <w:t xml:space="preserve"> </w:t>
      </w:r>
      <w:r>
        <w:t>going</w:t>
      </w:r>
      <w:r w:rsidR="006C6F09">
        <w:t xml:space="preserve"> </w:t>
      </w:r>
      <w:r>
        <w:t>beyond</w:t>
      </w:r>
      <w:r w:rsidR="006C6F09">
        <w:t xml:space="preserve"> </w:t>
      </w:r>
      <w:r>
        <w:t>what</w:t>
      </w:r>
      <w:r w:rsidR="006C6F09">
        <w:t xml:space="preserve"> </w:t>
      </w:r>
      <w:r>
        <w:t>is</w:t>
      </w:r>
      <w:r w:rsidR="006C6F09">
        <w:t xml:space="preserve"> </w:t>
      </w:r>
      <w:r>
        <w:t>the</w:t>
      </w:r>
      <w:r w:rsidR="006C6F09">
        <w:t xml:space="preserve"> </w:t>
      </w:r>
      <w:r>
        <w:t>minimum</w:t>
      </w:r>
      <w:r w:rsidR="006C6F09">
        <w:t xml:space="preserve"> </w:t>
      </w:r>
      <w:r>
        <w:t>required</w:t>
      </w:r>
      <w:r w:rsidR="006C6F09">
        <w:t xml:space="preserve"> </w:t>
      </w:r>
      <w:r>
        <w:t>with</w:t>
      </w:r>
      <w:r w:rsidR="006C6F09">
        <w:t xml:space="preserve"> </w:t>
      </w:r>
      <w:r>
        <w:t>its</w:t>
      </w:r>
      <w:r w:rsidR="006C6F09">
        <w:t xml:space="preserve"> </w:t>
      </w:r>
      <w:r>
        <w:t>PI</w:t>
      </w:r>
      <w:r w:rsidR="006C6F09">
        <w:t xml:space="preserve"> </w:t>
      </w:r>
      <w:r>
        <w:t>program,</w:t>
      </w:r>
      <w:r w:rsidR="006C6F09">
        <w:t xml:space="preserve"> </w:t>
      </w:r>
      <w:r>
        <w:t>any</w:t>
      </w:r>
      <w:r w:rsidR="006C6F09">
        <w:t xml:space="preserve"> </w:t>
      </w:r>
      <w:r>
        <w:t>of</w:t>
      </w:r>
      <w:r w:rsidR="006C6F09">
        <w:t xml:space="preserve"> </w:t>
      </w:r>
      <w:r>
        <w:t>the</w:t>
      </w:r>
      <w:r w:rsidR="006C6F09">
        <w:t xml:space="preserve"> </w:t>
      </w:r>
      <w:r>
        <w:t>optional</w:t>
      </w:r>
      <w:r w:rsidR="006C6F09">
        <w:t xml:space="preserve"> </w:t>
      </w:r>
      <w:r>
        <w:t>items</w:t>
      </w:r>
      <w:r w:rsidR="006C6F09">
        <w:t xml:space="preserve"> </w:t>
      </w:r>
      <w:r>
        <w:t>listed</w:t>
      </w:r>
      <w:r w:rsidR="006C6F09">
        <w:t xml:space="preserve"> </w:t>
      </w:r>
      <w:r>
        <w:t>above</w:t>
      </w:r>
      <w:r w:rsidR="006C6F09">
        <w:t xml:space="preserve"> </w:t>
      </w:r>
      <w:r>
        <w:t>are</w:t>
      </w:r>
      <w:r w:rsidR="006C6F09">
        <w:t xml:space="preserve"> </w:t>
      </w:r>
      <w:r>
        <w:t>encouraged</w:t>
      </w:r>
      <w:r w:rsidR="006C6F09">
        <w:t xml:space="preserve"> </w:t>
      </w:r>
      <w:r>
        <w:t>as</w:t>
      </w:r>
      <w:r w:rsidR="006C6F09">
        <w:t xml:space="preserve"> </w:t>
      </w:r>
      <w:r>
        <w:t>appropriate</w:t>
      </w:r>
      <w:r w:rsidR="006C6F09">
        <w:t xml:space="preserve"> </w:t>
      </w:r>
      <w:r>
        <w:t>on</w:t>
      </w:r>
      <w:r w:rsidR="006C6F09">
        <w:t xml:space="preserve"> </w:t>
      </w:r>
      <w:r>
        <w:t>a</w:t>
      </w:r>
      <w:r w:rsidR="006C6F09">
        <w:t xml:space="preserve"> </w:t>
      </w:r>
      <w:r>
        <w:t>project-by-project</w:t>
      </w:r>
      <w:r w:rsidR="006C6F09">
        <w:t xml:space="preserve"> </w:t>
      </w:r>
      <w:r>
        <w:t>basis</w:t>
      </w:r>
      <w:r w:rsidR="006C6F09">
        <w:t xml:space="preserve"> </w:t>
      </w:r>
      <w:r>
        <w:t>to</w:t>
      </w:r>
      <w:r w:rsidR="006C6F09">
        <w:t xml:space="preserve"> </w:t>
      </w:r>
      <w:r>
        <w:t>enhance</w:t>
      </w:r>
      <w:r w:rsidR="006C6F09">
        <w:t xml:space="preserve"> </w:t>
      </w:r>
      <w:r>
        <w:t>the</w:t>
      </w:r>
      <w:r w:rsidR="006C6F09">
        <w:t xml:space="preserve"> </w:t>
      </w:r>
      <w:r>
        <w:t>outcome.</w:t>
      </w:r>
    </w:p>
    <w:p w14:paraId="6F918D5C" w14:textId="2838E4DB" w:rsidR="00457754" w:rsidRPr="002B5127" w:rsidRDefault="00457754" w:rsidP="00457754">
      <w:r>
        <w:t>TPP’s</w:t>
      </w:r>
      <w:r w:rsidR="006C6F09">
        <w:t xml:space="preserve"> </w:t>
      </w:r>
      <w:r>
        <w:t>PI</w:t>
      </w:r>
      <w:r w:rsidR="006C6F09">
        <w:t xml:space="preserve"> </w:t>
      </w:r>
      <w:r>
        <w:t>Section,</w:t>
      </w:r>
      <w:r w:rsidR="006C6F09">
        <w:t xml:space="preserve"> </w:t>
      </w:r>
      <w:r>
        <w:t>in</w:t>
      </w:r>
      <w:r w:rsidR="006C6F09">
        <w:t xml:space="preserve"> </w:t>
      </w:r>
      <w:r>
        <w:t>conjunction</w:t>
      </w:r>
      <w:r w:rsidR="006C6F09">
        <w:t xml:space="preserve"> </w:t>
      </w:r>
      <w:r>
        <w:t>with</w:t>
      </w:r>
      <w:r w:rsidR="006C6F09">
        <w:t xml:space="preserve"> </w:t>
      </w:r>
      <w:r>
        <w:t>TxDOT’s</w:t>
      </w:r>
      <w:r w:rsidR="006C6F09">
        <w:t xml:space="preserve"> </w:t>
      </w:r>
      <w:r>
        <w:t>Creative</w:t>
      </w:r>
      <w:r w:rsidR="006C6F09">
        <w:t xml:space="preserve"> </w:t>
      </w:r>
      <w:r>
        <w:t>Services</w:t>
      </w:r>
      <w:r w:rsidR="006C6F09">
        <w:t xml:space="preserve"> </w:t>
      </w:r>
      <w:r>
        <w:t>Division,</w:t>
      </w:r>
      <w:r w:rsidR="006C6F09">
        <w:t xml:space="preserve"> </w:t>
      </w:r>
      <w:r>
        <w:t>has</w:t>
      </w:r>
      <w:r w:rsidR="006C6F09">
        <w:t xml:space="preserve"> </w:t>
      </w:r>
      <w:r>
        <w:t>also</w:t>
      </w:r>
      <w:r w:rsidR="006C6F09">
        <w:t xml:space="preserve"> </w:t>
      </w:r>
      <w:r>
        <w:t>developed</w:t>
      </w:r>
      <w:r w:rsidR="006C6F09">
        <w:t xml:space="preserve"> </w:t>
      </w:r>
      <w:r>
        <w:t>a</w:t>
      </w:r>
      <w:r w:rsidR="006C6F09">
        <w:t xml:space="preserve"> </w:t>
      </w:r>
      <w:r>
        <w:t>Public</w:t>
      </w:r>
      <w:r w:rsidR="006C6F09">
        <w:t xml:space="preserve"> </w:t>
      </w:r>
      <w:r>
        <w:t>Involvement</w:t>
      </w:r>
      <w:r w:rsidR="006C6F09">
        <w:t xml:space="preserve"> </w:t>
      </w:r>
      <w:r>
        <w:t>Materials</w:t>
      </w:r>
      <w:r w:rsidR="006C6F09">
        <w:t xml:space="preserve"> </w:t>
      </w:r>
      <w:r>
        <w:t>Toolkit.</w:t>
      </w:r>
      <w:r w:rsidR="006C6F09">
        <w:t xml:space="preserve"> </w:t>
      </w:r>
      <w:r>
        <w:t>It</w:t>
      </w:r>
      <w:r w:rsidR="006C6F09">
        <w:t xml:space="preserve"> </w:t>
      </w:r>
      <w:r>
        <w:t>offers</w:t>
      </w:r>
      <w:r w:rsidR="006C6F09">
        <w:t xml:space="preserve"> </w:t>
      </w:r>
      <w:r>
        <w:t>a</w:t>
      </w:r>
      <w:r w:rsidR="006C6F09">
        <w:t xml:space="preserve"> </w:t>
      </w:r>
      <w:r>
        <w:t>full</w:t>
      </w:r>
      <w:r w:rsidR="006C6F09">
        <w:t xml:space="preserve"> </w:t>
      </w:r>
      <w:r>
        <w:t>library</w:t>
      </w:r>
      <w:r w:rsidR="006C6F09">
        <w:t xml:space="preserve"> </w:t>
      </w:r>
      <w:r>
        <w:t>of</w:t>
      </w:r>
      <w:r w:rsidR="006C6F09">
        <w:t xml:space="preserve"> </w:t>
      </w:r>
      <w:r>
        <w:t>fillable</w:t>
      </w:r>
      <w:r w:rsidR="006C6F09">
        <w:t xml:space="preserve"> </w:t>
      </w:r>
      <w:r>
        <w:t>public</w:t>
      </w:r>
      <w:r w:rsidR="006C6F09">
        <w:t xml:space="preserve"> </w:t>
      </w:r>
      <w:r>
        <w:t>involvement</w:t>
      </w:r>
      <w:r w:rsidR="006C6F09">
        <w:t xml:space="preserve"> </w:t>
      </w:r>
      <w:r>
        <w:t>templates</w:t>
      </w:r>
      <w:r w:rsidR="006C6F09">
        <w:t xml:space="preserve"> </w:t>
      </w:r>
      <w:r>
        <w:t>that</w:t>
      </w:r>
      <w:r w:rsidR="006C6F09">
        <w:t xml:space="preserve"> </w:t>
      </w:r>
      <w:r>
        <w:t>offer</w:t>
      </w:r>
      <w:r w:rsidR="006C6F09">
        <w:t xml:space="preserve"> </w:t>
      </w:r>
      <w:r>
        <w:t>approved</w:t>
      </w:r>
      <w:r w:rsidR="006C6F09">
        <w:t xml:space="preserve"> </w:t>
      </w:r>
      <w:r>
        <w:t>English</w:t>
      </w:r>
      <w:r w:rsidR="006C6F09">
        <w:t xml:space="preserve"> </w:t>
      </w:r>
      <w:r>
        <w:t>and</w:t>
      </w:r>
      <w:r w:rsidR="006C6F09">
        <w:t xml:space="preserve"> </w:t>
      </w:r>
      <w:r>
        <w:t>Spanish</w:t>
      </w:r>
      <w:r w:rsidR="006C6F09">
        <w:t xml:space="preserve"> </w:t>
      </w:r>
      <w:r>
        <w:t>branding</w:t>
      </w:r>
      <w:r w:rsidR="006C6F09">
        <w:t xml:space="preserve"> </w:t>
      </w:r>
      <w:r>
        <w:t>and</w:t>
      </w:r>
      <w:r w:rsidR="006C6F09">
        <w:t xml:space="preserve"> </w:t>
      </w:r>
      <w:r>
        <w:t>agency-wide</w:t>
      </w:r>
      <w:r w:rsidR="006C6F09">
        <w:t xml:space="preserve"> </w:t>
      </w:r>
      <w:r>
        <w:t>consistency</w:t>
      </w:r>
      <w:r w:rsidR="006C6F09">
        <w:t xml:space="preserve"> </w:t>
      </w:r>
      <w:r>
        <w:t>and</w:t>
      </w:r>
      <w:r w:rsidR="006C6F09">
        <w:t xml:space="preserve"> </w:t>
      </w:r>
      <w:r>
        <w:t>that</w:t>
      </w:r>
      <w:r w:rsidR="006C6F09">
        <w:t xml:space="preserve"> </w:t>
      </w:r>
      <w:r>
        <w:t>can</w:t>
      </w:r>
      <w:r w:rsidR="006C6F09">
        <w:t xml:space="preserve"> </w:t>
      </w:r>
      <w:r>
        <w:t>be</w:t>
      </w:r>
      <w:r w:rsidR="006C6F09">
        <w:t xml:space="preserve"> </w:t>
      </w:r>
      <w:r>
        <w:t>used</w:t>
      </w:r>
      <w:r w:rsidR="006C6F09">
        <w:t xml:space="preserve"> </w:t>
      </w:r>
      <w:r>
        <w:t>on</w:t>
      </w:r>
      <w:r w:rsidR="006C6F09">
        <w:t xml:space="preserve"> </w:t>
      </w:r>
      <w:r>
        <w:t>environmental</w:t>
      </w:r>
      <w:r w:rsidR="006C6F09">
        <w:t xml:space="preserve"> </w:t>
      </w:r>
      <w:r>
        <w:t>review-related</w:t>
      </w:r>
      <w:r w:rsidR="006C6F09">
        <w:t xml:space="preserve"> </w:t>
      </w:r>
      <w:r>
        <w:t>public</w:t>
      </w:r>
      <w:r w:rsidR="006C6F09">
        <w:t xml:space="preserve"> </w:t>
      </w:r>
      <w:r>
        <w:t>outreach.</w:t>
      </w:r>
      <w:r w:rsidR="006C6F09">
        <w:t xml:space="preserve"> </w:t>
      </w:r>
      <w:r>
        <w:t>TPP’s</w:t>
      </w:r>
      <w:r w:rsidR="006C6F09">
        <w:t xml:space="preserve"> </w:t>
      </w:r>
      <w:r>
        <w:t>Public</w:t>
      </w:r>
      <w:r w:rsidR="006C6F09">
        <w:t xml:space="preserve"> </w:t>
      </w:r>
      <w:r>
        <w:t>Involvement</w:t>
      </w:r>
      <w:r w:rsidR="006C6F09">
        <w:t xml:space="preserve"> </w:t>
      </w:r>
      <w:r>
        <w:t>Materials</w:t>
      </w:r>
      <w:r w:rsidR="006C6F09">
        <w:t xml:space="preserve"> </w:t>
      </w:r>
      <w:r>
        <w:t>Toolkit</w:t>
      </w:r>
      <w:r w:rsidR="006C6F09">
        <w:t xml:space="preserve"> </w:t>
      </w:r>
      <w:r>
        <w:t>is</w:t>
      </w:r>
      <w:r w:rsidR="006C6F09">
        <w:t xml:space="preserve"> </w:t>
      </w:r>
      <w:r>
        <w:t>available</w:t>
      </w:r>
      <w:r w:rsidR="006C6F09">
        <w:t xml:space="preserve"> </w:t>
      </w:r>
      <w:r w:rsidR="002B5127">
        <w:t>on</w:t>
      </w:r>
      <w:r w:rsidR="006C6F09">
        <w:t xml:space="preserve"> </w:t>
      </w:r>
      <w:r w:rsidR="002B5127">
        <w:t>the</w:t>
      </w:r>
      <w:r w:rsidR="006C6F09">
        <w:t xml:space="preserve"> </w:t>
      </w:r>
      <w:r w:rsidR="002B5127">
        <w:t>PI</w:t>
      </w:r>
      <w:r w:rsidR="006C6F09">
        <w:t xml:space="preserve"> </w:t>
      </w:r>
      <w:r w:rsidR="002B5127">
        <w:t>Section’s</w:t>
      </w:r>
      <w:r w:rsidR="006C6F09">
        <w:t xml:space="preserve"> </w:t>
      </w:r>
      <w:r w:rsidR="00882CDC" w:rsidRPr="00882CDC">
        <w:t>Share</w:t>
      </w:r>
      <w:r w:rsidR="00A077D2">
        <w:t>P</w:t>
      </w:r>
      <w:r w:rsidR="00882CDC" w:rsidRPr="00882CDC">
        <w:t>oint</w:t>
      </w:r>
      <w:r w:rsidR="006C6F09">
        <w:t xml:space="preserve"> </w:t>
      </w:r>
      <w:r w:rsidR="00882CDC" w:rsidRPr="00882CDC">
        <w:t>site</w:t>
      </w:r>
      <w:r w:rsidR="006C6F09">
        <w:t xml:space="preserve"> </w:t>
      </w:r>
      <w:r w:rsidR="00882CDC" w:rsidRPr="00882CDC">
        <w:t>at</w:t>
      </w:r>
      <w:r w:rsidR="006C6F09">
        <w:t xml:space="preserve"> </w:t>
      </w:r>
      <w:hyperlink r:id="rId18" w:history="1">
        <w:r w:rsidR="00882CDC" w:rsidRPr="00882CDC">
          <w:rPr>
            <w:rStyle w:val="Hyperlink"/>
            <w:rFonts w:cstheme="minorBidi"/>
          </w:rPr>
          <w:t>Toolkits</w:t>
        </w:r>
        <w:r w:rsidR="006C6F09">
          <w:rPr>
            <w:rStyle w:val="Hyperlink"/>
            <w:rFonts w:cstheme="minorBidi"/>
          </w:rPr>
          <w:t xml:space="preserve"> </w:t>
        </w:r>
        <w:r w:rsidR="00882CDC" w:rsidRPr="00882CDC">
          <w:rPr>
            <w:rStyle w:val="Hyperlink"/>
            <w:rFonts w:cstheme="minorBidi"/>
          </w:rPr>
          <w:t>and</w:t>
        </w:r>
        <w:r w:rsidR="006C6F09">
          <w:rPr>
            <w:rStyle w:val="Hyperlink"/>
            <w:rFonts w:cstheme="minorBidi"/>
          </w:rPr>
          <w:t xml:space="preserve"> </w:t>
        </w:r>
        <w:r w:rsidR="00882CDC" w:rsidRPr="00882CDC">
          <w:rPr>
            <w:rStyle w:val="Hyperlink"/>
            <w:rFonts w:cstheme="minorBidi"/>
          </w:rPr>
          <w:t>Templates</w:t>
        </w:r>
      </w:hyperlink>
      <w:r w:rsidR="006C6F09">
        <w:t xml:space="preserve"> </w:t>
      </w:r>
      <w:r w:rsidR="002B5127">
        <w:t>(English),</w:t>
      </w:r>
      <w:r w:rsidR="006C6F09">
        <w:t xml:space="preserve"> </w:t>
      </w:r>
      <w:r w:rsidR="00882CDC" w:rsidRPr="00882CDC">
        <w:t>(accessible</w:t>
      </w:r>
      <w:r w:rsidR="006C6F09">
        <w:t xml:space="preserve"> </w:t>
      </w:r>
      <w:r w:rsidR="00882CDC" w:rsidRPr="00882CDC">
        <w:t>by</w:t>
      </w:r>
      <w:r w:rsidR="006C6F09">
        <w:t xml:space="preserve"> </w:t>
      </w:r>
      <w:r w:rsidR="00882CDC" w:rsidRPr="00882CDC">
        <w:t>TxDOT</w:t>
      </w:r>
      <w:r w:rsidR="006C6F09">
        <w:t xml:space="preserve"> </w:t>
      </w:r>
      <w:r w:rsidR="00882CDC" w:rsidRPr="00882CDC">
        <w:t>staff</w:t>
      </w:r>
      <w:r w:rsidR="006C6F09">
        <w:t xml:space="preserve"> </w:t>
      </w:r>
      <w:r w:rsidR="00882CDC" w:rsidRPr="00882CDC">
        <w:t>only)</w:t>
      </w:r>
      <w:r w:rsidR="00DE5460">
        <w:t>,</w:t>
      </w:r>
      <w:r w:rsidR="006C6F09">
        <w:t xml:space="preserve"> </w:t>
      </w:r>
      <w:r w:rsidRPr="002B5127">
        <w:rPr>
          <w:rFonts w:ascii="Verdana" w:hAnsi="Verdana"/>
        </w:rPr>
        <w:t>or</w:t>
      </w:r>
      <w:r w:rsidR="006C6F09">
        <w:rPr>
          <w:rFonts w:ascii="Verdana" w:hAnsi="Verdana"/>
        </w:rPr>
        <w:t xml:space="preserve"> </w:t>
      </w:r>
      <w:hyperlink r:id="rId19" w:history="1">
        <w:r w:rsidRPr="003C2C54">
          <w:rPr>
            <w:rStyle w:val="Hyperlink"/>
            <w:rFonts w:ascii="Verdana" w:hAnsi="Verdana"/>
          </w:rPr>
          <w:t>Kit</w:t>
        </w:r>
        <w:r w:rsidR="006C6F09" w:rsidRPr="003C2C54">
          <w:rPr>
            <w:rStyle w:val="Hyperlink"/>
            <w:rFonts w:ascii="Verdana" w:hAnsi="Verdana"/>
          </w:rPr>
          <w:t xml:space="preserve"> </w:t>
        </w:r>
        <w:r w:rsidRPr="003C2C54">
          <w:rPr>
            <w:rStyle w:val="Hyperlink"/>
            <w:rFonts w:ascii="Verdana" w:hAnsi="Verdana"/>
          </w:rPr>
          <w:t>de</w:t>
        </w:r>
        <w:r w:rsidR="006C6F09" w:rsidRPr="003C2C54">
          <w:rPr>
            <w:rStyle w:val="Hyperlink"/>
            <w:rFonts w:ascii="Verdana" w:hAnsi="Verdana"/>
          </w:rPr>
          <w:t xml:space="preserve"> </w:t>
        </w:r>
        <w:proofErr w:type="spellStart"/>
        <w:r w:rsidRPr="003C2C54">
          <w:rPr>
            <w:rStyle w:val="Hyperlink"/>
            <w:rFonts w:ascii="Verdana" w:hAnsi="Verdana"/>
          </w:rPr>
          <w:t>materiales</w:t>
        </w:r>
        <w:proofErr w:type="spellEnd"/>
        <w:r w:rsidR="006C6F09" w:rsidRPr="003C2C54">
          <w:rPr>
            <w:rStyle w:val="Hyperlink"/>
            <w:rFonts w:ascii="Verdana" w:hAnsi="Verdana"/>
          </w:rPr>
          <w:t xml:space="preserve"> </w:t>
        </w:r>
        <w:r w:rsidRPr="003C2C54">
          <w:rPr>
            <w:rStyle w:val="Hyperlink"/>
            <w:rFonts w:ascii="Verdana" w:hAnsi="Verdana"/>
          </w:rPr>
          <w:t>para</w:t>
        </w:r>
        <w:r w:rsidR="006C6F09" w:rsidRPr="003C2C54">
          <w:rPr>
            <w:rStyle w:val="Hyperlink"/>
            <w:rFonts w:ascii="Verdana" w:hAnsi="Verdana"/>
          </w:rPr>
          <w:t xml:space="preserve"> </w:t>
        </w:r>
        <w:r w:rsidRPr="003C2C54">
          <w:rPr>
            <w:rStyle w:val="Hyperlink"/>
            <w:rFonts w:ascii="Verdana" w:hAnsi="Verdana"/>
          </w:rPr>
          <w:t>la</w:t>
        </w:r>
        <w:r w:rsidR="006C6F09" w:rsidRPr="003C2C54">
          <w:rPr>
            <w:rStyle w:val="Hyperlink"/>
            <w:rFonts w:ascii="Verdana" w:hAnsi="Verdana"/>
          </w:rPr>
          <w:t xml:space="preserve"> </w:t>
        </w:r>
        <w:proofErr w:type="spellStart"/>
        <w:r w:rsidRPr="003C2C54">
          <w:rPr>
            <w:rStyle w:val="Hyperlink"/>
            <w:rFonts w:ascii="Verdana" w:hAnsi="Verdana"/>
          </w:rPr>
          <w:t>participación</w:t>
        </w:r>
        <w:proofErr w:type="spellEnd"/>
        <w:r w:rsidR="006C6F09" w:rsidRPr="003C2C54">
          <w:rPr>
            <w:rStyle w:val="Hyperlink"/>
            <w:rFonts w:ascii="Verdana" w:hAnsi="Verdana"/>
          </w:rPr>
          <w:t xml:space="preserve"> </w:t>
        </w:r>
        <w:proofErr w:type="spellStart"/>
        <w:r w:rsidRPr="003C2C54">
          <w:rPr>
            <w:rStyle w:val="Hyperlink"/>
            <w:rFonts w:ascii="Verdana" w:hAnsi="Verdana"/>
          </w:rPr>
          <w:t>pública</w:t>
        </w:r>
        <w:proofErr w:type="spellEnd"/>
        <w:r w:rsidR="006C6F09" w:rsidRPr="003C2C54">
          <w:rPr>
            <w:rStyle w:val="Hyperlink"/>
            <w:rFonts w:ascii="Verdana" w:hAnsi="Verdana"/>
          </w:rPr>
          <w:t xml:space="preserve"> </w:t>
        </w:r>
        <w:proofErr w:type="spellStart"/>
        <w:r w:rsidRPr="003C2C54">
          <w:rPr>
            <w:rStyle w:val="Hyperlink"/>
            <w:rFonts w:ascii="Verdana" w:hAnsi="Verdana"/>
          </w:rPr>
          <w:t>en</w:t>
        </w:r>
        <w:proofErr w:type="spellEnd"/>
        <w:r w:rsidR="006C6F09" w:rsidRPr="003C2C54">
          <w:rPr>
            <w:rStyle w:val="Hyperlink"/>
            <w:rFonts w:ascii="Verdana" w:hAnsi="Verdana"/>
          </w:rPr>
          <w:t xml:space="preserve"> </w:t>
        </w:r>
        <w:proofErr w:type="spellStart"/>
        <w:r w:rsidRPr="003C2C54">
          <w:rPr>
            <w:rStyle w:val="Hyperlink"/>
            <w:rFonts w:ascii="Verdana" w:hAnsi="Verdana"/>
          </w:rPr>
          <w:t>el</w:t>
        </w:r>
        <w:proofErr w:type="spellEnd"/>
        <w:r w:rsidR="006C6F09" w:rsidRPr="003C2C54">
          <w:rPr>
            <w:rStyle w:val="Hyperlink"/>
            <w:rFonts w:ascii="Verdana" w:hAnsi="Verdana"/>
          </w:rPr>
          <w:t xml:space="preserve"> </w:t>
        </w:r>
        <w:r w:rsidRPr="003C2C54">
          <w:rPr>
            <w:rStyle w:val="Hyperlink"/>
            <w:rFonts w:ascii="Verdana" w:hAnsi="Verdana"/>
          </w:rPr>
          <w:t>TPP</w:t>
        </w:r>
        <w:r w:rsidR="006C6F09" w:rsidRPr="003C2C54">
          <w:rPr>
            <w:rStyle w:val="Hyperlink"/>
            <w:rFonts w:ascii="Verdana" w:hAnsi="Verdana"/>
          </w:rPr>
          <w:t xml:space="preserve"> </w:t>
        </w:r>
        <w:r w:rsidRPr="003C2C54">
          <w:rPr>
            <w:rStyle w:val="Hyperlink"/>
            <w:rFonts w:ascii="Verdana" w:hAnsi="Verdana"/>
          </w:rPr>
          <w:t>-</w:t>
        </w:r>
        <w:r w:rsidR="006C6F09" w:rsidRPr="003C2C54">
          <w:rPr>
            <w:rStyle w:val="Hyperlink"/>
            <w:rFonts w:ascii="Verdana" w:hAnsi="Verdana"/>
          </w:rPr>
          <w:t xml:space="preserve"> </w:t>
        </w:r>
        <w:r w:rsidRPr="003C2C54">
          <w:rPr>
            <w:rStyle w:val="Hyperlink"/>
            <w:rFonts w:ascii="Verdana" w:hAnsi="Verdana"/>
          </w:rPr>
          <w:t>Español</w:t>
        </w:r>
      </w:hyperlink>
      <w:r w:rsidR="006C6F09" w:rsidRPr="003C2C54">
        <w:t xml:space="preserve"> </w:t>
      </w:r>
      <w:r w:rsidRPr="002B5127">
        <w:t>(Spanish).</w:t>
      </w:r>
    </w:p>
    <w:p w14:paraId="3DE90326" w14:textId="51F8F8DA" w:rsidR="00457754" w:rsidRPr="00CE022B" w:rsidRDefault="00457754" w:rsidP="00457754">
      <w:pPr>
        <w:pStyle w:val="Heading3"/>
      </w:pPr>
      <w:bookmarkStart w:id="15" w:name="_Toc224026196"/>
      <w:r w:rsidRPr="00CE022B">
        <w:t>1.3</w:t>
      </w:r>
      <w:r w:rsidR="006C6F09" w:rsidRPr="00CE022B">
        <w:t xml:space="preserve"> </w:t>
      </w:r>
      <w:r w:rsidRPr="00CE022B">
        <w:t>Applicable</w:t>
      </w:r>
      <w:r w:rsidR="006C6F09" w:rsidRPr="00CE022B">
        <w:t xml:space="preserve"> </w:t>
      </w:r>
      <w:r w:rsidRPr="00CE022B">
        <w:t>Project</w:t>
      </w:r>
      <w:r w:rsidR="006C6F09" w:rsidRPr="00CE022B">
        <w:t xml:space="preserve"> </w:t>
      </w:r>
      <w:r w:rsidRPr="00CE022B">
        <w:t>Types</w:t>
      </w:r>
      <w:bookmarkEnd w:id="15"/>
      <w:r w:rsidR="006C6F09" w:rsidRPr="00CE022B">
        <w:t xml:space="preserve"> </w:t>
      </w:r>
    </w:p>
    <w:p w14:paraId="2F2AA50B" w14:textId="70DC5920" w:rsidR="00457754" w:rsidRDefault="00457754" w:rsidP="00457754">
      <w:r w:rsidRPr="00A42647">
        <w:t>Public</w:t>
      </w:r>
      <w:r w:rsidR="006C6F09">
        <w:t xml:space="preserve"> </w:t>
      </w:r>
      <w:r w:rsidRPr="00A42647">
        <w:t>involvement</w:t>
      </w:r>
      <w:r w:rsidR="006C6F09">
        <w:t xml:space="preserve"> </w:t>
      </w:r>
      <w:r w:rsidRPr="00A42647">
        <w:t>is</w:t>
      </w:r>
      <w:r w:rsidR="006C6F09">
        <w:t xml:space="preserve"> </w:t>
      </w:r>
      <w:r w:rsidRPr="00A42647">
        <w:t>applicable</w:t>
      </w:r>
      <w:r w:rsidR="006C6F09">
        <w:t xml:space="preserve"> </w:t>
      </w:r>
      <w:r w:rsidRPr="00A42647">
        <w:t>to</w:t>
      </w:r>
      <w:r w:rsidR="006C6F09">
        <w:t xml:space="preserve"> </w:t>
      </w:r>
      <w:r w:rsidRPr="00A42647">
        <w:t>all</w:t>
      </w:r>
      <w:r w:rsidR="006C6F09">
        <w:t xml:space="preserve"> </w:t>
      </w:r>
      <w:r w:rsidRPr="00A42647">
        <w:t>project</w:t>
      </w:r>
      <w:r w:rsidR="006C6F09">
        <w:t xml:space="preserve"> </w:t>
      </w:r>
      <w:r w:rsidRPr="00A42647">
        <w:t>types</w:t>
      </w:r>
      <w:r w:rsidR="006C6F09">
        <w:t xml:space="preserve"> </w:t>
      </w:r>
      <w:r w:rsidRPr="00A42647">
        <w:t>and</w:t>
      </w:r>
      <w:r w:rsidR="006C6F09">
        <w:t xml:space="preserve"> </w:t>
      </w:r>
      <w:r w:rsidRPr="00A42647">
        <w:t>is</w:t>
      </w:r>
      <w:r w:rsidR="006C6F09">
        <w:t xml:space="preserve"> </w:t>
      </w:r>
      <w:r w:rsidRPr="00A42647">
        <w:t>encouraged</w:t>
      </w:r>
      <w:r w:rsidR="006C6F09">
        <w:t xml:space="preserve"> </w:t>
      </w:r>
      <w:r w:rsidRPr="00A42647">
        <w:t>as</w:t>
      </w:r>
      <w:r w:rsidR="006C6F09">
        <w:t xml:space="preserve"> </w:t>
      </w:r>
      <w:r w:rsidRPr="00A42647">
        <w:t>an</w:t>
      </w:r>
      <w:r w:rsidR="006C6F09">
        <w:t xml:space="preserve"> </w:t>
      </w:r>
      <w:r w:rsidRPr="00A42647">
        <w:t>opportunity</w:t>
      </w:r>
      <w:r w:rsidR="006C6F09">
        <w:t xml:space="preserve"> </w:t>
      </w:r>
      <w:r w:rsidRPr="00A42647">
        <w:t>for</w:t>
      </w:r>
      <w:r w:rsidR="006C6F09">
        <w:t xml:space="preserve"> </w:t>
      </w:r>
      <w:r w:rsidRPr="00A42647">
        <w:t>the</w:t>
      </w:r>
      <w:r w:rsidR="006C6F09">
        <w:t xml:space="preserve"> </w:t>
      </w:r>
      <w:r w:rsidRPr="00A42647">
        <w:t>public</w:t>
      </w:r>
      <w:r w:rsidR="006C6F09">
        <w:t xml:space="preserve"> </w:t>
      </w:r>
      <w:r w:rsidRPr="00A42647">
        <w:t>to</w:t>
      </w:r>
      <w:r w:rsidR="006C6F09">
        <w:t xml:space="preserve"> </w:t>
      </w:r>
      <w:r w:rsidRPr="00A42647">
        <w:t>engage</w:t>
      </w:r>
      <w:r w:rsidR="006C6F09">
        <w:t xml:space="preserve"> </w:t>
      </w:r>
      <w:r w:rsidRPr="00A42647">
        <w:t>with</w:t>
      </w:r>
      <w:r w:rsidR="006C6F09">
        <w:t xml:space="preserve"> </w:t>
      </w:r>
      <w:r w:rsidRPr="00A42647">
        <w:t>TxDOT.</w:t>
      </w:r>
      <w:r w:rsidR="006C6F09">
        <w:t xml:space="preserve"> </w:t>
      </w:r>
      <w:r w:rsidRPr="00A42647">
        <w:t>Staff</w:t>
      </w:r>
      <w:r w:rsidR="006C6F09">
        <w:t xml:space="preserve"> </w:t>
      </w:r>
      <w:r w:rsidRPr="00A42647">
        <w:t>should</w:t>
      </w:r>
      <w:r w:rsidR="006C6F09">
        <w:t xml:space="preserve"> </w:t>
      </w:r>
      <w:r w:rsidRPr="00A42647">
        <w:t>work</w:t>
      </w:r>
      <w:r w:rsidR="006C6F09">
        <w:t xml:space="preserve"> </w:t>
      </w:r>
      <w:r w:rsidRPr="00A42647">
        <w:t>to</w:t>
      </w:r>
      <w:r w:rsidR="006C6F09">
        <w:t xml:space="preserve"> </w:t>
      </w:r>
      <w:r w:rsidRPr="00A42647">
        <w:t>ensure</w:t>
      </w:r>
      <w:r w:rsidR="006C6F09">
        <w:t xml:space="preserve"> </w:t>
      </w:r>
      <w:r w:rsidRPr="00A42647">
        <w:lastRenderedPageBreak/>
        <w:t>the</w:t>
      </w:r>
      <w:r w:rsidR="006C6F09">
        <w:t xml:space="preserve"> </w:t>
      </w:r>
      <w:r w:rsidRPr="00A42647">
        <w:t>public</w:t>
      </w:r>
      <w:r w:rsidR="006C6F09">
        <w:t xml:space="preserve"> </w:t>
      </w:r>
      <w:r w:rsidRPr="00A42647">
        <w:t>feels</w:t>
      </w:r>
      <w:r w:rsidR="006C6F09">
        <w:t xml:space="preserve"> </w:t>
      </w:r>
      <w:r w:rsidRPr="00A42647">
        <w:t>their</w:t>
      </w:r>
      <w:r w:rsidR="006C6F09">
        <w:t xml:space="preserve"> </w:t>
      </w:r>
      <w:r w:rsidRPr="00A42647">
        <w:t>views</w:t>
      </w:r>
      <w:r w:rsidR="006C6F09">
        <w:t xml:space="preserve"> </w:t>
      </w:r>
      <w:r w:rsidRPr="00A42647">
        <w:t>and</w:t>
      </w:r>
      <w:r w:rsidR="006C6F09">
        <w:t xml:space="preserve"> </w:t>
      </w:r>
      <w:r w:rsidRPr="00A42647">
        <w:t>opinions</w:t>
      </w:r>
      <w:r w:rsidR="006C6F09">
        <w:t xml:space="preserve"> </w:t>
      </w:r>
      <w:r w:rsidRPr="00A42647">
        <w:t>are</w:t>
      </w:r>
      <w:r w:rsidR="006C6F09">
        <w:t xml:space="preserve"> </w:t>
      </w:r>
      <w:r w:rsidRPr="00A42647">
        <w:t>considered</w:t>
      </w:r>
      <w:r w:rsidR="006C6F09">
        <w:t xml:space="preserve"> </w:t>
      </w:r>
      <w:r w:rsidRPr="00A42647">
        <w:t>and</w:t>
      </w:r>
      <w:r w:rsidR="006C6F09">
        <w:t xml:space="preserve"> </w:t>
      </w:r>
      <w:r w:rsidRPr="00A42647">
        <w:t>valued.</w:t>
      </w:r>
      <w:r w:rsidR="006C6F09">
        <w:t xml:space="preserve"> </w:t>
      </w:r>
      <w:r w:rsidRPr="00A42647">
        <w:t>Although</w:t>
      </w:r>
      <w:r w:rsidR="006C6F09">
        <w:t xml:space="preserve"> </w:t>
      </w:r>
      <w:r w:rsidRPr="00A42647">
        <w:t>the</w:t>
      </w:r>
      <w:r w:rsidR="006C6F09">
        <w:t xml:space="preserve"> </w:t>
      </w:r>
      <w:r w:rsidRPr="00A42647">
        <w:t>level</w:t>
      </w:r>
      <w:r w:rsidR="006C6F09">
        <w:t xml:space="preserve"> </w:t>
      </w:r>
      <w:r w:rsidRPr="00A42647">
        <w:t>of</w:t>
      </w:r>
      <w:r w:rsidR="006C6F09">
        <w:t xml:space="preserve"> </w:t>
      </w:r>
      <w:r w:rsidRPr="00A42647">
        <w:t>public</w:t>
      </w:r>
      <w:r w:rsidR="006C6F09">
        <w:t xml:space="preserve"> </w:t>
      </w:r>
      <w:r w:rsidRPr="00A42647">
        <w:t>involvement</w:t>
      </w:r>
      <w:r w:rsidR="006C6F09">
        <w:t xml:space="preserve"> </w:t>
      </w:r>
      <w:r w:rsidRPr="00A42647">
        <w:t>required</w:t>
      </w:r>
      <w:r w:rsidR="006C6F09">
        <w:t xml:space="preserve"> </w:t>
      </w:r>
      <w:r w:rsidRPr="00A42647">
        <w:t>depends</w:t>
      </w:r>
      <w:r w:rsidR="006C6F09">
        <w:t xml:space="preserve"> </w:t>
      </w:r>
      <w:r w:rsidRPr="00A42647">
        <w:t>upon</w:t>
      </w:r>
      <w:r w:rsidR="006C6F09">
        <w:t xml:space="preserve"> </w:t>
      </w:r>
      <w:r w:rsidRPr="00A42647">
        <w:t>the</w:t>
      </w:r>
      <w:r w:rsidR="006C6F09">
        <w:t xml:space="preserve"> </w:t>
      </w:r>
      <w:r w:rsidRPr="00A42647">
        <w:t>type</w:t>
      </w:r>
      <w:r w:rsidR="006C6F09">
        <w:t xml:space="preserve"> </w:t>
      </w:r>
      <w:r w:rsidRPr="00A42647">
        <w:t>and</w:t>
      </w:r>
      <w:r w:rsidR="006C6F09">
        <w:t xml:space="preserve"> </w:t>
      </w:r>
      <w:r w:rsidRPr="00A42647">
        <w:t>complexity</w:t>
      </w:r>
      <w:r w:rsidR="006C6F09">
        <w:t xml:space="preserve"> </w:t>
      </w:r>
      <w:r w:rsidRPr="00A42647">
        <w:t>of</w:t>
      </w:r>
      <w:r w:rsidR="006C6F09">
        <w:t xml:space="preserve"> </w:t>
      </w:r>
      <w:r w:rsidRPr="00A42647">
        <w:t>the</w:t>
      </w:r>
      <w:r w:rsidR="006C6F09">
        <w:t xml:space="preserve"> </w:t>
      </w:r>
      <w:r w:rsidRPr="00A42647">
        <w:t>project,</w:t>
      </w:r>
      <w:r w:rsidR="006C6F09">
        <w:t xml:space="preserve"> </w:t>
      </w:r>
      <w:r w:rsidRPr="00A42647">
        <w:t>public</w:t>
      </w:r>
      <w:r w:rsidR="006C6F09">
        <w:t xml:space="preserve"> </w:t>
      </w:r>
      <w:r w:rsidRPr="00A42647">
        <w:t>concerns,</w:t>
      </w:r>
      <w:r w:rsidR="006C6F09">
        <w:t xml:space="preserve"> </w:t>
      </w:r>
      <w:r w:rsidRPr="00A42647">
        <w:t>and</w:t>
      </w:r>
      <w:r w:rsidR="006C6F09">
        <w:t xml:space="preserve"> </w:t>
      </w:r>
      <w:r w:rsidRPr="00A42647">
        <w:t>or</w:t>
      </w:r>
      <w:r w:rsidR="006C6F09">
        <w:t xml:space="preserve"> </w:t>
      </w:r>
      <w:r w:rsidRPr="00A42647">
        <w:t>associated</w:t>
      </w:r>
      <w:r w:rsidR="006C6F09">
        <w:t xml:space="preserve"> </w:t>
      </w:r>
      <w:r w:rsidRPr="00A42647">
        <w:t>social,</w:t>
      </w:r>
      <w:r w:rsidR="006C6F09">
        <w:t xml:space="preserve"> </w:t>
      </w:r>
      <w:r w:rsidRPr="00A42647">
        <w:t>economic,</w:t>
      </w:r>
      <w:r w:rsidR="006C6F09">
        <w:t xml:space="preserve"> </w:t>
      </w:r>
      <w:r w:rsidRPr="00A42647">
        <w:t>and</w:t>
      </w:r>
      <w:r w:rsidR="006C6F09">
        <w:t xml:space="preserve"> </w:t>
      </w:r>
      <w:r w:rsidRPr="00A42647">
        <w:t>environmental</w:t>
      </w:r>
      <w:r w:rsidR="006C6F09">
        <w:t xml:space="preserve"> </w:t>
      </w:r>
      <w:r w:rsidRPr="00A42647">
        <w:t>factors,</w:t>
      </w:r>
      <w:r w:rsidR="006C6F09">
        <w:t xml:space="preserve"> </w:t>
      </w:r>
      <w:r w:rsidRPr="00A42647">
        <w:t>all</w:t>
      </w:r>
      <w:r w:rsidR="006C6F09">
        <w:t xml:space="preserve"> </w:t>
      </w:r>
      <w:r w:rsidRPr="00A42647">
        <w:t>efforts</w:t>
      </w:r>
      <w:r w:rsidR="006C6F09">
        <w:t xml:space="preserve"> </w:t>
      </w:r>
      <w:r w:rsidRPr="00A42647">
        <w:t>should</w:t>
      </w:r>
      <w:r w:rsidR="006C6F09">
        <w:t xml:space="preserve"> </w:t>
      </w:r>
      <w:r w:rsidRPr="00A42647">
        <w:t>be</w:t>
      </w:r>
      <w:r w:rsidR="006C6F09">
        <w:t xml:space="preserve"> </w:t>
      </w:r>
      <w:r w:rsidR="00923E8A" w:rsidRPr="00A42647">
        <w:t>conducted</w:t>
      </w:r>
      <w:r w:rsidR="006C6F09">
        <w:t xml:space="preserve"> </w:t>
      </w:r>
      <w:r w:rsidRPr="00A42647">
        <w:t>with</w:t>
      </w:r>
      <w:r w:rsidR="006C6F09">
        <w:t xml:space="preserve"> </w:t>
      </w:r>
      <w:r w:rsidRPr="00A42647">
        <w:t>the</w:t>
      </w:r>
      <w:r w:rsidR="006C6F09">
        <w:t xml:space="preserve"> </w:t>
      </w:r>
      <w:r w:rsidRPr="00A42647">
        <w:t>intent</w:t>
      </w:r>
      <w:r w:rsidR="006C6F09">
        <w:t xml:space="preserve"> </w:t>
      </w:r>
      <w:r w:rsidRPr="00A42647">
        <w:t>toward</w:t>
      </w:r>
      <w:r w:rsidR="006C6F09">
        <w:t xml:space="preserve"> </w:t>
      </w:r>
      <w:r w:rsidRPr="00A42647">
        <w:t>achieving</w:t>
      </w:r>
      <w:r w:rsidR="006C6F09">
        <w:t xml:space="preserve"> </w:t>
      </w:r>
      <w:r w:rsidRPr="00A42647">
        <w:t>meaningful</w:t>
      </w:r>
      <w:r w:rsidR="006C6F09">
        <w:t xml:space="preserve"> </w:t>
      </w:r>
      <w:r w:rsidRPr="00A42647">
        <w:t>and</w:t>
      </w:r>
      <w:r w:rsidR="006C6F09">
        <w:t xml:space="preserve"> </w:t>
      </w:r>
      <w:r w:rsidRPr="00A42647">
        <w:t>genuine</w:t>
      </w:r>
      <w:r w:rsidR="006C6F09">
        <w:t xml:space="preserve"> </w:t>
      </w:r>
      <w:r w:rsidRPr="00A42647">
        <w:t>engagement.</w:t>
      </w:r>
    </w:p>
    <w:p w14:paraId="120A617A" w14:textId="57CBCE81" w:rsidR="00457754" w:rsidRPr="00D903F0" w:rsidRDefault="00457754" w:rsidP="00457754">
      <w:pPr>
        <w:pStyle w:val="Heading2"/>
      </w:pPr>
      <w:bookmarkStart w:id="16" w:name="_2.0_Compliance_Overview"/>
      <w:bookmarkStart w:id="17" w:name="_Ref219385081"/>
      <w:bookmarkStart w:id="18" w:name="_Toc224026197"/>
      <w:bookmarkEnd w:id="16"/>
      <w:r w:rsidRPr="00D903F0">
        <w:t>2.0</w:t>
      </w:r>
      <w:r w:rsidR="006C6F09">
        <w:t xml:space="preserve"> </w:t>
      </w:r>
      <w:r w:rsidRPr="00D903F0">
        <w:t>Compliance</w:t>
      </w:r>
      <w:r w:rsidR="006C6F09">
        <w:t xml:space="preserve"> </w:t>
      </w:r>
      <w:r w:rsidRPr="00D903F0">
        <w:t>Overview</w:t>
      </w:r>
      <w:bookmarkEnd w:id="17"/>
      <w:bookmarkEnd w:id="18"/>
      <w:r w:rsidR="006C6F09">
        <w:t xml:space="preserve"> </w:t>
      </w:r>
    </w:p>
    <w:p w14:paraId="334A4DED" w14:textId="6A81B416" w:rsidR="00457754" w:rsidRDefault="00457754" w:rsidP="00457754">
      <w:r>
        <w:t>Public</w:t>
      </w:r>
      <w:r w:rsidR="006C6F09">
        <w:t xml:space="preserve"> </w:t>
      </w:r>
      <w:r>
        <w:t>involvement</w:t>
      </w:r>
      <w:r w:rsidR="006C6F09">
        <w:t xml:space="preserve"> </w:t>
      </w:r>
      <w:r>
        <w:t>activities</w:t>
      </w:r>
      <w:r w:rsidR="006C6F09">
        <w:t xml:space="preserve"> </w:t>
      </w:r>
      <w:r>
        <w:t>are</w:t>
      </w:r>
      <w:r w:rsidR="006C6F09">
        <w:t xml:space="preserve"> </w:t>
      </w:r>
      <w:r>
        <w:t>conducted</w:t>
      </w:r>
      <w:r w:rsidR="006C6F09">
        <w:t xml:space="preserve"> </w:t>
      </w:r>
      <w:r>
        <w:t>in</w:t>
      </w:r>
      <w:r w:rsidR="006C6F09">
        <w:t xml:space="preserve"> </w:t>
      </w:r>
      <w:r>
        <w:t>accordance</w:t>
      </w:r>
      <w:r w:rsidR="006C6F09">
        <w:t xml:space="preserve"> </w:t>
      </w:r>
      <w:r>
        <w:t>with</w:t>
      </w:r>
      <w:r w:rsidR="006C6F09">
        <w:t xml:space="preserve"> </w:t>
      </w:r>
      <w:r>
        <w:t>the</w:t>
      </w:r>
      <w:r w:rsidR="006C6F09">
        <w:t xml:space="preserve"> </w:t>
      </w:r>
      <w:r>
        <w:t>requirements</w:t>
      </w:r>
      <w:r w:rsidR="006C6F09">
        <w:t xml:space="preserve"> </w:t>
      </w:r>
      <w:r>
        <w:t>codified</w:t>
      </w:r>
      <w:r w:rsidR="006C6F09">
        <w:t xml:space="preserve"> </w:t>
      </w:r>
      <w:r>
        <w:t>in</w:t>
      </w:r>
      <w:r w:rsidR="006C6F09">
        <w:t xml:space="preserve"> </w:t>
      </w:r>
      <w:r>
        <w:t>the</w:t>
      </w:r>
      <w:r w:rsidR="006C6F09">
        <w:t xml:space="preserve"> </w:t>
      </w:r>
      <w:r w:rsidRPr="007524B7">
        <w:t>Texas</w:t>
      </w:r>
      <w:r w:rsidR="006C6F09">
        <w:t xml:space="preserve"> </w:t>
      </w:r>
      <w:r w:rsidRPr="007524B7">
        <w:t>Administrative</w:t>
      </w:r>
      <w:r w:rsidR="006C6F09">
        <w:t xml:space="preserve"> </w:t>
      </w:r>
      <w:r w:rsidRPr="007524B7">
        <w:t>Code</w:t>
      </w:r>
      <w:r w:rsidR="006C6F09">
        <w:rPr>
          <w:rFonts w:ascii="Verdana" w:hAnsi="Verdana"/>
        </w:rPr>
        <w:t xml:space="preserve"> </w:t>
      </w:r>
      <w:r w:rsidRPr="007524B7">
        <w:rPr>
          <w:rFonts w:ascii="Verdana" w:hAnsi="Verdana"/>
        </w:rPr>
        <w:t>(TAC)</w:t>
      </w:r>
      <w:r w:rsidR="006C6F09">
        <w:rPr>
          <w:rFonts w:ascii="Verdana" w:hAnsi="Verdana"/>
        </w:rPr>
        <w:t xml:space="preserve"> </w:t>
      </w:r>
      <w:r w:rsidRPr="009F7D85">
        <w:rPr>
          <w:rFonts w:ascii="Verdana" w:hAnsi="Verdana"/>
        </w:rPr>
        <w:t>at</w:t>
      </w:r>
      <w:r w:rsidR="006C6F09">
        <w:rPr>
          <w:rFonts w:ascii="Verdana" w:hAnsi="Verdana"/>
        </w:rPr>
        <w:t xml:space="preserve"> </w:t>
      </w:r>
      <w:hyperlink r:id="rId20" w:history="1">
        <w:r w:rsidRPr="009F7D85">
          <w:rPr>
            <w:rFonts w:ascii="Verdana" w:eastAsia="Arial" w:hAnsi="Verdana" w:cs="Arial"/>
            <w:color w:val="0000FF"/>
            <w:kern w:val="0"/>
            <w:u w:val="single"/>
            <w14:ligatures w14:val="none"/>
          </w:rPr>
          <w:t>43</w:t>
        </w:r>
        <w:r w:rsidR="006C6F09">
          <w:rPr>
            <w:rFonts w:ascii="Verdana" w:eastAsia="Arial" w:hAnsi="Verdana" w:cs="Arial"/>
            <w:color w:val="0000FF"/>
            <w:kern w:val="0"/>
            <w:u w:val="single"/>
            <w14:ligatures w14:val="none"/>
          </w:rPr>
          <w:t xml:space="preserve"> </w:t>
        </w:r>
        <w:r w:rsidRPr="009F7D85">
          <w:rPr>
            <w:rFonts w:ascii="Verdana" w:eastAsia="Arial" w:hAnsi="Verdana" w:cs="Arial"/>
            <w:color w:val="0000FF"/>
            <w:kern w:val="0"/>
            <w:u w:val="single"/>
            <w14:ligatures w14:val="none"/>
          </w:rPr>
          <w:t>TAC</w:t>
        </w:r>
        <w:r w:rsidR="006C6F09">
          <w:rPr>
            <w:rFonts w:ascii="Verdana" w:eastAsia="Arial" w:hAnsi="Verdana" w:cs="Arial"/>
            <w:color w:val="0000FF"/>
            <w:kern w:val="0"/>
            <w:u w:val="single"/>
            <w14:ligatures w14:val="none"/>
          </w:rPr>
          <w:t xml:space="preserve"> </w:t>
        </w:r>
        <w:r w:rsidRPr="009F7D85">
          <w:rPr>
            <w:rFonts w:ascii="Verdana" w:eastAsia="Arial" w:hAnsi="Verdana" w:cs="Arial"/>
            <w:color w:val="0000FF"/>
            <w:kern w:val="0"/>
            <w:u w:val="single"/>
            <w14:ligatures w14:val="none"/>
          </w:rPr>
          <w:t>2.101</w:t>
        </w:r>
        <w:r w:rsidR="006C6F09">
          <w:rPr>
            <w:rFonts w:ascii="Verdana" w:eastAsia="Arial" w:hAnsi="Verdana" w:cs="Arial"/>
            <w:color w:val="0000FF"/>
            <w:kern w:val="0"/>
            <w:u w:val="single"/>
            <w14:ligatures w14:val="none"/>
          </w:rPr>
          <w:t xml:space="preserve"> </w:t>
        </w:r>
        <w:r w:rsidRPr="009F7D85">
          <w:rPr>
            <w:rFonts w:ascii="Verdana" w:eastAsia="Arial" w:hAnsi="Verdana" w:cs="Arial"/>
            <w:color w:val="0000FF"/>
            <w:kern w:val="0"/>
            <w:u w:val="single"/>
            <w14:ligatures w14:val="none"/>
          </w:rPr>
          <w:t>to</w:t>
        </w:r>
        <w:r w:rsidR="006C6F09">
          <w:rPr>
            <w:rFonts w:ascii="Verdana" w:eastAsia="Arial" w:hAnsi="Verdana" w:cs="Arial"/>
            <w:color w:val="0000FF"/>
            <w:kern w:val="0"/>
            <w:u w:val="single"/>
            <w14:ligatures w14:val="none"/>
          </w:rPr>
          <w:t xml:space="preserve"> </w:t>
        </w:r>
        <w:r w:rsidRPr="009F7D85">
          <w:rPr>
            <w:rFonts w:ascii="Verdana" w:eastAsia="Arial" w:hAnsi="Verdana" w:cs="Arial"/>
            <w:color w:val="0000FF"/>
            <w:kern w:val="0"/>
            <w:u w:val="single"/>
            <w14:ligatures w14:val="none"/>
          </w:rPr>
          <w:t>2.110</w:t>
        </w:r>
      </w:hyperlink>
      <w:r w:rsidR="006C6F09">
        <w:rPr>
          <w:rFonts w:ascii="Verdana" w:eastAsia="Times New Roman" w:hAnsi="Verdana" w:cs="Times New Roman"/>
          <w:kern w:val="0"/>
          <w14:ligatures w14:val="none"/>
        </w:rPr>
        <w:t xml:space="preserve"> </w:t>
      </w:r>
      <w:r w:rsidRPr="009F7D85">
        <w:rPr>
          <w:rFonts w:ascii="Verdana" w:eastAsia="Times New Roman" w:hAnsi="Verdana" w:cs="Times New Roman"/>
          <w:kern w:val="0"/>
          <w14:ligatures w14:val="none"/>
        </w:rPr>
        <w:t>and</w:t>
      </w:r>
      <w:r w:rsidR="006C6F09">
        <w:rPr>
          <w:rFonts w:ascii="Verdana" w:eastAsia="Times New Roman" w:hAnsi="Verdana" w:cs="Times New Roman"/>
          <w:kern w:val="0"/>
          <w14:ligatures w14:val="none"/>
        </w:rPr>
        <w:t xml:space="preserve"> </w:t>
      </w:r>
      <w:hyperlink r:id="rId21" w:history="1">
        <w:r w:rsidRPr="009F7D85">
          <w:rPr>
            <w:rFonts w:ascii="Verdana" w:eastAsia="Arial" w:hAnsi="Verdana" w:cs="Arial"/>
            <w:color w:val="0000FF"/>
            <w:kern w:val="0"/>
            <w:u w:val="single"/>
            <w14:ligatures w14:val="none"/>
          </w:rPr>
          <w:t>43</w:t>
        </w:r>
        <w:r w:rsidR="006C6F09">
          <w:rPr>
            <w:rFonts w:ascii="Verdana" w:eastAsia="Arial" w:hAnsi="Verdana" w:cs="Arial"/>
            <w:color w:val="0000FF"/>
            <w:kern w:val="0"/>
            <w:u w:val="single"/>
            <w14:ligatures w14:val="none"/>
          </w:rPr>
          <w:t xml:space="preserve"> </w:t>
        </w:r>
        <w:r w:rsidRPr="009F7D85">
          <w:rPr>
            <w:rFonts w:ascii="Verdana" w:eastAsia="Arial" w:hAnsi="Verdana" w:cs="Arial"/>
            <w:color w:val="0000FF"/>
            <w:kern w:val="0"/>
            <w:u w:val="single"/>
            <w14:ligatures w14:val="none"/>
          </w:rPr>
          <w:t>TAC</w:t>
        </w:r>
        <w:r w:rsidR="006C6F09">
          <w:rPr>
            <w:rFonts w:ascii="Verdana" w:eastAsia="Arial" w:hAnsi="Verdana" w:cs="Arial"/>
            <w:color w:val="0000FF"/>
            <w:kern w:val="0"/>
            <w:u w:val="single"/>
            <w14:ligatures w14:val="none"/>
          </w:rPr>
          <w:t xml:space="preserve"> </w:t>
        </w:r>
        <w:r w:rsidRPr="009F7D85">
          <w:rPr>
            <w:rFonts w:ascii="Verdana" w:eastAsia="Arial" w:hAnsi="Verdana" w:cs="Arial"/>
            <w:color w:val="0000FF"/>
            <w:kern w:val="0"/>
            <w:u w:val="single"/>
            <w14:ligatures w14:val="none"/>
          </w:rPr>
          <w:t>1.5</w:t>
        </w:r>
      </w:hyperlink>
      <w:r w:rsidRPr="009F7D85">
        <w:rPr>
          <w:rFonts w:ascii="Verdana" w:eastAsia="Times New Roman" w:hAnsi="Verdana" w:cs="Times New Roman"/>
          <w:kern w:val="0"/>
          <w14:ligatures w14:val="none"/>
        </w:rPr>
        <w:t>,</w:t>
      </w:r>
      <w:r w:rsidR="006C6F09">
        <w:rPr>
          <w:rFonts w:ascii="Verdana" w:hAnsi="Verdana"/>
        </w:rPr>
        <w:t xml:space="preserve"> </w:t>
      </w:r>
      <w:r w:rsidRPr="009F7D85">
        <w:rPr>
          <w:rFonts w:ascii="Verdana" w:hAnsi="Verdana"/>
        </w:rPr>
        <w:t>as</w:t>
      </w:r>
      <w:r w:rsidR="006C6F09">
        <w:rPr>
          <w:rFonts w:ascii="Verdana" w:hAnsi="Verdana"/>
        </w:rPr>
        <w:t xml:space="preserve"> </w:t>
      </w:r>
      <w:r w:rsidRPr="009F7D85">
        <w:rPr>
          <w:rFonts w:ascii="Verdana" w:hAnsi="Verdana"/>
        </w:rPr>
        <w:t>well</w:t>
      </w:r>
      <w:r w:rsidR="006C6F09">
        <w:rPr>
          <w:rFonts w:ascii="Verdana" w:hAnsi="Verdana"/>
        </w:rPr>
        <w:t xml:space="preserve"> </w:t>
      </w:r>
      <w:r w:rsidRPr="009F7D85">
        <w:rPr>
          <w:rFonts w:ascii="Verdana" w:hAnsi="Verdana"/>
        </w:rPr>
        <w:t>as</w:t>
      </w:r>
      <w:r w:rsidR="006C6F09">
        <w:rPr>
          <w:rFonts w:ascii="Verdana" w:hAnsi="Verdana"/>
        </w:rPr>
        <w:t xml:space="preserve"> </w:t>
      </w:r>
      <w:r w:rsidRPr="009F7D85">
        <w:rPr>
          <w:rFonts w:ascii="Verdana" w:hAnsi="Verdana"/>
        </w:rPr>
        <w:t>in</w:t>
      </w:r>
      <w:r w:rsidR="006C6F09">
        <w:rPr>
          <w:rFonts w:ascii="Verdana" w:hAnsi="Verdana"/>
        </w:rPr>
        <w:t xml:space="preserve"> </w:t>
      </w:r>
      <w:r w:rsidRPr="009F7D85">
        <w:rPr>
          <w:rFonts w:ascii="Verdana" w:hAnsi="Verdana"/>
        </w:rPr>
        <w:t>the</w:t>
      </w:r>
      <w:r w:rsidR="006C6F09">
        <w:rPr>
          <w:rFonts w:ascii="Verdana" w:hAnsi="Verdana"/>
        </w:rPr>
        <w:t xml:space="preserve"> </w:t>
      </w:r>
      <w:r w:rsidRPr="00EE2E63">
        <w:t>Code</w:t>
      </w:r>
      <w:r w:rsidR="006C6F09">
        <w:t xml:space="preserve"> </w:t>
      </w:r>
      <w:r w:rsidRPr="00EE2E63">
        <w:t>of</w:t>
      </w:r>
      <w:r w:rsidR="006C6F09">
        <w:t xml:space="preserve"> </w:t>
      </w:r>
      <w:r w:rsidRPr="00EE2E63">
        <w:t>Federal</w:t>
      </w:r>
      <w:r w:rsidR="006C6F09">
        <w:t xml:space="preserve"> </w:t>
      </w:r>
      <w:r w:rsidRPr="00EE2E63">
        <w:t>Regulations</w:t>
      </w:r>
      <w:r w:rsidR="006C6F09">
        <w:t xml:space="preserve"> </w:t>
      </w:r>
      <w:r w:rsidRPr="00EE2E63">
        <w:t>(CFR)</w:t>
      </w:r>
      <w:r w:rsidR="006C6F09">
        <w:t xml:space="preserve"> </w:t>
      </w:r>
      <w:r>
        <w:t>at</w:t>
      </w:r>
      <w:r w:rsidR="006C6F09">
        <w:t xml:space="preserve"> </w:t>
      </w:r>
      <w:hyperlink r:id="rId22" w:history="1">
        <w:r>
          <w:rPr>
            <w:rStyle w:val="Hyperlink"/>
          </w:rPr>
          <w:t>Title</w:t>
        </w:r>
        <w:r w:rsidR="006C6F09">
          <w:rPr>
            <w:rStyle w:val="Hyperlink"/>
          </w:rPr>
          <w:t xml:space="preserve"> </w:t>
        </w:r>
        <w:r>
          <w:rPr>
            <w:rStyle w:val="Hyperlink"/>
          </w:rPr>
          <w:t>23</w:t>
        </w:r>
        <w:r w:rsidR="006C6F09">
          <w:rPr>
            <w:rStyle w:val="Hyperlink"/>
          </w:rPr>
          <w:t xml:space="preserve"> </w:t>
        </w:r>
        <w:r>
          <w:rPr>
            <w:rStyle w:val="Hyperlink"/>
          </w:rPr>
          <w:t>Code</w:t>
        </w:r>
        <w:r w:rsidR="006C6F09">
          <w:rPr>
            <w:rStyle w:val="Hyperlink"/>
          </w:rPr>
          <w:t xml:space="preserve"> </w:t>
        </w:r>
        <w:r>
          <w:rPr>
            <w:rStyle w:val="Hyperlink"/>
          </w:rPr>
          <w:t>of</w:t>
        </w:r>
        <w:r w:rsidR="006C6F09">
          <w:rPr>
            <w:rStyle w:val="Hyperlink"/>
          </w:rPr>
          <w:t xml:space="preserve"> </w:t>
        </w:r>
        <w:r>
          <w:rPr>
            <w:rStyle w:val="Hyperlink"/>
          </w:rPr>
          <w:t>Federal</w:t>
        </w:r>
        <w:r w:rsidR="006C6F09">
          <w:rPr>
            <w:rStyle w:val="Hyperlink"/>
          </w:rPr>
          <w:t xml:space="preserve"> </w:t>
        </w:r>
        <w:r>
          <w:rPr>
            <w:rStyle w:val="Hyperlink"/>
          </w:rPr>
          <w:t>Regulations</w:t>
        </w:r>
        <w:r w:rsidR="006C6F09">
          <w:rPr>
            <w:rStyle w:val="Hyperlink"/>
          </w:rPr>
          <w:t xml:space="preserve"> </w:t>
        </w:r>
        <w:r>
          <w:rPr>
            <w:rStyle w:val="Hyperlink"/>
          </w:rPr>
          <w:t>Part</w:t>
        </w:r>
        <w:r w:rsidR="006C6F09">
          <w:rPr>
            <w:rStyle w:val="Hyperlink"/>
          </w:rPr>
          <w:t xml:space="preserve"> </w:t>
        </w:r>
        <w:r>
          <w:rPr>
            <w:rStyle w:val="Hyperlink"/>
          </w:rPr>
          <w:t>771:</w:t>
        </w:r>
        <w:r w:rsidR="006C6F09">
          <w:rPr>
            <w:rStyle w:val="Hyperlink"/>
          </w:rPr>
          <w:t xml:space="preserve"> </w:t>
        </w:r>
        <w:r>
          <w:rPr>
            <w:rStyle w:val="Hyperlink"/>
          </w:rPr>
          <w:t>Environmental</w:t>
        </w:r>
        <w:r w:rsidR="006C6F09">
          <w:rPr>
            <w:rStyle w:val="Hyperlink"/>
          </w:rPr>
          <w:t xml:space="preserve"> </w:t>
        </w:r>
        <w:r>
          <w:rPr>
            <w:rStyle w:val="Hyperlink"/>
          </w:rPr>
          <w:t>Impact</w:t>
        </w:r>
        <w:r w:rsidR="006C6F09">
          <w:rPr>
            <w:rStyle w:val="Hyperlink"/>
          </w:rPr>
          <w:t xml:space="preserve"> </w:t>
        </w:r>
        <w:r>
          <w:rPr>
            <w:rStyle w:val="Hyperlink"/>
          </w:rPr>
          <w:t>and</w:t>
        </w:r>
        <w:r w:rsidR="006C6F09">
          <w:rPr>
            <w:rStyle w:val="Hyperlink"/>
          </w:rPr>
          <w:t xml:space="preserve"> </w:t>
        </w:r>
        <w:r>
          <w:rPr>
            <w:rStyle w:val="Hyperlink"/>
          </w:rPr>
          <w:t>Related</w:t>
        </w:r>
        <w:r w:rsidR="006C6F09">
          <w:rPr>
            <w:rStyle w:val="Hyperlink"/>
          </w:rPr>
          <w:t xml:space="preserve"> </w:t>
        </w:r>
        <w:r>
          <w:rPr>
            <w:rStyle w:val="Hyperlink"/>
          </w:rPr>
          <w:t>Procedures</w:t>
        </w:r>
      </w:hyperlink>
      <w:r w:rsidR="006C6F09">
        <w:t xml:space="preserve"> </w:t>
      </w:r>
      <w:r>
        <w:t>for</w:t>
      </w:r>
      <w:r w:rsidR="006C6F09">
        <w:t xml:space="preserve"> </w:t>
      </w:r>
      <w:r>
        <w:t>federal</w:t>
      </w:r>
      <w:r w:rsidR="006C6F09">
        <w:t xml:space="preserve"> </w:t>
      </w:r>
      <w:r>
        <w:t>projects</w:t>
      </w:r>
      <w:r w:rsidR="007C2FC9">
        <w:t>.</w:t>
      </w:r>
    </w:p>
    <w:p w14:paraId="449C5750" w14:textId="53495743" w:rsidR="00457754" w:rsidRDefault="00457754" w:rsidP="00457754">
      <w:r>
        <w:t>The</w:t>
      </w:r>
      <w:r w:rsidR="006C6F09">
        <w:t xml:space="preserve"> </w:t>
      </w:r>
      <w:r>
        <w:t>TxDOT</w:t>
      </w:r>
      <w:r w:rsidR="006C6F09">
        <w:t xml:space="preserve"> </w:t>
      </w:r>
      <w:r>
        <w:t>public</w:t>
      </w:r>
      <w:r w:rsidR="006C6F09">
        <w:t xml:space="preserve"> </w:t>
      </w:r>
      <w:r>
        <w:t>involvement</w:t>
      </w:r>
      <w:r w:rsidR="006C6F09">
        <w:t xml:space="preserve"> </w:t>
      </w:r>
      <w:r>
        <w:t>policy</w:t>
      </w:r>
      <w:r w:rsidR="006C6F09">
        <w:t xml:space="preserve"> </w:t>
      </w:r>
      <w:r>
        <w:t>applies</w:t>
      </w:r>
      <w:r w:rsidR="006C6F09">
        <w:t xml:space="preserve"> </w:t>
      </w:r>
      <w:r>
        <w:t>to</w:t>
      </w:r>
      <w:r w:rsidR="006C6F09">
        <w:t xml:space="preserve"> </w:t>
      </w:r>
      <w:r>
        <w:t>federal</w:t>
      </w:r>
      <w:r w:rsidR="006C6F09">
        <w:t xml:space="preserve"> </w:t>
      </w:r>
      <w:r>
        <w:t>and</w:t>
      </w:r>
      <w:r w:rsidR="006C6F09">
        <w:t xml:space="preserve"> </w:t>
      </w:r>
      <w:r>
        <w:t>state</w:t>
      </w:r>
      <w:r w:rsidR="006C6F09">
        <w:t xml:space="preserve"> </w:t>
      </w:r>
      <w:r>
        <w:t>projects.</w:t>
      </w:r>
      <w:r w:rsidR="006C6F09">
        <w:t xml:space="preserve"> </w:t>
      </w:r>
      <w:r>
        <w:t>To</w:t>
      </w:r>
      <w:r w:rsidR="006C6F09">
        <w:t xml:space="preserve"> </w:t>
      </w:r>
      <w:r>
        <w:t>implement</w:t>
      </w:r>
      <w:r w:rsidR="006C6F09">
        <w:t xml:space="preserve"> </w:t>
      </w:r>
      <w:r>
        <w:t>the</w:t>
      </w:r>
      <w:r w:rsidR="006C6F09">
        <w:t xml:space="preserve"> </w:t>
      </w:r>
      <w:r>
        <w:t>TxDOT</w:t>
      </w:r>
      <w:r w:rsidR="006C6F09">
        <w:t xml:space="preserve"> </w:t>
      </w:r>
      <w:r>
        <w:t>public</w:t>
      </w:r>
      <w:r w:rsidR="006C6F09">
        <w:t xml:space="preserve"> </w:t>
      </w:r>
      <w:r>
        <w:t>involvement</w:t>
      </w:r>
      <w:r w:rsidR="006C6F09">
        <w:t xml:space="preserve"> </w:t>
      </w:r>
      <w:r>
        <w:t>policy</w:t>
      </w:r>
      <w:r w:rsidR="006C6F09">
        <w:t xml:space="preserve"> </w:t>
      </w:r>
      <w:r>
        <w:t>stated</w:t>
      </w:r>
      <w:r w:rsidR="006C6F09">
        <w:t xml:space="preserve"> </w:t>
      </w:r>
      <w:r>
        <w:t>in</w:t>
      </w:r>
      <w:r w:rsidR="006C6F09">
        <w:t xml:space="preserve"> </w:t>
      </w:r>
      <w:r>
        <w:t>section</w:t>
      </w:r>
      <w:r w:rsidR="006C6F09">
        <w:t xml:space="preserve"> </w:t>
      </w:r>
      <w:hyperlink w:anchor="_1.1_TxDOT_Public" w:history="1">
        <w:r w:rsidRPr="00263E76">
          <w:rPr>
            <w:rStyle w:val="Hyperlink"/>
            <w:color w:val="0056A9"/>
          </w:rPr>
          <w:fldChar w:fldCharType="begin"/>
        </w:r>
        <w:r w:rsidRPr="00263E76">
          <w:rPr>
            <w:color w:val="0056A9"/>
            <w:u w:val="single"/>
          </w:rPr>
          <w:instrText xml:space="preserve"> REF _Ref219385208 \h </w:instrText>
        </w:r>
        <w:r w:rsidRPr="00263E76">
          <w:rPr>
            <w:rStyle w:val="Hyperlink"/>
            <w:color w:val="0056A9"/>
          </w:rPr>
          <w:instrText xml:space="preserve"> \* MERGEFORMAT </w:instrText>
        </w:r>
        <w:r w:rsidRPr="00263E76">
          <w:rPr>
            <w:rStyle w:val="Hyperlink"/>
            <w:color w:val="0056A9"/>
          </w:rPr>
        </w:r>
        <w:r w:rsidRPr="00263E76">
          <w:rPr>
            <w:rStyle w:val="Hyperlink"/>
            <w:color w:val="0056A9"/>
          </w:rPr>
          <w:fldChar w:fldCharType="separate"/>
        </w:r>
        <w:r w:rsidRPr="00263E76">
          <w:rPr>
            <w:color w:val="0056A9"/>
            <w:u w:val="single"/>
          </w:rPr>
          <w:t>1.1</w:t>
        </w:r>
        <w:r w:rsidRPr="00263E76">
          <w:rPr>
            <w:rStyle w:val="Hyperlink"/>
            <w:color w:val="0056A9"/>
          </w:rPr>
          <w:fldChar w:fldCharType="end"/>
        </w:r>
      </w:hyperlink>
      <w:r w:rsidRPr="00263E76">
        <w:rPr>
          <w:color w:val="0056A9"/>
          <w:u w:val="single"/>
        </w:rPr>
        <w:t>,</w:t>
      </w:r>
      <w:r w:rsidR="006C6F09">
        <w:t xml:space="preserve"> </w:t>
      </w:r>
      <w:r>
        <w:t>the</w:t>
      </w:r>
      <w:r w:rsidR="006C6F09">
        <w:t xml:space="preserve"> </w:t>
      </w:r>
      <w:r>
        <w:t>Commission</w:t>
      </w:r>
      <w:r w:rsidR="006C6F09">
        <w:t xml:space="preserve"> </w:t>
      </w:r>
      <w:r>
        <w:t>also</w:t>
      </w:r>
      <w:r w:rsidR="006C6F09">
        <w:t xml:space="preserve"> </w:t>
      </w:r>
      <w:r>
        <w:t>adopted</w:t>
      </w:r>
      <w:r w:rsidR="006C6F09">
        <w:t xml:space="preserve"> </w:t>
      </w:r>
      <w:r>
        <w:t>the</w:t>
      </w:r>
      <w:r w:rsidR="006C6F09">
        <w:t xml:space="preserve"> </w:t>
      </w:r>
      <w:r>
        <w:t>following</w:t>
      </w:r>
      <w:r w:rsidR="006C6F09">
        <w:t xml:space="preserve"> </w:t>
      </w:r>
      <w:r>
        <w:t>eight</w:t>
      </w:r>
      <w:r w:rsidR="006C6F09">
        <w:t xml:space="preserve"> </w:t>
      </w:r>
      <w:r>
        <w:t>key</w:t>
      </w:r>
      <w:r w:rsidR="006C6F09">
        <w:t xml:space="preserve"> </w:t>
      </w:r>
      <w:r>
        <w:t>objectives</w:t>
      </w:r>
      <w:r w:rsidR="006C6F09">
        <w:t xml:space="preserve"> </w:t>
      </w:r>
      <w:r>
        <w:t>to</w:t>
      </w:r>
      <w:r w:rsidR="006C6F09">
        <w:t xml:space="preserve"> </w:t>
      </w:r>
      <w:r>
        <w:t>implement</w:t>
      </w:r>
      <w:r w:rsidR="006C6F09">
        <w:t xml:space="preserve"> </w:t>
      </w:r>
      <w:r>
        <w:t>TxDOT</w:t>
      </w:r>
      <w:r w:rsidR="006C6F09">
        <w:t xml:space="preserve"> </w:t>
      </w:r>
      <w:r>
        <w:t>public</w:t>
      </w:r>
      <w:r w:rsidR="006C6F09">
        <w:t xml:space="preserve"> </w:t>
      </w:r>
      <w:r>
        <w:t>involvement</w:t>
      </w:r>
      <w:r w:rsidR="006C6F09">
        <w:t xml:space="preserve"> </w:t>
      </w:r>
      <w:r>
        <w:t>more</w:t>
      </w:r>
      <w:r w:rsidR="006C6F09">
        <w:t xml:space="preserve"> </w:t>
      </w:r>
      <w:r>
        <w:t>effectively.</w:t>
      </w:r>
    </w:p>
    <w:p w14:paraId="3CCE6637" w14:textId="54B0FFFE" w:rsidR="00457754" w:rsidRDefault="00457754" w:rsidP="00457754">
      <w:pPr>
        <w:pStyle w:val="ListBullet"/>
      </w:pPr>
      <w:r>
        <w:t>Ensure</w:t>
      </w:r>
      <w:r w:rsidR="006C6F09">
        <w:t xml:space="preserve"> </w:t>
      </w:r>
      <w:r>
        <w:t>continued</w:t>
      </w:r>
      <w:r w:rsidR="006C6F09">
        <w:t xml:space="preserve"> </w:t>
      </w:r>
      <w:r>
        <w:t>adherence</w:t>
      </w:r>
      <w:r w:rsidR="006C6F09">
        <w:t xml:space="preserve"> </w:t>
      </w:r>
      <w:r>
        <w:t>to</w:t>
      </w:r>
      <w:r w:rsidR="006C6F09">
        <w:t xml:space="preserve"> </w:t>
      </w:r>
      <w:r>
        <w:t>all</w:t>
      </w:r>
      <w:r w:rsidR="006C6F09">
        <w:t xml:space="preserve"> </w:t>
      </w:r>
      <w:r>
        <w:t>regulatory</w:t>
      </w:r>
      <w:r w:rsidR="006C6F09">
        <w:t xml:space="preserve"> </w:t>
      </w:r>
      <w:r>
        <w:t>guidelines</w:t>
      </w:r>
      <w:r w:rsidR="006C6F09">
        <w:t xml:space="preserve"> </w:t>
      </w:r>
      <w:r>
        <w:t>and</w:t>
      </w:r>
      <w:r w:rsidR="006C6F09">
        <w:t xml:space="preserve"> </w:t>
      </w:r>
      <w:r>
        <w:t>policies</w:t>
      </w:r>
      <w:r w:rsidR="006C6F09">
        <w:t xml:space="preserve"> </w:t>
      </w:r>
      <w:r>
        <w:t>in</w:t>
      </w:r>
      <w:r w:rsidR="006C6F09">
        <w:t xml:space="preserve"> </w:t>
      </w:r>
      <w:r>
        <w:t>compliance</w:t>
      </w:r>
      <w:r w:rsidR="006C6F09">
        <w:t xml:space="preserve"> </w:t>
      </w:r>
      <w:r>
        <w:t>with</w:t>
      </w:r>
      <w:r w:rsidR="006C6F09">
        <w:t xml:space="preserve"> </w:t>
      </w:r>
      <w:r>
        <w:t>federal</w:t>
      </w:r>
      <w:r w:rsidR="006C6F09">
        <w:t xml:space="preserve"> </w:t>
      </w:r>
      <w:r>
        <w:t>and</w:t>
      </w:r>
      <w:r w:rsidR="006C6F09">
        <w:t xml:space="preserve"> </w:t>
      </w:r>
      <w:r>
        <w:t>state</w:t>
      </w:r>
      <w:r w:rsidR="006C6F09">
        <w:t xml:space="preserve"> </w:t>
      </w:r>
      <w:r>
        <w:t>statutes</w:t>
      </w:r>
      <w:r w:rsidR="006C6F09">
        <w:t xml:space="preserve"> </w:t>
      </w:r>
      <w:r>
        <w:t>and</w:t>
      </w:r>
      <w:r w:rsidR="006C6F09">
        <w:t xml:space="preserve"> </w:t>
      </w:r>
      <w:r>
        <w:t>sound</w:t>
      </w:r>
      <w:r w:rsidR="006C6F09">
        <w:t xml:space="preserve"> </w:t>
      </w:r>
      <w:r>
        <w:t>public</w:t>
      </w:r>
      <w:r w:rsidR="006C6F09">
        <w:t xml:space="preserve"> </w:t>
      </w:r>
      <w:r>
        <w:t>involvement</w:t>
      </w:r>
      <w:r w:rsidR="006C6F09">
        <w:t xml:space="preserve"> </w:t>
      </w:r>
      <w:r>
        <w:t>practice.</w:t>
      </w:r>
    </w:p>
    <w:p w14:paraId="553410C4" w14:textId="72F2BF8B" w:rsidR="00457754" w:rsidRDefault="00457754" w:rsidP="00457754">
      <w:pPr>
        <w:pStyle w:val="ListBullet"/>
      </w:pPr>
      <w:r>
        <w:t>Solicit</w:t>
      </w:r>
      <w:r w:rsidR="006C6F09">
        <w:t xml:space="preserve"> </w:t>
      </w:r>
      <w:r>
        <w:t>and</w:t>
      </w:r>
      <w:r w:rsidR="006C6F09">
        <w:t xml:space="preserve"> </w:t>
      </w:r>
      <w:r>
        <w:t>encourage</w:t>
      </w:r>
      <w:r w:rsidR="006C6F09">
        <w:t xml:space="preserve"> </w:t>
      </w:r>
      <w:r>
        <w:t>proactive</w:t>
      </w:r>
      <w:r w:rsidR="006C6F09">
        <w:t xml:space="preserve"> </w:t>
      </w:r>
      <w:r>
        <w:t>public</w:t>
      </w:r>
      <w:r w:rsidR="006C6F09">
        <w:t xml:space="preserve"> </w:t>
      </w:r>
      <w:r>
        <w:t>involvement</w:t>
      </w:r>
      <w:r w:rsidR="006C6F09">
        <w:t xml:space="preserve"> </w:t>
      </w:r>
      <w:r>
        <w:t>that</w:t>
      </w:r>
      <w:r w:rsidR="006C6F09">
        <w:t xml:space="preserve"> </w:t>
      </w:r>
      <w:r>
        <w:t>can</w:t>
      </w:r>
      <w:r w:rsidR="006C6F09">
        <w:t xml:space="preserve"> </w:t>
      </w:r>
      <w:r>
        <w:t>be</w:t>
      </w:r>
      <w:r w:rsidR="006C6F09">
        <w:t xml:space="preserve"> </w:t>
      </w:r>
      <w:r>
        <w:t>fully</w:t>
      </w:r>
      <w:r w:rsidR="006C6F09">
        <w:t xml:space="preserve"> </w:t>
      </w:r>
      <w:r>
        <w:t>integrated</w:t>
      </w:r>
      <w:r w:rsidR="006C6F09">
        <w:t xml:space="preserve"> </w:t>
      </w:r>
      <w:r>
        <w:t>into</w:t>
      </w:r>
      <w:r w:rsidR="006C6F09">
        <w:t xml:space="preserve"> </w:t>
      </w:r>
      <w:r>
        <w:t>the</w:t>
      </w:r>
      <w:r w:rsidR="006C6F09">
        <w:t xml:space="preserve"> </w:t>
      </w:r>
      <w:r>
        <w:t>planning</w:t>
      </w:r>
      <w:r w:rsidR="006C6F09">
        <w:t xml:space="preserve"> </w:t>
      </w:r>
      <w:r>
        <w:t>process</w:t>
      </w:r>
      <w:r w:rsidR="006C6F09">
        <w:t xml:space="preserve"> </w:t>
      </w:r>
      <w:r>
        <w:t>and</w:t>
      </w:r>
      <w:r w:rsidR="006C6F09">
        <w:t xml:space="preserve"> </w:t>
      </w:r>
      <w:r>
        <w:t>incorporated</w:t>
      </w:r>
      <w:r w:rsidR="006C6F09">
        <w:t xml:space="preserve"> </w:t>
      </w:r>
      <w:r w:rsidR="005F45D7">
        <w:t>into</w:t>
      </w:r>
      <w:r w:rsidR="006C6F09">
        <w:t xml:space="preserve"> </w:t>
      </w:r>
      <w:r>
        <w:t>the</w:t>
      </w:r>
      <w:r w:rsidR="006C6F09">
        <w:t xml:space="preserve"> </w:t>
      </w:r>
      <w:r>
        <w:t>various</w:t>
      </w:r>
      <w:r w:rsidR="006C6F09">
        <w:t xml:space="preserve"> </w:t>
      </w:r>
      <w:r>
        <w:t>planning</w:t>
      </w:r>
      <w:r w:rsidR="006C6F09">
        <w:t xml:space="preserve"> </w:t>
      </w:r>
      <w:r>
        <w:t>activities.</w:t>
      </w:r>
    </w:p>
    <w:p w14:paraId="4973FF4D" w14:textId="117C7537" w:rsidR="00457754" w:rsidRDefault="00457754" w:rsidP="00457754">
      <w:pPr>
        <w:pStyle w:val="ListBullet"/>
      </w:pPr>
      <w:r>
        <w:t>Provide</w:t>
      </w:r>
      <w:r w:rsidR="006C6F09">
        <w:t xml:space="preserve"> </w:t>
      </w:r>
      <w:r>
        <w:t>opportunities</w:t>
      </w:r>
      <w:r w:rsidR="006C6F09">
        <w:t xml:space="preserve"> </w:t>
      </w:r>
      <w:r>
        <w:t>for</w:t>
      </w:r>
      <w:r w:rsidR="006C6F09">
        <w:t xml:space="preserve"> </w:t>
      </w:r>
      <w:r>
        <w:t>accurate,</w:t>
      </w:r>
      <w:r w:rsidR="006C6F09">
        <w:t xml:space="preserve"> </w:t>
      </w:r>
      <w:r>
        <w:t>timely</w:t>
      </w:r>
      <w:r w:rsidR="006C6F09">
        <w:t xml:space="preserve"> </w:t>
      </w:r>
      <w:r>
        <w:t>information</w:t>
      </w:r>
      <w:r w:rsidR="006C6F09">
        <w:t xml:space="preserve"> </w:t>
      </w:r>
      <w:r>
        <w:t>upon</w:t>
      </w:r>
      <w:r w:rsidR="006C6F09">
        <w:t xml:space="preserve"> </w:t>
      </w:r>
      <w:r>
        <w:t>which</w:t>
      </w:r>
      <w:r w:rsidR="006C6F09">
        <w:t xml:space="preserve"> </w:t>
      </w:r>
      <w:r>
        <w:t>Texas</w:t>
      </w:r>
      <w:r w:rsidR="006C6F09">
        <w:t xml:space="preserve"> </w:t>
      </w:r>
      <w:r>
        <w:t>residents</w:t>
      </w:r>
      <w:r w:rsidR="006C6F09">
        <w:t xml:space="preserve"> </w:t>
      </w:r>
      <w:r>
        <w:t>can</w:t>
      </w:r>
      <w:r w:rsidR="006C6F09">
        <w:t xml:space="preserve"> </w:t>
      </w:r>
      <w:r>
        <w:t>rely.</w:t>
      </w:r>
    </w:p>
    <w:p w14:paraId="02160D7C" w14:textId="35D5C252" w:rsidR="00457754" w:rsidRDefault="00457754" w:rsidP="00457754">
      <w:pPr>
        <w:pStyle w:val="ListBullet"/>
      </w:pPr>
      <w:r>
        <w:t>Establish</w:t>
      </w:r>
      <w:r w:rsidR="006C6F09">
        <w:t xml:space="preserve"> </w:t>
      </w:r>
      <w:r>
        <w:t>and</w:t>
      </w:r>
      <w:r w:rsidR="006C6F09">
        <w:t xml:space="preserve"> </w:t>
      </w:r>
      <w:r>
        <w:t>maintain</w:t>
      </w:r>
      <w:r w:rsidR="006C6F09">
        <w:t xml:space="preserve"> </w:t>
      </w:r>
      <w:r>
        <w:t>a</w:t>
      </w:r>
      <w:r w:rsidR="006C6F09">
        <w:t xml:space="preserve"> </w:t>
      </w:r>
      <w:r>
        <w:t>TxDOT</w:t>
      </w:r>
      <w:r w:rsidR="006C6F09">
        <w:t xml:space="preserve"> </w:t>
      </w:r>
      <w:r>
        <w:t>reputation</w:t>
      </w:r>
      <w:r w:rsidR="006C6F09">
        <w:t xml:space="preserve"> </w:t>
      </w:r>
      <w:r>
        <w:t>as</w:t>
      </w:r>
      <w:r w:rsidR="006C6F09">
        <w:t xml:space="preserve"> </w:t>
      </w:r>
      <w:r>
        <w:t>a</w:t>
      </w:r>
      <w:r w:rsidR="006C6F09">
        <w:t xml:space="preserve"> </w:t>
      </w:r>
      <w:r>
        <w:t>trusted</w:t>
      </w:r>
      <w:r w:rsidR="006C6F09">
        <w:t xml:space="preserve"> </w:t>
      </w:r>
      <w:r>
        <w:t>source</w:t>
      </w:r>
      <w:r w:rsidR="006C6F09">
        <w:t xml:space="preserve"> </w:t>
      </w:r>
      <w:r>
        <w:t>of</w:t>
      </w:r>
      <w:r w:rsidR="006C6F09">
        <w:t xml:space="preserve"> </w:t>
      </w:r>
      <w:r>
        <w:t>information.</w:t>
      </w:r>
    </w:p>
    <w:p w14:paraId="230FFFBA" w14:textId="0B0C16E8" w:rsidR="00457754" w:rsidRDefault="00457754" w:rsidP="00457754">
      <w:pPr>
        <w:pStyle w:val="ListBullet"/>
      </w:pPr>
      <w:r>
        <w:t>Proactively</w:t>
      </w:r>
      <w:r w:rsidR="006C6F09">
        <w:t xml:space="preserve"> </w:t>
      </w:r>
      <w:r>
        <w:t>seek</w:t>
      </w:r>
      <w:r w:rsidR="006C6F09">
        <w:t xml:space="preserve"> </w:t>
      </w:r>
      <w:r>
        <w:t>early</w:t>
      </w:r>
      <w:r w:rsidR="006C6F09">
        <w:t xml:space="preserve"> </w:t>
      </w:r>
      <w:r>
        <w:t>and</w:t>
      </w:r>
      <w:r w:rsidR="006C6F09">
        <w:t xml:space="preserve"> </w:t>
      </w:r>
      <w:r>
        <w:t>continuing</w:t>
      </w:r>
      <w:r w:rsidR="006C6F09">
        <w:t xml:space="preserve"> </w:t>
      </w:r>
      <w:r>
        <w:t>public</w:t>
      </w:r>
      <w:r w:rsidR="006C6F09">
        <w:t xml:space="preserve"> </w:t>
      </w:r>
      <w:r>
        <w:t>input</w:t>
      </w:r>
      <w:r w:rsidR="006C6F09">
        <w:t xml:space="preserve"> </w:t>
      </w:r>
      <w:r>
        <w:t>and</w:t>
      </w:r>
      <w:r w:rsidR="006C6F09">
        <w:t xml:space="preserve"> </w:t>
      </w:r>
      <w:r>
        <w:t>involvement</w:t>
      </w:r>
      <w:r w:rsidR="006C6F09">
        <w:t xml:space="preserve"> </w:t>
      </w:r>
      <w:r>
        <w:t>and</w:t>
      </w:r>
      <w:r w:rsidR="006C6F09">
        <w:t xml:space="preserve"> </w:t>
      </w:r>
      <w:r>
        <w:t>be</w:t>
      </w:r>
      <w:r w:rsidR="006C6F09">
        <w:t xml:space="preserve"> </w:t>
      </w:r>
      <w:r>
        <w:t>responsive</w:t>
      </w:r>
      <w:r w:rsidR="006C6F09">
        <w:t xml:space="preserve"> </w:t>
      </w:r>
      <w:r>
        <w:t>to</w:t>
      </w:r>
      <w:r w:rsidR="006C6F09">
        <w:t xml:space="preserve"> </w:t>
      </w:r>
      <w:r>
        <w:t>inquiries</w:t>
      </w:r>
      <w:r w:rsidR="006C6F09">
        <w:t xml:space="preserve"> </w:t>
      </w:r>
      <w:r>
        <w:t>and</w:t>
      </w:r>
      <w:r w:rsidR="006C6F09">
        <w:t xml:space="preserve"> </w:t>
      </w:r>
      <w:r>
        <w:t>suggestions.</w:t>
      </w:r>
    </w:p>
    <w:p w14:paraId="37D24675" w14:textId="38E9C5C6" w:rsidR="00457754" w:rsidRDefault="00457754" w:rsidP="00457754">
      <w:pPr>
        <w:pStyle w:val="ListBullet"/>
      </w:pPr>
      <w:r>
        <w:t>Listen</w:t>
      </w:r>
      <w:r w:rsidR="006C6F09">
        <w:t xml:space="preserve"> </w:t>
      </w:r>
      <w:r>
        <w:t>to</w:t>
      </w:r>
      <w:r w:rsidR="006C6F09">
        <w:t xml:space="preserve"> </w:t>
      </w:r>
      <w:r>
        <w:t>stakeholders</w:t>
      </w:r>
      <w:r w:rsidR="006C6F09">
        <w:t xml:space="preserve"> </w:t>
      </w:r>
      <w:r>
        <w:t>when</w:t>
      </w:r>
      <w:r w:rsidR="006C6F09">
        <w:t xml:space="preserve"> </w:t>
      </w:r>
      <w:r>
        <w:t>comments</w:t>
      </w:r>
      <w:r w:rsidR="006C6F09">
        <w:t xml:space="preserve"> </w:t>
      </w:r>
      <w:r>
        <w:t>are</w:t>
      </w:r>
      <w:r w:rsidR="006C6F09">
        <w:t xml:space="preserve"> </w:t>
      </w:r>
      <w:r>
        <w:t>provided;</w:t>
      </w:r>
      <w:r w:rsidR="006C6F09">
        <w:t xml:space="preserve"> </w:t>
      </w:r>
      <w:r>
        <w:t>be</w:t>
      </w:r>
      <w:r w:rsidR="006C6F09">
        <w:t xml:space="preserve"> </w:t>
      </w:r>
      <w:r>
        <w:t>responsive</w:t>
      </w:r>
      <w:r w:rsidR="006C6F09">
        <w:t xml:space="preserve"> </w:t>
      </w:r>
      <w:r>
        <w:t>and</w:t>
      </w:r>
      <w:r w:rsidR="006C6F09">
        <w:t xml:space="preserve"> </w:t>
      </w:r>
      <w:r>
        <w:t>accountable</w:t>
      </w:r>
      <w:r w:rsidR="006C6F09">
        <w:t xml:space="preserve"> </w:t>
      </w:r>
      <w:r>
        <w:t>to</w:t>
      </w:r>
      <w:r w:rsidR="006C6F09">
        <w:t xml:space="preserve"> </w:t>
      </w:r>
      <w:r>
        <w:t>all</w:t>
      </w:r>
      <w:r w:rsidR="006C6F09">
        <w:t xml:space="preserve"> </w:t>
      </w:r>
      <w:r>
        <w:t>stakeholders.</w:t>
      </w:r>
    </w:p>
    <w:p w14:paraId="18E5D6B7" w14:textId="2C5C96E5" w:rsidR="00457754" w:rsidRDefault="00457754" w:rsidP="00457754">
      <w:pPr>
        <w:pStyle w:val="ListBullet"/>
      </w:pPr>
      <w:r>
        <w:lastRenderedPageBreak/>
        <w:t>Energetically</w:t>
      </w:r>
      <w:r w:rsidR="006C6F09">
        <w:t xml:space="preserve"> </w:t>
      </w:r>
      <w:r>
        <w:t>adhere</w:t>
      </w:r>
      <w:r w:rsidR="006C6F09">
        <w:t xml:space="preserve"> </w:t>
      </w:r>
      <w:r>
        <w:t>to</w:t>
      </w:r>
      <w:r w:rsidR="006C6F09">
        <w:t xml:space="preserve"> </w:t>
      </w:r>
      <w:r>
        <w:t>or</w:t>
      </w:r>
      <w:r w:rsidR="006C6F09">
        <w:t xml:space="preserve"> </w:t>
      </w:r>
      <w:r>
        <w:t>exceed</w:t>
      </w:r>
      <w:r w:rsidR="006C6F09">
        <w:t xml:space="preserve"> </w:t>
      </w:r>
      <w:r>
        <w:t>all</w:t>
      </w:r>
      <w:r w:rsidR="006C6F09">
        <w:t xml:space="preserve"> </w:t>
      </w:r>
      <w:r>
        <w:t>applicable</w:t>
      </w:r>
      <w:r w:rsidR="006C6F09">
        <w:t xml:space="preserve"> </w:t>
      </w:r>
      <w:r>
        <w:t>TxDOT,</w:t>
      </w:r>
      <w:r w:rsidR="006C6F09">
        <w:t xml:space="preserve"> </w:t>
      </w:r>
      <w:r>
        <w:t>state,</w:t>
      </w:r>
      <w:r w:rsidR="006C6F09">
        <w:t xml:space="preserve"> </w:t>
      </w:r>
      <w:r>
        <w:t>and</w:t>
      </w:r>
      <w:r w:rsidR="006C6F09">
        <w:t xml:space="preserve"> </w:t>
      </w:r>
      <w:r>
        <w:t>federal</w:t>
      </w:r>
      <w:r w:rsidR="006C6F09">
        <w:t xml:space="preserve"> </w:t>
      </w:r>
      <w:r>
        <w:t>public</w:t>
      </w:r>
      <w:r w:rsidR="006C6F09">
        <w:t xml:space="preserve"> </w:t>
      </w:r>
      <w:r>
        <w:t>involvement</w:t>
      </w:r>
      <w:r w:rsidR="006C6F09">
        <w:t xml:space="preserve"> </w:t>
      </w:r>
      <w:r>
        <w:t>requirements</w:t>
      </w:r>
      <w:r w:rsidR="006C6F09">
        <w:t xml:space="preserve"> </w:t>
      </w:r>
      <w:r>
        <w:t>for</w:t>
      </w:r>
      <w:r w:rsidR="006C6F09">
        <w:t xml:space="preserve"> </w:t>
      </w:r>
      <w:r>
        <w:t>planning</w:t>
      </w:r>
      <w:r w:rsidR="006C6F09">
        <w:t xml:space="preserve"> </w:t>
      </w:r>
      <w:r>
        <w:t>and</w:t>
      </w:r>
      <w:r w:rsidR="006C6F09">
        <w:t xml:space="preserve"> </w:t>
      </w:r>
      <w:r>
        <w:t>project</w:t>
      </w:r>
      <w:r w:rsidR="006C6F09">
        <w:t xml:space="preserve"> </w:t>
      </w:r>
      <w:r>
        <w:t>implementation.</w:t>
      </w:r>
    </w:p>
    <w:p w14:paraId="446AE6A6" w14:textId="2E059B93" w:rsidR="00457754" w:rsidRDefault="00457754" w:rsidP="00457754">
      <w:pPr>
        <w:pStyle w:val="ListBullet"/>
      </w:pPr>
      <w:r>
        <w:t>Use</w:t>
      </w:r>
      <w:r w:rsidR="006C6F09">
        <w:t xml:space="preserve"> </w:t>
      </w:r>
      <w:r>
        <w:t>multiple</w:t>
      </w:r>
      <w:r w:rsidR="006C6F09">
        <w:t xml:space="preserve"> </w:t>
      </w:r>
      <w:r>
        <w:t>methods</w:t>
      </w:r>
      <w:r w:rsidR="006C6F09">
        <w:t xml:space="preserve"> </w:t>
      </w:r>
      <w:r>
        <w:t>to</w:t>
      </w:r>
      <w:r w:rsidR="006C6F09">
        <w:t xml:space="preserve"> </w:t>
      </w:r>
      <w:r>
        <w:t>explain</w:t>
      </w:r>
      <w:r w:rsidR="006C6F09">
        <w:t xml:space="preserve"> </w:t>
      </w:r>
      <w:r>
        <w:t>TxDOT</w:t>
      </w:r>
      <w:r w:rsidR="006C6F09">
        <w:t xml:space="preserve"> </w:t>
      </w:r>
      <w:r>
        <w:t>processes,</w:t>
      </w:r>
      <w:r w:rsidR="006C6F09">
        <w:t xml:space="preserve"> </w:t>
      </w:r>
      <w:r>
        <w:t>priorities,</w:t>
      </w:r>
      <w:r w:rsidR="006C6F09">
        <w:t xml:space="preserve"> </w:t>
      </w:r>
      <w:r>
        <w:t>and</w:t>
      </w:r>
      <w:r w:rsidR="006C6F09">
        <w:t xml:space="preserve"> </w:t>
      </w:r>
      <w:r>
        <w:t>procedures,</w:t>
      </w:r>
      <w:r w:rsidR="006C6F09">
        <w:t xml:space="preserve"> </w:t>
      </w:r>
      <w:r>
        <w:t>so</w:t>
      </w:r>
      <w:r w:rsidR="006C6F09">
        <w:t xml:space="preserve"> </w:t>
      </w:r>
      <w:r>
        <w:t>the</w:t>
      </w:r>
      <w:r w:rsidR="006C6F09">
        <w:t xml:space="preserve"> </w:t>
      </w:r>
      <w:r>
        <w:t>public</w:t>
      </w:r>
      <w:r w:rsidR="006C6F09">
        <w:t xml:space="preserve"> </w:t>
      </w:r>
      <w:r>
        <w:t>will</w:t>
      </w:r>
      <w:r w:rsidR="006C6F09">
        <w:t xml:space="preserve"> </w:t>
      </w:r>
      <w:r>
        <w:t>have</w:t>
      </w:r>
      <w:r w:rsidR="006C6F09">
        <w:t xml:space="preserve"> </w:t>
      </w:r>
      <w:r>
        <w:t>a</w:t>
      </w:r>
      <w:r w:rsidR="006C6F09">
        <w:t xml:space="preserve"> </w:t>
      </w:r>
      <w:r>
        <w:t>solid</w:t>
      </w:r>
      <w:r w:rsidR="006C6F09">
        <w:t xml:space="preserve"> </w:t>
      </w:r>
      <w:r>
        <w:t>foundation</w:t>
      </w:r>
      <w:r w:rsidR="006C6F09">
        <w:t xml:space="preserve"> </w:t>
      </w:r>
      <w:r>
        <w:t>upon</w:t>
      </w:r>
      <w:r w:rsidR="006C6F09">
        <w:t xml:space="preserve"> </w:t>
      </w:r>
      <w:r>
        <w:t>which</w:t>
      </w:r>
      <w:r w:rsidR="006C6F09">
        <w:t xml:space="preserve"> </w:t>
      </w:r>
      <w:r>
        <w:t>to</w:t>
      </w:r>
      <w:r w:rsidR="006C6F09">
        <w:t xml:space="preserve"> </w:t>
      </w:r>
      <w:r>
        <w:t>make</w:t>
      </w:r>
      <w:r w:rsidR="006C6F09">
        <w:t xml:space="preserve"> </w:t>
      </w:r>
      <w:r>
        <w:t>requests,</w:t>
      </w:r>
      <w:r w:rsidR="006C6F09">
        <w:t xml:space="preserve"> </w:t>
      </w:r>
      <w:r>
        <w:t>inquires,</w:t>
      </w:r>
      <w:r w:rsidR="006C6F09">
        <w:t xml:space="preserve"> </w:t>
      </w:r>
      <w:r>
        <w:t>and</w:t>
      </w:r>
      <w:r w:rsidR="006C6F09">
        <w:t xml:space="preserve"> </w:t>
      </w:r>
      <w:r>
        <w:t>suggestions.</w:t>
      </w:r>
    </w:p>
    <w:p w14:paraId="541F42AC" w14:textId="00A3DBF0" w:rsidR="00457754" w:rsidRDefault="00457754" w:rsidP="00457754">
      <w:r>
        <w:t>In</w:t>
      </w:r>
      <w:r w:rsidR="006C6F09">
        <w:t xml:space="preserve"> </w:t>
      </w:r>
      <w:r>
        <w:t>addition,</w:t>
      </w:r>
      <w:r w:rsidR="006C6F09">
        <w:t xml:space="preserve"> </w:t>
      </w:r>
      <w:r>
        <w:t>TxDOT</w:t>
      </w:r>
      <w:r w:rsidR="006C6F09">
        <w:t xml:space="preserve"> </w:t>
      </w:r>
      <w:r>
        <w:t>complies</w:t>
      </w:r>
      <w:r w:rsidR="006C6F09">
        <w:t xml:space="preserve"> </w:t>
      </w:r>
      <w:r>
        <w:t>with</w:t>
      </w:r>
      <w:r w:rsidR="006C6F09">
        <w:t xml:space="preserve"> </w:t>
      </w:r>
      <w:r>
        <w:t>the</w:t>
      </w:r>
      <w:r w:rsidR="006C6F09">
        <w:t xml:space="preserve"> </w:t>
      </w:r>
      <w:r>
        <w:t>following</w:t>
      </w:r>
      <w:r w:rsidR="006C6F09">
        <w:t xml:space="preserve"> </w:t>
      </w:r>
      <w:r>
        <w:t>federal</w:t>
      </w:r>
      <w:r w:rsidR="006C6F09">
        <w:t xml:space="preserve"> </w:t>
      </w:r>
      <w:r>
        <w:t>and</w:t>
      </w:r>
      <w:r w:rsidR="006C6F09">
        <w:t xml:space="preserve"> </w:t>
      </w:r>
      <w:r>
        <w:t>state</w:t>
      </w:r>
      <w:r w:rsidR="006C6F09">
        <w:t xml:space="preserve"> </w:t>
      </w:r>
      <w:r>
        <w:t>requirements.</w:t>
      </w:r>
    </w:p>
    <w:p w14:paraId="4E4DAE8E" w14:textId="1557AD48" w:rsidR="00457754" w:rsidRDefault="00457754" w:rsidP="00457754">
      <w:pPr>
        <w:pStyle w:val="ListBullet"/>
      </w:pPr>
      <w:hyperlink r:id="rId23" w:history="1">
        <w:r>
          <w:rPr>
            <w:rStyle w:val="Hyperlink"/>
          </w:rPr>
          <w:t>Title</w:t>
        </w:r>
        <w:r w:rsidR="006C6F09">
          <w:rPr>
            <w:rStyle w:val="Hyperlink"/>
          </w:rPr>
          <w:t xml:space="preserve"> </w:t>
        </w:r>
        <w:r>
          <w:rPr>
            <w:rStyle w:val="Hyperlink"/>
          </w:rPr>
          <w:t>23</w:t>
        </w:r>
        <w:r w:rsidR="006C6F09">
          <w:rPr>
            <w:rStyle w:val="Hyperlink"/>
          </w:rPr>
          <w:t xml:space="preserve"> </w:t>
        </w:r>
        <w:r>
          <w:rPr>
            <w:rStyle w:val="Hyperlink"/>
          </w:rPr>
          <w:t>United</w:t>
        </w:r>
        <w:r w:rsidR="006C6F09">
          <w:rPr>
            <w:rStyle w:val="Hyperlink"/>
          </w:rPr>
          <w:t xml:space="preserve"> </w:t>
        </w:r>
        <w:r>
          <w:rPr>
            <w:rStyle w:val="Hyperlink"/>
          </w:rPr>
          <w:t>States</w:t>
        </w:r>
        <w:r w:rsidR="006C6F09">
          <w:rPr>
            <w:rStyle w:val="Hyperlink"/>
          </w:rPr>
          <w:t xml:space="preserve"> </w:t>
        </w:r>
        <w:r>
          <w:rPr>
            <w:rStyle w:val="Hyperlink"/>
          </w:rPr>
          <w:t>Code</w:t>
        </w:r>
        <w:r w:rsidR="006C6F09">
          <w:rPr>
            <w:rStyle w:val="Hyperlink"/>
          </w:rPr>
          <w:t xml:space="preserve"> </w:t>
        </w:r>
        <w:r>
          <w:rPr>
            <w:rStyle w:val="Hyperlink"/>
          </w:rPr>
          <w:t>139:</w:t>
        </w:r>
        <w:r w:rsidR="006C6F09">
          <w:rPr>
            <w:rStyle w:val="Hyperlink"/>
          </w:rPr>
          <w:t xml:space="preserve"> </w:t>
        </w:r>
        <w:r>
          <w:rPr>
            <w:rStyle w:val="Hyperlink"/>
          </w:rPr>
          <w:t>Efficient</w:t>
        </w:r>
        <w:r w:rsidR="006C6F09">
          <w:rPr>
            <w:rStyle w:val="Hyperlink"/>
          </w:rPr>
          <w:t xml:space="preserve"> </w:t>
        </w:r>
        <w:r>
          <w:rPr>
            <w:rStyle w:val="Hyperlink"/>
          </w:rPr>
          <w:t>Environmental</w:t>
        </w:r>
        <w:r w:rsidR="006C6F09">
          <w:rPr>
            <w:rStyle w:val="Hyperlink"/>
          </w:rPr>
          <w:t xml:space="preserve"> </w:t>
        </w:r>
        <w:r>
          <w:rPr>
            <w:rStyle w:val="Hyperlink"/>
          </w:rPr>
          <w:t>Reviews</w:t>
        </w:r>
        <w:r w:rsidR="006C6F09">
          <w:rPr>
            <w:rStyle w:val="Hyperlink"/>
          </w:rPr>
          <w:t xml:space="preserve"> </w:t>
        </w:r>
        <w:r>
          <w:rPr>
            <w:rStyle w:val="Hyperlink"/>
          </w:rPr>
          <w:t>for</w:t>
        </w:r>
        <w:r w:rsidR="006C6F09">
          <w:rPr>
            <w:rStyle w:val="Hyperlink"/>
          </w:rPr>
          <w:t xml:space="preserve"> </w:t>
        </w:r>
        <w:r>
          <w:rPr>
            <w:rStyle w:val="Hyperlink"/>
          </w:rPr>
          <w:t>Project</w:t>
        </w:r>
        <w:r w:rsidR="006C6F09">
          <w:rPr>
            <w:rStyle w:val="Hyperlink"/>
          </w:rPr>
          <w:t xml:space="preserve"> </w:t>
        </w:r>
        <w:r w:rsidR="003914D9">
          <w:rPr>
            <w:rStyle w:val="Hyperlink"/>
          </w:rPr>
          <w:t>Decision</w:t>
        </w:r>
        <w:r w:rsidR="006C6F09">
          <w:rPr>
            <w:rStyle w:val="Hyperlink"/>
          </w:rPr>
          <w:t xml:space="preserve"> </w:t>
        </w:r>
        <w:r w:rsidR="003914D9">
          <w:rPr>
            <w:rStyle w:val="Hyperlink"/>
          </w:rPr>
          <w:t>making</w:t>
        </w:r>
        <w:r w:rsidR="006C6F09">
          <w:rPr>
            <w:rStyle w:val="Hyperlink"/>
          </w:rPr>
          <w:t xml:space="preserve"> </w:t>
        </w:r>
        <w:r>
          <w:rPr>
            <w:rStyle w:val="Hyperlink"/>
          </w:rPr>
          <w:t>and</w:t>
        </w:r>
        <w:r w:rsidR="006C6F09">
          <w:rPr>
            <w:rStyle w:val="Hyperlink"/>
          </w:rPr>
          <w:t xml:space="preserve"> </w:t>
        </w:r>
        <w:r>
          <w:rPr>
            <w:rStyle w:val="Hyperlink"/>
          </w:rPr>
          <w:t>One</w:t>
        </w:r>
        <w:r w:rsidR="006C6F09">
          <w:rPr>
            <w:rStyle w:val="Hyperlink"/>
          </w:rPr>
          <w:t xml:space="preserve"> </w:t>
        </w:r>
        <w:r>
          <w:rPr>
            <w:rStyle w:val="Hyperlink"/>
          </w:rPr>
          <w:t>Federal</w:t>
        </w:r>
        <w:r w:rsidR="006C6F09">
          <w:rPr>
            <w:rStyle w:val="Hyperlink"/>
          </w:rPr>
          <w:t xml:space="preserve"> </w:t>
        </w:r>
        <w:r>
          <w:rPr>
            <w:rStyle w:val="Hyperlink"/>
          </w:rPr>
          <w:t>Decision</w:t>
        </w:r>
        <w:r w:rsidR="006C6F09">
          <w:rPr>
            <w:rStyle w:val="Hyperlink"/>
          </w:rPr>
          <w:t xml:space="preserve"> </w:t>
        </w:r>
      </w:hyperlink>
      <w:r w:rsidRPr="004E6E7A">
        <w:t>:</w:t>
      </w:r>
      <w:r w:rsidR="006C6F09">
        <w:t xml:space="preserve"> </w:t>
      </w:r>
      <w:r>
        <w:t>Efficient</w:t>
      </w:r>
      <w:r w:rsidR="006C6F09">
        <w:t xml:space="preserve"> </w:t>
      </w:r>
      <w:r>
        <w:t>Environmental</w:t>
      </w:r>
      <w:r w:rsidR="006C6F09">
        <w:t xml:space="preserve"> </w:t>
      </w:r>
      <w:r>
        <w:t>Reviews</w:t>
      </w:r>
      <w:r w:rsidR="006C6F09">
        <w:t xml:space="preserve"> </w:t>
      </w:r>
      <w:r>
        <w:t>for</w:t>
      </w:r>
      <w:r w:rsidR="006C6F09">
        <w:t xml:space="preserve"> </w:t>
      </w:r>
      <w:r>
        <w:t>Project</w:t>
      </w:r>
      <w:r w:rsidR="006C6F09">
        <w:t xml:space="preserve"> </w:t>
      </w:r>
      <w:r w:rsidR="003914D9">
        <w:t>Decision</w:t>
      </w:r>
      <w:r w:rsidR="006C6F09">
        <w:t xml:space="preserve"> </w:t>
      </w:r>
      <w:r w:rsidR="003914D9">
        <w:t>making</w:t>
      </w:r>
    </w:p>
    <w:p w14:paraId="152E50E9" w14:textId="05B3943C" w:rsidR="00457754" w:rsidRDefault="00457754" w:rsidP="00457754">
      <w:pPr>
        <w:pStyle w:val="ListBullet"/>
      </w:pPr>
      <w:hyperlink r:id="rId24" w:history="1">
        <w:r>
          <w:rPr>
            <w:rStyle w:val="Hyperlink"/>
          </w:rPr>
          <w:t>Title</w:t>
        </w:r>
        <w:r w:rsidR="006C6F09">
          <w:rPr>
            <w:rStyle w:val="Hyperlink"/>
          </w:rPr>
          <w:t xml:space="preserve"> </w:t>
        </w:r>
        <w:r>
          <w:rPr>
            <w:rStyle w:val="Hyperlink"/>
          </w:rPr>
          <w:t>23</w:t>
        </w:r>
        <w:r w:rsidR="006C6F09">
          <w:rPr>
            <w:rStyle w:val="Hyperlink"/>
          </w:rPr>
          <w:t xml:space="preserve"> </w:t>
        </w:r>
        <w:r>
          <w:rPr>
            <w:rStyle w:val="Hyperlink"/>
          </w:rPr>
          <w:t>United</w:t>
        </w:r>
        <w:r w:rsidR="006C6F09">
          <w:rPr>
            <w:rStyle w:val="Hyperlink"/>
          </w:rPr>
          <w:t xml:space="preserve"> </w:t>
        </w:r>
        <w:r>
          <w:rPr>
            <w:rStyle w:val="Hyperlink"/>
          </w:rPr>
          <w:t>States</w:t>
        </w:r>
        <w:r w:rsidR="006C6F09">
          <w:rPr>
            <w:rStyle w:val="Hyperlink"/>
          </w:rPr>
          <w:t xml:space="preserve"> </w:t>
        </w:r>
        <w:r>
          <w:rPr>
            <w:rStyle w:val="Hyperlink"/>
          </w:rPr>
          <w:t>Code</w:t>
        </w:r>
        <w:r w:rsidR="006C6F09">
          <w:rPr>
            <w:rStyle w:val="Hyperlink"/>
          </w:rPr>
          <w:t xml:space="preserve"> </w:t>
        </w:r>
        <w:r>
          <w:rPr>
            <w:rStyle w:val="Hyperlink"/>
          </w:rPr>
          <w:t>128:</w:t>
        </w:r>
        <w:r w:rsidR="006C6F09">
          <w:rPr>
            <w:rStyle w:val="Hyperlink"/>
          </w:rPr>
          <w:t xml:space="preserve"> </w:t>
        </w:r>
        <w:r>
          <w:rPr>
            <w:rStyle w:val="Hyperlink"/>
          </w:rPr>
          <w:t>Public</w:t>
        </w:r>
        <w:r w:rsidR="006C6F09">
          <w:rPr>
            <w:rStyle w:val="Hyperlink"/>
          </w:rPr>
          <w:t xml:space="preserve"> </w:t>
        </w:r>
        <w:r>
          <w:rPr>
            <w:rStyle w:val="Hyperlink"/>
          </w:rPr>
          <w:t>Hearings</w:t>
        </w:r>
      </w:hyperlink>
      <w:r w:rsidRPr="004E6E7A">
        <w:t>:</w:t>
      </w:r>
      <w:r w:rsidR="006C6F09">
        <w:t xml:space="preserve"> </w:t>
      </w:r>
      <w:r>
        <w:t>Public</w:t>
      </w:r>
      <w:r w:rsidR="006C6F09">
        <w:t xml:space="preserve"> </w:t>
      </w:r>
      <w:r>
        <w:t>Hearings</w:t>
      </w:r>
    </w:p>
    <w:p w14:paraId="2CE2AD86" w14:textId="271F5922" w:rsidR="00457754" w:rsidRDefault="00457754" w:rsidP="00457754">
      <w:pPr>
        <w:pStyle w:val="ListBullet"/>
      </w:pPr>
      <w:r>
        <w:t>Title</w:t>
      </w:r>
      <w:r w:rsidR="006C6F09">
        <w:t xml:space="preserve"> </w:t>
      </w:r>
      <w:r>
        <w:t>VI</w:t>
      </w:r>
      <w:r w:rsidR="006C6F09">
        <w:t xml:space="preserve"> </w:t>
      </w:r>
      <w:r>
        <w:t>of</w:t>
      </w:r>
      <w:r w:rsidR="006C6F09">
        <w:t xml:space="preserve"> </w:t>
      </w:r>
      <w:r>
        <w:t>the</w:t>
      </w:r>
      <w:r w:rsidR="006C6F09">
        <w:t xml:space="preserve"> </w:t>
      </w:r>
      <w:r>
        <w:t>Civil</w:t>
      </w:r>
      <w:r w:rsidR="006C6F09">
        <w:t xml:space="preserve"> </w:t>
      </w:r>
      <w:r>
        <w:t>Rights</w:t>
      </w:r>
      <w:r w:rsidR="006C6F09">
        <w:t xml:space="preserve"> </w:t>
      </w:r>
      <w:r>
        <w:t>Act</w:t>
      </w:r>
      <w:r w:rsidR="006C6F09">
        <w:t xml:space="preserve"> </w:t>
      </w:r>
      <w:r>
        <w:t>of</w:t>
      </w:r>
      <w:r w:rsidR="006C6F09">
        <w:t xml:space="preserve"> </w:t>
      </w:r>
      <w:r>
        <w:t>1964,</w:t>
      </w:r>
      <w:r w:rsidR="006C6F09">
        <w:t xml:space="preserve"> </w:t>
      </w:r>
      <w:r>
        <w:t>as</w:t>
      </w:r>
      <w:r w:rsidR="006C6F09">
        <w:t xml:space="preserve"> </w:t>
      </w:r>
      <w:r>
        <w:t>codified</w:t>
      </w:r>
      <w:r w:rsidR="006C6F09">
        <w:t xml:space="preserve"> </w:t>
      </w:r>
      <w:r>
        <w:t>at</w:t>
      </w:r>
      <w:r w:rsidR="006C6F09">
        <w:t xml:space="preserve"> </w:t>
      </w:r>
      <w:hyperlink r:id="rId25" w:history="1">
        <w:r>
          <w:rPr>
            <w:rStyle w:val="Hyperlink"/>
          </w:rPr>
          <w:t>Title</w:t>
        </w:r>
        <w:r w:rsidR="006C6F09">
          <w:rPr>
            <w:rStyle w:val="Hyperlink"/>
          </w:rPr>
          <w:t xml:space="preserve"> </w:t>
        </w:r>
        <w:r>
          <w:rPr>
            <w:rStyle w:val="Hyperlink"/>
          </w:rPr>
          <w:t>42</w:t>
        </w:r>
        <w:r w:rsidR="006C6F09">
          <w:rPr>
            <w:rStyle w:val="Hyperlink"/>
          </w:rPr>
          <w:t xml:space="preserve"> </w:t>
        </w:r>
        <w:r>
          <w:rPr>
            <w:rStyle w:val="Hyperlink"/>
          </w:rPr>
          <w:t>United</w:t>
        </w:r>
        <w:r w:rsidR="006C6F09">
          <w:rPr>
            <w:rStyle w:val="Hyperlink"/>
          </w:rPr>
          <w:t xml:space="preserve"> </w:t>
        </w:r>
        <w:r>
          <w:rPr>
            <w:rStyle w:val="Hyperlink"/>
          </w:rPr>
          <w:t>States</w:t>
        </w:r>
        <w:r w:rsidR="006C6F09">
          <w:rPr>
            <w:rStyle w:val="Hyperlink"/>
          </w:rPr>
          <w:t xml:space="preserve"> </w:t>
        </w:r>
        <w:r>
          <w:rPr>
            <w:rStyle w:val="Hyperlink"/>
          </w:rPr>
          <w:t>Code</w:t>
        </w:r>
        <w:r w:rsidR="006C6F09">
          <w:rPr>
            <w:rStyle w:val="Hyperlink"/>
          </w:rPr>
          <w:t xml:space="preserve"> </w:t>
        </w:r>
        <w:r>
          <w:rPr>
            <w:rStyle w:val="Hyperlink"/>
          </w:rPr>
          <w:t>2000d(1-7):</w:t>
        </w:r>
        <w:r w:rsidR="006C6F09">
          <w:rPr>
            <w:rStyle w:val="Hyperlink"/>
          </w:rPr>
          <w:t xml:space="preserve"> </w:t>
        </w:r>
        <w:r>
          <w:rPr>
            <w:rStyle w:val="Hyperlink"/>
          </w:rPr>
          <w:t>Prohibition</w:t>
        </w:r>
        <w:r w:rsidR="006C6F09">
          <w:rPr>
            <w:rStyle w:val="Hyperlink"/>
          </w:rPr>
          <w:t xml:space="preserve"> </w:t>
        </w:r>
        <w:r>
          <w:rPr>
            <w:rStyle w:val="Hyperlink"/>
          </w:rPr>
          <w:t>Against</w:t>
        </w:r>
        <w:r w:rsidR="006C6F09">
          <w:rPr>
            <w:rStyle w:val="Hyperlink"/>
          </w:rPr>
          <w:t xml:space="preserve"> </w:t>
        </w:r>
        <w:r>
          <w:rPr>
            <w:rStyle w:val="Hyperlink"/>
          </w:rPr>
          <w:t>Exclusion</w:t>
        </w:r>
        <w:r w:rsidR="006C6F09">
          <w:rPr>
            <w:rStyle w:val="Hyperlink"/>
          </w:rPr>
          <w:t xml:space="preserve"> </w:t>
        </w:r>
        <w:r>
          <w:rPr>
            <w:rStyle w:val="Hyperlink"/>
          </w:rPr>
          <w:t>from</w:t>
        </w:r>
        <w:r w:rsidR="006C6F09">
          <w:rPr>
            <w:rStyle w:val="Hyperlink"/>
          </w:rPr>
          <w:t xml:space="preserve"> </w:t>
        </w:r>
        <w:r>
          <w:rPr>
            <w:rStyle w:val="Hyperlink"/>
          </w:rPr>
          <w:t>Participation</w:t>
        </w:r>
        <w:r w:rsidR="006C6F09">
          <w:rPr>
            <w:rStyle w:val="Hyperlink"/>
          </w:rPr>
          <w:t xml:space="preserve"> </w:t>
        </w:r>
        <w:r>
          <w:rPr>
            <w:rStyle w:val="Hyperlink"/>
          </w:rPr>
          <w:t>in,</w:t>
        </w:r>
        <w:r w:rsidR="006C6F09">
          <w:rPr>
            <w:rStyle w:val="Hyperlink"/>
          </w:rPr>
          <w:t xml:space="preserve"> </w:t>
        </w:r>
        <w:r>
          <w:rPr>
            <w:rStyle w:val="Hyperlink"/>
          </w:rPr>
          <w:t>Denial</w:t>
        </w:r>
        <w:r w:rsidR="006C6F09">
          <w:rPr>
            <w:rStyle w:val="Hyperlink"/>
          </w:rPr>
          <w:t xml:space="preserve"> </w:t>
        </w:r>
        <w:r>
          <w:rPr>
            <w:rStyle w:val="Hyperlink"/>
          </w:rPr>
          <w:t>of</w:t>
        </w:r>
        <w:r w:rsidR="006C6F09">
          <w:rPr>
            <w:rStyle w:val="Hyperlink"/>
          </w:rPr>
          <w:t xml:space="preserve"> </w:t>
        </w:r>
        <w:r>
          <w:rPr>
            <w:rStyle w:val="Hyperlink"/>
          </w:rPr>
          <w:t>Benefits</w:t>
        </w:r>
        <w:r w:rsidR="006C6F09">
          <w:rPr>
            <w:rStyle w:val="Hyperlink"/>
          </w:rPr>
          <w:t xml:space="preserve"> </w:t>
        </w:r>
        <w:r>
          <w:rPr>
            <w:rStyle w:val="Hyperlink"/>
          </w:rPr>
          <w:t>of,</w:t>
        </w:r>
        <w:r w:rsidR="006C6F09">
          <w:rPr>
            <w:rStyle w:val="Hyperlink"/>
          </w:rPr>
          <w:t xml:space="preserve"> </w:t>
        </w:r>
        <w:r>
          <w:rPr>
            <w:rStyle w:val="Hyperlink"/>
          </w:rPr>
          <w:t>and</w:t>
        </w:r>
        <w:r w:rsidR="006C6F09">
          <w:rPr>
            <w:rStyle w:val="Hyperlink"/>
          </w:rPr>
          <w:t xml:space="preserve"> </w:t>
        </w:r>
        <w:r>
          <w:rPr>
            <w:rStyle w:val="Hyperlink"/>
          </w:rPr>
          <w:t>Discrimination</w:t>
        </w:r>
        <w:r w:rsidR="006C6F09">
          <w:rPr>
            <w:rStyle w:val="Hyperlink"/>
          </w:rPr>
          <w:t xml:space="preserve"> </w:t>
        </w:r>
        <w:r>
          <w:rPr>
            <w:rStyle w:val="Hyperlink"/>
          </w:rPr>
          <w:t>Under</w:t>
        </w:r>
        <w:r w:rsidR="006C6F09">
          <w:rPr>
            <w:rStyle w:val="Hyperlink"/>
          </w:rPr>
          <w:t xml:space="preserve"> </w:t>
        </w:r>
        <w:r>
          <w:rPr>
            <w:rStyle w:val="Hyperlink"/>
          </w:rPr>
          <w:t>Federally</w:t>
        </w:r>
        <w:r w:rsidR="006C6F09">
          <w:rPr>
            <w:rStyle w:val="Hyperlink"/>
          </w:rPr>
          <w:t xml:space="preserve"> </w:t>
        </w:r>
        <w:r>
          <w:rPr>
            <w:rStyle w:val="Hyperlink"/>
          </w:rPr>
          <w:t>Assisted</w:t>
        </w:r>
        <w:r w:rsidR="006C6F09">
          <w:rPr>
            <w:rStyle w:val="Hyperlink"/>
          </w:rPr>
          <w:t xml:space="preserve"> </w:t>
        </w:r>
        <w:r>
          <w:rPr>
            <w:rStyle w:val="Hyperlink"/>
          </w:rPr>
          <w:t>Programs</w:t>
        </w:r>
        <w:r w:rsidR="006C6F09">
          <w:rPr>
            <w:rStyle w:val="Hyperlink"/>
          </w:rPr>
          <w:t xml:space="preserve"> </w:t>
        </w:r>
        <w:r>
          <w:rPr>
            <w:rStyle w:val="Hyperlink"/>
          </w:rPr>
          <w:t>on</w:t>
        </w:r>
        <w:r w:rsidR="006C6F09">
          <w:rPr>
            <w:rStyle w:val="Hyperlink"/>
          </w:rPr>
          <w:t xml:space="preserve"> </w:t>
        </w:r>
        <w:r>
          <w:rPr>
            <w:rStyle w:val="Hyperlink"/>
          </w:rPr>
          <w:t>Ground</w:t>
        </w:r>
        <w:r w:rsidR="006C6F09">
          <w:rPr>
            <w:rStyle w:val="Hyperlink"/>
          </w:rPr>
          <w:t xml:space="preserve"> </w:t>
        </w:r>
        <w:r>
          <w:rPr>
            <w:rStyle w:val="Hyperlink"/>
          </w:rPr>
          <w:t>of</w:t>
        </w:r>
        <w:r w:rsidR="006C6F09">
          <w:rPr>
            <w:rStyle w:val="Hyperlink"/>
          </w:rPr>
          <w:t xml:space="preserve"> </w:t>
        </w:r>
        <w:r>
          <w:rPr>
            <w:rStyle w:val="Hyperlink"/>
          </w:rPr>
          <w:t>Race,</w:t>
        </w:r>
        <w:r w:rsidR="006C6F09">
          <w:rPr>
            <w:rStyle w:val="Hyperlink"/>
          </w:rPr>
          <w:t xml:space="preserve"> </w:t>
        </w:r>
        <w:r>
          <w:rPr>
            <w:rStyle w:val="Hyperlink"/>
          </w:rPr>
          <w:t>Color,</w:t>
        </w:r>
        <w:r w:rsidR="006C6F09">
          <w:rPr>
            <w:rStyle w:val="Hyperlink"/>
          </w:rPr>
          <w:t xml:space="preserve"> </w:t>
        </w:r>
        <w:r>
          <w:rPr>
            <w:rStyle w:val="Hyperlink"/>
          </w:rPr>
          <w:t>or</w:t>
        </w:r>
        <w:r w:rsidR="006C6F09">
          <w:rPr>
            <w:rStyle w:val="Hyperlink"/>
          </w:rPr>
          <w:t xml:space="preserve"> </w:t>
        </w:r>
        <w:r>
          <w:rPr>
            <w:rStyle w:val="Hyperlink"/>
          </w:rPr>
          <w:t>National</w:t>
        </w:r>
        <w:r w:rsidR="006C6F09">
          <w:rPr>
            <w:rStyle w:val="Hyperlink"/>
          </w:rPr>
          <w:t xml:space="preserve"> </w:t>
        </w:r>
        <w:r>
          <w:rPr>
            <w:rStyle w:val="Hyperlink"/>
          </w:rPr>
          <w:t>Origin</w:t>
        </w:r>
      </w:hyperlink>
    </w:p>
    <w:p w14:paraId="0F27ADF9" w14:textId="5914F872" w:rsidR="00457754" w:rsidRDefault="00457754" w:rsidP="00457754">
      <w:pPr>
        <w:pStyle w:val="ListBullet"/>
      </w:pPr>
      <w:r>
        <w:t>Section</w:t>
      </w:r>
      <w:r w:rsidR="006C6F09">
        <w:t xml:space="preserve"> </w:t>
      </w:r>
      <w:r>
        <w:t>106</w:t>
      </w:r>
      <w:r w:rsidR="006C6F09">
        <w:t xml:space="preserve"> </w:t>
      </w:r>
      <w:r>
        <w:t>of</w:t>
      </w:r>
      <w:r w:rsidR="006C6F09">
        <w:t xml:space="preserve"> </w:t>
      </w:r>
      <w:r>
        <w:t>the</w:t>
      </w:r>
      <w:r w:rsidR="006C6F09">
        <w:t xml:space="preserve"> </w:t>
      </w:r>
      <w:r>
        <w:t>National</w:t>
      </w:r>
      <w:r w:rsidR="006C6F09">
        <w:t xml:space="preserve"> </w:t>
      </w:r>
      <w:r>
        <w:t>Historic</w:t>
      </w:r>
      <w:r w:rsidR="006C6F09">
        <w:t xml:space="preserve"> </w:t>
      </w:r>
      <w:r>
        <w:t>Preservation</w:t>
      </w:r>
      <w:r w:rsidR="006C6F09">
        <w:t xml:space="preserve"> </w:t>
      </w:r>
      <w:r>
        <w:t>Act</w:t>
      </w:r>
      <w:r w:rsidR="006C6F09">
        <w:t xml:space="preserve"> </w:t>
      </w:r>
      <w:r>
        <w:t>at</w:t>
      </w:r>
      <w:r w:rsidR="006C6F09">
        <w:t xml:space="preserve"> </w:t>
      </w:r>
      <w:hyperlink r:id="rId26" w:history="1">
        <w:r>
          <w:rPr>
            <w:rStyle w:val="Hyperlink"/>
          </w:rPr>
          <w:t>Title</w:t>
        </w:r>
        <w:r w:rsidR="006C6F09">
          <w:rPr>
            <w:rStyle w:val="Hyperlink"/>
          </w:rPr>
          <w:t xml:space="preserve"> </w:t>
        </w:r>
        <w:r>
          <w:rPr>
            <w:rStyle w:val="Hyperlink"/>
          </w:rPr>
          <w:t>16</w:t>
        </w:r>
        <w:r w:rsidR="006C6F09">
          <w:rPr>
            <w:rStyle w:val="Hyperlink"/>
          </w:rPr>
          <w:t xml:space="preserve"> </w:t>
        </w:r>
        <w:r>
          <w:rPr>
            <w:rStyle w:val="Hyperlink"/>
          </w:rPr>
          <w:t>United</w:t>
        </w:r>
        <w:r w:rsidR="006C6F09">
          <w:rPr>
            <w:rStyle w:val="Hyperlink"/>
          </w:rPr>
          <w:t xml:space="preserve"> </w:t>
        </w:r>
        <w:r>
          <w:rPr>
            <w:rStyle w:val="Hyperlink"/>
          </w:rPr>
          <w:t>States</w:t>
        </w:r>
        <w:r w:rsidR="006C6F09">
          <w:rPr>
            <w:rStyle w:val="Hyperlink"/>
          </w:rPr>
          <w:t xml:space="preserve"> </w:t>
        </w:r>
        <w:r>
          <w:rPr>
            <w:rStyle w:val="Hyperlink"/>
          </w:rPr>
          <w:t>Code</w:t>
        </w:r>
        <w:r w:rsidR="006C6F09">
          <w:rPr>
            <w:rStyle w:val="Hyperlink"/>
          </w:rPr>
          <w:t xml:space="preserve"> </w:t>
        </w:r>
        <w:r>
          <w:rPr>
            <w:rStyle w:val="Hyperlink"/>
          </w:rPr>
          <w:t>470:</w:t>
        </w:r>
        <w:r w:rsidR="006C6F09">
          <w:rPr>
            <w:rStyle w:val="Hyperlink"/>
          </w:rPr>
          <w:t xml:space="preserve"> </w:t>
        </w:r>
        <w:r>
          <w:rPr>
            <w:rStyle w:val="Hyperlink"/>
          </w:rPr>
          <w:t>Short</w:t>
        </w:r>
        <w:r w:rsidR="006C6F09">
          <w:rPr>
            <w:rStyle w:val="Hyperlink"/>
          </w:rPr>
          <w:t xml:space="preserve"> </w:t>
        </w:r>
        <w:r>
          <w:rPr>
            <w:rStyle w:val="Hyperlink"/>
          </w:rPr>
          <w:t>Title;</w:t>
        </w:r>
        <w:r w:rsidR="006C6F09">
          <w:rPr>
            <w:rStyle w:val="Hyperlink"/>
          </w:rPr>
          <w:t xml:space="preserve"> </w:t>
        </w:r>
        <w:r>
          <w:rPr>
            <w:rStyle w:val="Hyperlink"/>
          </w:rPr>
          <w:t>Congressional</w:t>
        </w:r>
        <w:r w:rsidR="006C6F09">
          <w:rPr>
            <w:rStyle w:val="Hyperlink"/>
          </w:rPr>
          <w:t xml:space="preserve"> </w:t>
        </w:r>
        <w:r>
          <w:rPr>
            <w:rStyle w:val="Hyperlink"/>
          </w:rPr>
          <w:t>Finding</w:t>
        </w:r>
        <w:r w:rsidR="006C6F09">
          <w:rPr>
            <w:rStyle w:val="Hyperlink"/>
          </w:rPr>
          <w:t xml:space="preserve"> </w:t>
        </w:r>
        <w:r>
          <w:rPr>
            <w:rStyle w:val="Hyperlink"/>
          </w:rPr>
          <w:t>and</w:t>
        </w:r>
        <w:r w:rsidR="006C6F09">
          <w:rPr>
            <w:rStyle w:val="Hyperlink"/>
          </w:rPr>
          <w:t xml:space="preserve"> </w:t>
        </w:r>
        <w:r>
          <w:rPr>
            <w:rStyle w:val="Hyperlink"/>
          </w:rPr>
          <w:t>Declaration</w:t>
        </w:r>
        <w:r w:rsidR="006C6F09">
          <w:rPr>
            <w:rStyle w:val="Hyperlink"/>
          </w:rPr>
          <w:t xml:space="preserve"> </w:t>
        </w:r>
        <w:r>
          <w:rPr>
            <w:rStyle w:val="Hyperlink"/>
          </w:rPr>
          <w:t>of</w:t>
        </w:r>
        <w:r w:rsidR="006C6F09">
          <w:rPr>
            <w:rStyle w:val="Hyperlink"/>
          </w:rPr>
          <w:t xml:space="preserve"> </w:t>
        </w:r>
        <w:r>
          <w:rPr>
            <w:rStyle w:val="Hyperlink"/>
          </w:rPr>
          <w:t>Policy</w:t>
        </w:r>
      </w:hyperlink>
      <w:r w:rsidR="006C6F09">
        <w:t xml:space="preserve"> </w:t>
      </w:r>
      <w:r>
        <w:t>and</w:t>
      </w:r>
      <w:r w:rsidR="006C6F09">
        <w:t xml:space="preserve"> </w:t>
      </w:r>
      <w:hyperlink r:id="rId27" w:history="1">
        <w:r>
          <w:rPr>
            <w:rStyle w:val="Hyperlink"/>
          </w:rPr>
          <w:t>Title</w:t>
        </w:r>
        <w:r w:rsidR="006C6F09">
          <w:rPr>
            <w:rStyle w:val="Hyperlink"/>
          </w:rPr>
          <w:t xml:space="preserve"> </w:t>
        </w:r>
        <w:r>
          <w:rPr>
            <w:rStyle w:val="Hyperlink"/>
          </w:rPr>
          <w:t>36</w:t>
        </w:r>
        <w:r w:rsidR="006C6F09">
          <w:rPr>
            <w:rStyle w:val="Hyperlink"/>
          </w:rPr>
          <w:t xml:space="preserve"> </w:t>
        </w:r>
        <w:r>
          <w:rPr>
            <w:rStyle w:val="Hyperlink"/>
          </w:rPr>
          <w:t>Code</w:t>
        </w:r>
        <w:r w:rsidR="006C6F09">
          <w:rPr>
            <w:rStyle w:val="Hyperlink"/>
          </w:rPr>
          <w:t xml:space="preserve"> </w:t>
        </w:r>
        <w:r>
          <w:rPr>
            <w:rStyle w:val="Hyperlink"/>
          </w:rPr>
          <w:t>of</w:t>
        </w:r>
        <w:r w:rsidR="006C6F09">
          <w:rPr>
            <w:rStyle w:val="Hyperlink"/>
          </w:rPr>
          <w:t xml:space="preserve"> </w:t>
        </w:r>
        <w:r>
          <w:rPr>
            <w:rStyle w:val="Hyperlink"/>
          </w:rPr>
          <w:t>Federal</w:t>
        </w:r>
        <w:r w:rsidR="006C6F09">
          <w:rPr>
            <w:rStyle w:val="Hyperlink"/>
          </w:rPr>
          <w:t xml:space="preserve"> </w:t>
        </w:r>
        <w:r>
          <w:rPr>
            <w:rStyle w:val="Hyperlink"/>
          </w:rPr>
          <w:t>Regulations</w:t>
        </w:r>
        <w:r w:rsidR="006C6F09">
          <w:rPr>
            <w:rStyle w:val="Hyperlink"/>
          </w:rPr>
          <w:t xml:space="preserve"> </w:t>
        </w:r>
        <w:r>
          <w:rPr>
            <w:rStyle w:val="Hyperlink"/>
          </w:rPr>
          <w:t>Part</w:t>
        </w:r>
        <w:r w:rsidR="006C6F09">
          <w:rPr>
            <w:rStyle w:val="Hyperlink"/>
          </w:rPr>
          <w:t xml:space="preserve"> </w:t>
        </w:r>
        <w:r>
          <w:rPr>
            <w:rStyle w:val="Hyperlink"/>
          </w:rPr>
          <w:t>800:</w:t>
        </w:r>
        <w:r w:rsidR="006C6F09">
          <w:rPr>
            <w:rStyle w:val="Hyperlink"/>
          </w:rPr>
          <w:t xml:space="preserve"> </w:t>
        </w:r>
        <w:r>
          <w:rPr>
            <w:rStyle w:val="Hyperlink"/>
          </w:rPr>
          <w:t>Protection</w:t>
        </w:r>
        <w:r w:rsidR="006C6F09">
          <w:rPr>
            <w:rStyle w:val="Hyperlink"/>
          </w:rPr>
          <w:t xml:space="preserve"> </w:t>
        </w:r>
        <w:r>
          <w:rPr>
            <w:rStyle w:val="Hyperlink"/>
          </w:rPr>
          <w:t>of</w:t>
        </w:r>
        <w:r w:rsidR="006C6F09">
          <w:rPr>
            <w:rStyle w:val="Hyperlink"/>
          </w:rPr>
          <w:t xml:space="preserve"> </w:t>
        </w:r>
        <w:r>
          <w:rPr>
            <w:rStyle w:val="Hyperlink"/>
          </w:rPr>
          <w:t>Historic</w:t>
        </w:r>
        <w:r w:rsidR="006C6F09">
          <w:rPr>
            <w:rStyle w:val="Hyperlink"/>
          </w:rPr>
          <w:t xml:space="preserve"> </w:t>
        </w:r>
        <w:r>
          <w:rPr>
            <w:rStyle w:val="Hyperlink"/>
          </w:rPr>
          <w:t>Properties</w:t>
        </w:r>
      </w:hyperlink>
      <w:r w:rsidR="006C6F09">
        <w:t xml:space="preserve"> </w:t>
      </w:r>
      <w:r>
        <w:t>procedures</w:t>
      </w:r>
      <w:r w:rsidR="006C6F09">
        <w:t xml:space="preserve"> </w:t>
      </w:r>
      <w:r>
        <w:t>for</w:t>
      </w:r>
      <w:r w:rsidR="006C6F09">
        <w:t xml:space="preserve"> </w:t>
      </w:r>
      <w:r>
        <w:t>implementation</w:t>
      </w:r>
    </w:p>
    <w:p w14:paraId="0049D718" w14:textId="511CDF0E" w:rsidR="00457754" w:rsidRDefault="00457754" w:rsidP="00457754">
      <w:pPr>
        <w:pStyle w:val="ListBullet"/>
      </w:pPr>
      <w:r>
        <w:t>Section</w:t>
      </w:r>
      <w:r w:rsidR="006C6F09">
        <w:t xml:space="preserve"> </w:t>
      </w:r>
      <w:r>
        <w:t>4(f)</w:t>
      </w:r>
      <w:r w:rsidR="006C6F09">
        <w:t xml:space="preserve"> </w:t>
      </w:r>
      <w:r>
        <w:t>of</w:t>
      </w:r>
      <w:r w:rsidR="006C6F09">
        <w:t xml:space="preserve"> </w:t>
      </w:r>
      <w:r>
        <w:t>the</w:t>
      </w:r>
      <w:r w:rsidR="006C6F09">
        <w:t xml:space="preserve"> </w:t>
      </w:r>
      <w:r>
        <w:t>U.S.</w:t>
      </w:r>
      <w:r w:rsidR="006C6F09">
        <w:t xml:space="preserve"> </w:t>
      </w:r>
      <w:r w:rsidRPr="00FF7084">
        <w:t>Department</w:t>
      </w:r>
      <w:r w:rsidR="006C6F09">
        <w:t xml:space="preserve"> </w:t>
      </w:r>
      <w:r w:rsidRPr="00FF7084">
        <w:t>of</w:t>
      </w:r>
      <w:r w:rsidR="006C6F09">
        <w:t xml:space="preserve"> </w:t>
      </w:r>
      <w:r w:rsidRPr="00FF7084">
        <w:t>Transportation</w:t>
      </w:r>
      <w:r w:rsidR="006C6F09">
        <w:t xml:space="preserve"> </w:t>
      </w:r>
      <w:r w:rsidRPr="00FF7084">
        <w:t>Act</w:t>
      </w:r>
      <w:r w:rsidR="006C6F09">
        <w:t xml:space="preserve"> </w:t>
      </w:r>
      <w:r w:rsidRPr="00FF7084">
        <w:t>as</w:t>
      </w:r>
      <w:r w:rsidR="006C6F09">
        <w:t xml:space="preserve"> </w:t>
      </w:r>
      <w:r w:rsidRPr="00FF7084">
        <w:t>codified</w:t>
      </w:r>
      <w:r w:rsidR="006C6F09">
        <w:t xml:space="preserve"> </w:t>
      </w:r>
      <w:r w:rsidRPr="00FF7084">
        <w:t>at</w:t>
      </w:r>
      <w:r w:rsidR="006C6F09">
        <w:t xml:space="preserve"> </w:t>
      </w:r>
      <w:hyperlink r:id="rId28" w:history="1">
        <w:r>
          <w:rPr>
            <w:rStyle w:val="Hyperlink"/>
          </w:rPr>
          <w:t>Title</w:t>
        </w:r>
        <w:r w:rsidR="006C6F09">
          <w:rPr>
            <w:rStyle w:val="Hyperlink"/>
          </w:rPr>
          <w:t xml:space="preserve"> </w:t>
        </w:r>
        <w:r>
          <w:rPr>
            <w:rStyle w:val="Hyperlink"/>
          </w:rPr>
          <w:t>23</w:t>
        </w:r>
        <w:r w:rsidR="006C6F09">
          <w:rPr>
            <w:rStyle w:val="Hyperlink"/>
          </w:rPr>
          <w:t xml:space="preserve"> </w:t>
        </w:r>
        <w:r>
          <w:rPr>
            <w:rStyle w:val="Hyperlink"/>
          </w:rPr>
          <w:t>United</w:t>
        </w:r>
        <w:r w:rsidR="006C6F09">
          <w:rPr>
            <w:rStyle w:val="Hyperlink"/>
          </w:rPr>
          <w:t xml:space="preserve"> </w:t>
        </w:r>
        <w:r>
          <w:rPr>
            <w:rStyle w:val="Hyperlink"/>
          </w:rPr>
          <w:t>States</w:t>
        </w:r>
        <w:r w:rsidR="006C6F09">
          <w:rPr>
            <w:rStyle w:val="Hyperlink"/>
          </w:rPr>
          <w:t xml:space="preserve"> </w:t>
        </w:r>
        <w:r>
          <w:rPr>
            <w:rStyle w:val="Hyperlink"/>
          </w:rPr>
          <w:t>Code</w:t>
        </w:r>
        <w:r w:rsidR="006C6F09">
          <w:rPr>
            <w:rStyle w:val="Hyperlink"/>
          </w:rPr>
          <w:t xml:space="preserve"> </w:t>
        </w:r>
        <w:r>
          <w:rPr>
            <w:rStyle w:val="Hyperlink"/>
          </w:rPr>
          <w:t>138:</w:t>
        </w:r>
        <w:r w:rsidR="006C6F09">
          <w:rPr>
            <w:rStyle w:val="Hyperlink"/>
          </w:rPr>
          <w:t xml:space="preserve"> </w:t>
        </w:r>
        <w:r>
          <w:rPr>
            <w:rStyle w:val="Hyperlink"/>
          </w:rPr>
          <w:t>Preservation</w:t>
        </w:r>
        <w:r w:rsidR="006C6F09">
          <w:rPr>
            <w:rStyle w:val="Hyperlink"/>
          </w:rPr>
          <w:t xml:space="preserve"> </w:t>
        </w:r>
        <w:r>
          <w:rPr>
            <w:rStyle w:val="Hyperlink"/>
          </w:rPr>
          <w:t>of</w:t>
        </w:r>
        <w:r w:rsidR="006C6F09">
          <w:rPr>
            <w:rStyle w:val="Hyperlink"/>
          </w:rPr>
          <w:t xml:space="preserve"> </w:t>
        </w:r>
        <w:r>
          <w:rPr>
            <w:rStyle w:val="Hyperlink"/>
          </w:rPr>
          <w:t>Parklands</w:t>
        </w:r>
      </w:hyperlink>
      <w:r w:rsidR="006C6F09">
        <w:t xml:space="preserve"> </w:t>
      </w:r>
      <w:r w:rsidRPr="00FF7084">
        <w:t>and</w:t>
      </w:r>
      <w:r w:rsidR="006C6F09">
        <w:t xml:space="preserve"> </w:t>
      </w:r>
      <w:hyperlink r:id="rId29" w:history="1">
        <w:r>
          <w:rPr>
            <w:rStyle w:val="Hyperlink"/>
          </w:rPr>
          <w:t>Title</w:t>
        </w:r>
        <w:r w:rsidR="006C6F09">
          <w:rPr>
            <w:rStyle w:val="Hyperlink"/>
          </w:rPr>
          <w:t xml:space="preserve"> </w:t>
        </w:r>
        <w:r>
          <w:rPr>
            <w:rStyle w:val="Hyperlink"/>
          </w:rPr>
          <w:t>49</w:t>
        </w:r>
        <w:r w:rsidR="006C6F09">
          <w:rPr>
            <w:rStyle w:val="Hyperlink"/>
          </w:rPr>
          <w:t xml:space="preserve"> </w:t>
        </w:r>
        <w:r>
          <w:rPr>
            <w:rStyle w:val="Hyperlink"/>
          </w:rPr>
          <w:t>United</w:t>
        </w:r>
        <w:r w:rsidR="006C6F09">
          <w:rPr>
            <w:rStyle w:val="Hyperlink"/>
          </w:rPr>
          <w:t xml:space="preserve"> </w:t>
        </w:r>
        <w:r>
          <w:rPr>
            <w:rStyle w:val="Hyperlink"/>
          </w:rPr>
          <w:t>States</w:t>
        </w:r>
        <w:r w:rsidR="006C6F09">
          <w:rPr>
            <w:rStyle w:val="Hyperlink"/>
          </w:rPr>
          <w:t xml:space="preserve"> </w:t>
        </w:r>
        <w:r>
          <w:rPr>
            <w:rStyle w:val="Hyperlink"/>
          </w:rPr>
          <w:t>Code</w:t>
        </w:r>
        <w:r w:rsidR="006C6F09">
          <w:rPr>
            <w:rStyle w:val="Hyperlink"/>
          </w:rPr>
          <w:t xml:space="preserve"> </w:t>
        </w:r>
        <w:r>
          <w:rPr>
            <w:rStyle w:val="Hyperlink"/>
          </w:rPr>
          <w:t>303:</w:t>
        </w:r>
        <w:r w:rsidR="006C6F09">
          <w:rPr>
            <w:rStyle w:val="Hyperlink"/>
          </w:rPr>
          <w:t xml:space="preserve"> </w:t>
        </w:r>
        <w:r>
          <w:rPr>
            <w:rStyle w:val="Hyperlink"/>
          </w:rPr>
          <w:t>Policy</w:t>
        </w:r>
        <w:r w:rsidR="006C6F09">
          <w:rPr>
            <w:rStyle w:val="Hyperlink"/>
          </w:rPr>
          <w:t xml:space="preserve"> </w:t>
        </w:r>
        <w:r>
          <w:rPr>
            <w:rStyle w:val="Hyperlink"/>
          </w:rPr>
          <w:t>on</w:t>
        </w:r>
        <w:r w:rsidR="006C6F09">
          <w:rPr>
            <w:rStyle w:val="Hyperlink"/>
          </w:rPr>
          <w:t xml:space="preserve"> </w:t>
        </w:r>
        <w:r>
          <w:rPr>
            <w:rStyle w:val="Hyperlink"/>
          </w:rPr>
          <w:t>Lands,</w:t>
        </w:r>
        <w:r w:rsidR="006C6F09">
          <w:rPr>
            <w:rStyle w:val="Hyperlink"/>
          </w:rPr>
          <w:t xml:space="preserve"> </w:t>
        </w:r>
        <w:r>
          <w:rPr>
            <w:rStyle w:val="Hyperlink"/>
          </w:rPr>
          <w:t>Wildlife</w:t>
        </w:r>
        <w:r w:rsidR="006C6F09">
          <w:rPr>
            <w:rStyle w:val="Hyperlink"/>
          </w:rPr>
          <w:t xml:space="preserve"> </w:t>
        </w:r>
        <w:r>
          <w:rPr>
            <w:rStyle w:val="Hyperlink"/>
          </w:rPr>
          <w:t>and</w:t>
        </w:r>
        <w:r w:rsidR="006C6F09">
          <w:rPr>
            <w:rStyle w:val="Hyperlink"/>
          </w:rPr>
          <w:t xml:space="preserve"> </w:t>
        </w:r>
        <w:r>
          <w:rPr>
            <w:rStyle w:val="Hyperlink"/>
          </w:rPr>
          <w:t>Waterfowl</w:t>
        </w:r>
        <w:r w:rsidR="006C6F09">
          <w:rPr>
            <w:rStyle w:val="Hyperlink"/>
          </w:rPr>
          <w:t xml:space="preserve"> </w:t>
        </w:r>
        <w:r>
          <w:rPr>
            <w:rStyle w:val="Hyperlink"/>
          </w:rPr>
          <w:t>Refuges,</w:t>
        </w:r>
        <w:r w:rsidR="006C6F09">
          <w:rPr>
            <w:rStyle w:val="Hyperlink"/>
          </w:rPr>
          <w:t xml:space="preserve"> </w:t>
        </w:r>
        <w:r>
          <w:rPr>
            <w:rStyle w:val="Hyperlink"/>
          </w:rPr>
          <w:t>and</w:t>
        </w:r>
        <w:r w:rsidR="006C6F09">
          <w:rPr>
            <w:rStyle w:val="Hyperlink"/>
          </w:rPr>
          <w:t xml:space="preserve"> </w:t>
        </w:r>
        <w:r>
          <w:rPr>
            <w:rStyle w:val="Hyperlink"/>
          </w:rPr>
          <w:t>Historic</w:t>
        </w:r>
        <w:r w:rsidR="006C6F09">
          <w:rPr>
            <w:rStyle w:val="Hyperlink"/>
          </w:rPr>
          <w:t xml:space="preserve"> </w:t>
        </w:r>
        <w:r>
          <w:rPr>
            <w:rStyle w:val="Hyperlink"/>
          </w:rPr>
          <w:t>Sites</w:t>
        </w:r>
      </w:hyperlink>
      <w:r>
        <w:t>;</w:t>
      </w:r>
      <w:r w:rsidR="006C6F09">
        <w:t xml:space="preserve"> </w:t>
      </w:r>
      <w:r>
        <w:t>de</w:t>
      </w:r>
      <w:r w:rsidR="006C6F09">
        <w:t xml:space="preserve"> </w:t>
      </w:r>
      <w:r>
        <w:t>minimis</w:t>
      </w:r>
      <w:r w:rsidR="006C6F09">
        <w:t xml:space="preserve"> </w:t>
      </w:r>
      <w:r>
        <w:t>impact</w:t>
      </w:r>
      <w:r w:rsidR="006C6F09">
        <w:t xml:space="preserve"> </w:t>
      </w:r>
      <w:r>
        <w:t>determinations</w:t>
      </w:r>
      <w:r w:rsidR="006C6F09">
        <w:t xml:space="preserve"> </w:t>
      </w:r>
      <w:r>
        <w:t>under</w:t>
      </w:r>
      <w:r w:rsidR="006C6F09">
        <w:t xml:space="preserve"> </w:t>
      </w:r>
      <w:hyperlink r:id="rId30" w:anchor="se23.1.774_15" w:history="1">
        <w:r>
          <w:rPr>
            <w:rStyle w:val="Hyperlink"/>
          </w:rPr>
          <w:t>Title</w:t>
        </w:r>
        <w:r w:rsidR="006C6F09">
          <w:rPr>
            <w:rStyle w:val="Hyperlink"/>
          </w:rPr>
          <w:t xml:space="preserve"> </w:t>
        </w:r>
        <w:r>
          <w:rPr>
            <w:rStyle w:val="Hyperlink"/>
          </w:rPr>
          <w:t>23</w:t>
        </w:r>
        <w:r w:rsidR="006C6F09">
          <w:rPr>
            <w:rStyle w:val="Hyperlink"/>
          </w:rPr>
          <w:t xml:space="preserve"> </w:t>
        </w:r>
        <w:r>
          <w:rPr>
            <w:rStyle w:val="Hyperlink"/>
          </w:rPr>
          <w:t>Code</w:t>
        </w:r>
        <w:r w:rsidR="006C6F09">
          <w:rPr>
            <w:rStyle w:val="Hyperlink"/>
          </w:rPr>
          <w:t xml:space="preserve"> </w:t>
        </w:r>
        <w:r>
          <w:rPr>
            <w:rStyle w:val="Hyperlink"/>
          </w:rPr>
          <w:t>of</w:t>
        </w:r>
        <w:r w:rsidR="006C6F09">
          <w:rPr>
            <w:rStyle w:val="Hyperlink"/>
          </w:rPr>
          <w:t xml:space="preserve"> </w:t>
        </w:r>
        <w:r>
          <w:rPr>
            <w:rStyle w:val="Hyperlink"/>
          </w:rPr>
          <w:t>Federal</w:t>
        </w:r>
        <w:r w:rsidR="006C6F09">
          <w:rPr>
            <w:rStyle w:val="Hyperlink"/>
          </w:rPr>
          <w:t xml:space="preserve"> </w:t>
        </w:r>
        <w:r>
          <w:rPr>
            <w:rStyle w:val="Hyperlink"/>
          </w:rPr>
          <w:t>Regulations</w:t>
        </w:r>
        <w:r w:rsidR="006C6F09">
          <w:rPr>
            <w:rStyle w:val="Hyperlink"/>
          </w:rPr>
          <w:t xml:space="preserve"> </w:t>
        </w:r>
        <w:r>
          <w:rPr>
            <w:rStyle w:val="Hyperlink"/>
          </w:rPr>
          <w:t>Part</w:t>
        </w:r>
        <w:r w:rsidR="006C6F09">
          <w:rPr>
            <w:rStyle w:val="Hyperlink"/>
          </w:rPr>
          <w:t xml:space="preserve"> </w:t>
        </w:r>
        <w:r>
          <w:rPr>
            <w:rStyle w:val="Hyperlink"/>
          </w:rPr>
          <w:t>774.5(b):</w:t>
        </w:r>
        <w:r w:rsidR="006C6F09">
          <w:rPr>
            <w:rStyle w:val="Hyperlink"/>
          </w:rPr>
          <w:t xml:space="preserve"> </w:t>
        </w:r>
        <w:r>
          <w:rPr>
            <w:rStyle w:val="Hyperlink"/>
          </w:rPr>
          <w:t>Parks,</w:t>
        </w:r>
        <w:r w:rsidR="006C6F09">
          <w:rPr>
            <w:rStyle w:val="Hyperlink"/>
          </w:rPr>
          <w:t xml:space="preserve"> </w:t>
        </w:r>
        <w:r>
          <w:rPr>
            <w:rStyle w:val="Hyperlink"/>
          </w:rPr>
          <w:t>Recreation</w:t>
        </w:r>
        <w:r w:rsidR="006C6F09">
          <w:rPr>
            <w:rStyle w:val="Hyperlink"/>
          </w:rPr>
          <w:t xml:space="preserve"> </w:t>
        </w:r>
        <w:r>
          <w:rPr>
            <w:rStyle w:val="Hyperlink"/>
          </w:rPr>
          <w:t>Areas,</w:t>
        </w:r>
        <w:r w:rsidR="006C6F09">
          <w:rPr>
            <w:rStyle w:val="Hyperlink"/>
          </w:rPr>
          <w:t xml:space="preserve"> </w:t>
        </w:r>
        <w:r>
          <w:rPr>
            <w:rStyle w:val="Hyperlink"/>
          </w:rPr>
          <w:t>Wildlife</w:t>
        </w:r>
        <w:r w:rsidR="006C6F09">
          <w:rPr>
            <w:rStyle w:val="Hyperlink"/>
          </w:rPr>
          <w:t xml:space="preserve"> </w:t>
        </w:r>
        <w:r>
          <w:rPr>
            <w:rStyle w:val="Hyperlink"/>
          </w:rPr>
          <w:t>and</w:t>
        </w:r>
        <w:r w:rsidR="006C6F09">
          <w:rPr>
            <w:rStyle w:val="Hyperlink"/>
          </w:rPr>
          <w:t xml:space="preserve"> </w:t>
        </w:r>
        <w:r>
          <w:rPr>
            <w:rStyle w:val="Hyperlink"/>
          </w:rPr>
          <w:t>Waterfowl</w:t>
        </w:r>
        <w:r w:rsidR="006C6F09">
          <w:rPr>
            <w:rStyle w:val="Hyperlink"/>
          </w:rPr>
          <w:t xml:space="preserve"> </w:t>
        </w:r>
        <w:r>
          <w:rPr>
            <w:rStyle w:val="Hyperlink"/>
          </w:rPr>
          <w:t>Refuges,</w:t>
        </w:r>
        <w:r w:rsidR="006C6F09">
          <w:rPr>
            <w:rStyle w:val="Hyperlink"/>
          </w:rPr>
          <w:t xml:space="preserve"> </w:t>
        </w:r>
        <w:r>
          <w:rPr>
            <w:rStyle w:val="Hyperlink"/>
          </w:rPr>
          <w:t>and</w:t>
        </w:r>
        <w:r w:rsidR="006C6F09">
          <w:rPr>
            <w:rStyle w:val="Hyperlink"/>
          </w:rPr>
          <w:t xml:space="preserve"> </w:t>
        </w:r>
        <w:r>
          <w:rPr>
            <w:rStyle w:val="Hyperlink"/>
          </w:rPr>
          <w:t>Historic</w:t>
        </w:r>
        <w:r w:rsidR="006C6F09">
          <w:rPr>
            <w:rStyle w:val="Hyperlink"/>
          </w:rPr>
          <w:t xml:space="preserve"> </w:t>
        </w:r>
        <w:r>
          <w:rPr>
            <w:rStyle w:val="Hyperlink"/>
          </w:rPr>
          <w:t>Sites</w:t>
        </w:r>
        <w:r w:rsidR="006C6F09">
          <w:rPr>
            <w:rStyle w:val="Hyperlink"/>
          </w:rPr>
          <w:t xml:space="preserve"> </w:t>
        </w:r>
        <w:r>
          <w:rPr>
            <w:rStyle w:val="Hyperlink"/>
          </w:rPr>
          <w:t>(Section4(f)</w:t>
        </w:r>
      </w:hyperlink>
    </w:p>
    <w:p w14:paraId="2BCD5896" w14:textId="2B9ACC51" w:rsidR="00457754" w:rsidRDefault="00457754" w:rsidP="00457754">
      <w:pPr>
        <w:pStyle w:val="ListBullet"/>
      </w:pPr>
      <w:hyperlink r:id="rId31" w:history="1">
        <w:r w:rsidRPr="00127C9E">
          <w:rPr>
            <w:rStyle w:val="Hyperlink"/>
          </w:rPr>
          <w:t>First</w:t>
        </w:r>
        <w:r w:rsidR="006C6F09">
          <w:rPr>
            <w:rStyle w:val="Hyperlink"/>
          </w:rPr>
          <w:t xml:space="preserve"> </w:t>
        </w:r>
        <w:r w:rsidRPr="00127C9E">
          <w:rPr>
            <w:rStyle w:val="Hyperlink"/>
          </w:rPr>
          <w:t>Renewed</w:t>
        </w:r>
        <w:r w:rsidR="006C6F09">
          <w:rPr>
            <w:rStyle w:val="Hyperlink"/>
          </w:rPr>
          <w:t xml:space="preserve"> </w:t>
        </w:r>
        <w:r w:rsidRPr="00127C9E">
          <w:rPr>
            <w:rStyle w:val="Hyperlink"/>
          </w:rPr>
          <w:t>Memorandum</w:t>
        </w:r>
        <w:r w:rsidR="006C6F09">
          <w:rPr>
            <w:rStyle w:val="Hyperlink"/>
          </w:rPr>
          <w:t xml:space="preserve"> </w:t>
        </w:r>
        <w:r w:rsidRPr="00127C9E">
          <w:rPr>
            <w:rStyle w:val="Hyperlink"/>
          </w:rPr>
          <w:t>of</w:t>
        </w:r>
        <w:r w:rsidR="006C6F09">
          <w:rPr>
            <w:rStyle w:val="Hyperlink"/>
          </w:rPr>
          <w:t xml:space="preserve"> </w:t>
        </w:r>
        <w:r w:rsidRPr="00127C9E">
          <w:rPr>
            <w:rStyle w:val="Hyperlink"/>
          </w:rPr>
          <w:t>Understanding</w:t>
        </w:r>
        <w:r w:rsidR="006C6F09">
          <w:rPr>
            <w:rStyle w:val="Hyperlink"/>
          </w:rPr>
          <w:t xml:space="preserve"> </w:t>
        </w:r>
        <w:r w:rsidRPr="00127C9E">
          <w:rPr>
            <w:rStyle w:val="Hyperlink"/>
          </w:rPr>
          <w:t>Between</w:t>
        </w:r>
        <w:r w:rsidR="006C6F09">
          <w:rPr>
            <w:rStyle w:val="Hyperlink"/>
          </w:rPr>
          <w:t xml:space="preserve"> </w:t>
        </w:r>
        <w:r w:rsidRPr="00127C9E">
          <w:rPr>
            <w:rStyle w:val="Hyperlink"/>
          </w:rPr>
          <w:t>the</w:t>
        </w:r>
        <w:r w:rsidR="006C6F09">
          <w:rPr>
            <w:rStyle w:val="Hyperlink"/>
          </w:rPr>
          <w:t xml:space="preserve"> </w:t>
        </w:r>
        <w:r w:rsidRPr="00127C9E">
          <w:rPr>
            <w:rStyle w:val="Hyperlink"/>
          </w:rPr>
          <w:t>Federal</w:t>
        </w:r>
        <w:r w:rsidR="006C6F09">
          <w:rPr>
            <w:rStyle w:val="Hyperlink"/>
          </w:rPr>
          <w:t xml:space="preserve"> </w:t>
        </w:r>
        <w:r w:rsidRPr="00127C9E">
          <w:rPr>
            <w:rStyle w:val="Hyperlink"/>
          </w:rPr>
          <w:t>Highway</w:t>
        </w:r>
        <w:r w:rsidR="006C6F09">
          <w:rPr>
            <w:rStyle w:val="Hyperlink"/>
          </w:rPr>
          <w:t xml:space="preserve"> </w:t>
        </w:r>
        <w:r w:rsidRPr="00127C9E">
          <w:rPr>
            <w:rStyle w:val="Hyperlink"/>
          </w:rPr>
          <w:t>Administration</w:t>
        </w:r>
        <w:r w:rsidR="006C6F09">
          <w:rPr>
            <w:rStyle w:val="Hyperlink"/>
          </w:rPr>
          <w:t xml:space="preserve"> </w:t>
        </w:r>
        <w:r w:rsidRPr="00127C9E">
          <w:rPr>
            <w:rStyle w:val="Hyperlink"/>
          </w:rPr>
          <w:t>and</w:t>
        </w:r>
        <w:r w:rsidR="006C6F09">
          <w:rPr>
            <w:rStyle w:val="Hyperlink"/>
          </w:rPr>
          <w:t xml:space="preserve"> </w:t>
        </w:r>
        <w:r w:rsidRPr="00127C9E">
          <w:rPr>
            <w:rStyle w:val="Hyperlink"/>
          </w:rPr>
          <w:t>the</w:t>
        </w:r>
        <w:r w:rsidR="006C6F09">
          <w:rPr>
            <w:rStyle w:val="Hyperlink"/>
          </w:rPr>
          <w:t xml:space="preserve"> </w:t>
        </w:r>
        <w:r w:rsidRPr="00127C9E">
          <w:rPr>
            <w:rStyle w:val="Hyperlink"/>
          </w:rPr>
          <w:t>Texas</w:t>
        </w:r>
        <w:r w:rsidR="006C6F09">
          <w:rPr>
            <w:rStyle w:val="Hyperlink"/>
          </w:rPr>
          <w:t xml:space="preserve"> </w:t>
        </w:r>
        <w:r w:rsidRPr="00127C9E">
          <w:rPr>
            <w:rStyle w:val="Hyperlink"/>
          </w:rPr>
          <w:t>Department</w:t>
        </w:r>
        <w:r w:rsidR="006C6F09">
          <w:rPr>
            <w:rStyle w:val="Hyperlink"/>
          </w:rPr>
          <w:t xml:space="preserve"> </w:t>
        </w:r>
        <w:r w:rsidRPr="00127C9E">
          <w:rPr>
            <w:rStyle w:val="Hyperlink"/>
          </w:rPr>
          <w:t>of</w:t>
        </w:r>
        <w:r w:rsidR="006C6F09">
          <w:rPr>
            <w:rStyle w:val="Hyperlink"/>
          </w:rPr>
          <w:t xml:space="preserve"> </w:t>
        </w:r>
        <w:r w:rsidRPr="00127C9E">
          <w:rPr>
            <w:rStyle w:val="Hyperlink"/>
          </w:rPr>
          <w:t>Transportation</w:t>
        </w:r>
        <w:r w:rsidR="006C6F09">
          <w:rPr>
            <w:rStyle w:val="Hyperlink"/>
          </w:rPr>
          <w:t xml:space="preserve"> </w:t>
        </w:r>
        <w:r w:rsidRPr="00127C9E">
          <w:rPr>
            <w:rStyle w:val="Hyperlink"/>
          </w:rPr>
          <w:t>Concerning</w:t>
        </w:r>
        <w:r w:rsidR="006C6F09">
          <w:rPr>
            <w:rStyle w:val="Hyperlink"/>
          </w:rPr>
          <w:t xml:space="preserve"> </w:t>
        </w:r>
        <w:r w:rsidRPr="00127C9E">
          <w:rPr>
            <w:rStyle w:val="Hyperlink"/>
          </w:rPr>
          <w:t>State</w:t>
        </w:r>
        <w:r w:rsidR="006C6F09">
          <w:rPr>
            <w:rStyle w:val="Hyperlink"/>
          </w:rPr>
          <w:t xml:space="preserve"> </w:t>
        </w:r>
        <w:r w:rsidRPr="00127C9E">
          <w:rPr>
            <w:rStyle w:val="Hyperlink"/>
          </w:rPr>
          <w:t>of</w:t>
        </w:r>
        <w:r w:rsidR="006C6F09">
          <w:rPr>
            <w:rStyle w:val="Hyperlink"/>
          </w:rPr>
          <w:t xml:space="preserve"> </w:t>
        </w:r>
        <w:r w:rsidRPr="00127C9E">
          <w:rPr>
            <w:rStyle w:val="Hyperlink"/>
          </w:rPr>
          <w:t>Texas’</w:t>
        </w:r>
        <w:r w:rsidR="006C6F09">
          <w:rPr>
            <w:rStyle w:val="Hyperlink"/>
          </w:rPr>
          <w:t xml:space="preserve"> </w:t>
        </w:r>
        <w:r w:rsidRPr="00127C9E">
          <w:rPr>
            <w:rStyle w:val="Hyperlink"/>
          </w:rPr>
          <w:t>Participation</w:t>
        </w:r>
        <w:r w:rsidR="006C6F09">
          <w:rPr>
            <w:rStyle w:val="Hyperlink"/>
          </w:rPr>
          <w:t xml:space="preserve"> </w:t>
        </w:r>
        <w:r w:rsidRPr="00127C9E">
          <w:rPr>
            <w:rStyle w:val="Hyperlink"/>
          </w:rPr>
          <w:t>in</w:t>
        </w:r>
        <w:r w:rsidR="006C6F09">
          <w:rPr>
            <w:rStyle w:val="Hyperlink"/>
          </w:rPr>
          <w:t xml:space="preserve"> </w:t>
        </w:r>
        <w:r w:rsidRPr="00127C9E">
          <w:rPr>
            <w:rStyle w:val="Hyperlink"/>
          </w:rPr>
          <w:t>the</w:t>
        </w:r>
        <w:r w:rsidR="006C6F09">
          <w:rPr>
            <w:rStyle w:val="Hyperlink"/>
          </w:rPr>
          <w:t xml:space="preserve"> </w:t>
        </w:r>
        <w:r w:rsidRPr="00127C9E">
          <w:rPr>
            <w:rStyle w:val="Hyperlink"/>
          </w:rPr>
          <w:t>Project</w:t>
        </w:r>
        <w:r w:rsidR="006C6F09">
          <w:rPr>
            <w:rStyle w:val="Hyperlink"/>
          </w:rPr>
          <w:t xml:space="preserve"> </w:t>
        </w:r>
        <w:r w:rsidRPr="00127C9E">
          <w:rPr>
            <w:rStyle w:val="Hyperlink"/>
          </w:rPr>
          <w:t>Delivery</w:t>
        </w:r>
        <w:r w:rsidR="006C6F09">
          <w:rPr>
            <w:rStyle w:val="Hyperlink"/>
          </w:rPr>
          <w:t xml:space="preserve"> </w:t>
        </w:r>
        <w:r w:rsidRPr="00127C9E">
          <w:rPr>
            <w:rStyle w:val="Hyperlink"/>
          </w:rPr>
          <w:t>Program</w:t>
        </w:r>
        <w:r w:rsidR="006C6F09">
          <w:rPr>
            <w:rStyle w:val="Hyperlink"/>
          </w:rPr>
          <w:t xml:space="preserve"> </w:t>
        </w:r>
        <w:r w:rsidRPr="00127C9E">
          <w:rPr>
            <w:rStyle w:val="Hyperlink"/>
          </w:rPr>
          <w:lastRenderedPageBreak/>
          <w:t>Pursuant</w:t>
        </w:r>
        <w:r w:rsidR="006C6F09">
          <w:rPr>
            <w:rStyle w:val="Hyperlink"/>
          </w:rPr>
          <w:t xml:space="preserve"> </w:t>
        </w:r>
        <w:r w:rsidRPr="00127C9E">
          <w:rPr>
            <w:rStyle w:val="Hyperlink"/>
          </w:rPr>
          <w:t>to</w:t>
        </w:r>
        <w:r w:rsidR="006C6F09">
          <w:rPr>
            <w:rStyle w:val="Hyperlink"/>
          </w:rPr>
          <w:t xml:space="preserve"> </w:t>
        </w:r>
        <w:r w:rsidRPr="00127C9E">
          <w:rPr>
            <w:rStyle w:val="Hyperlink"/>
          </w:rPr>
          <w:t>23</w:t>
        </w:r>
        <w:r w:rsidR="006C6F09">
          <w:rPr>
            <w:rStyle w:val="Hyperlink"/>
          </w:rPr>
          <w:t xml:space="preserve"> </w:t>
        </w:r>
        <w:r w:rsidRPr="00127C9E">
          <w:rPr>
            <w:rStyle w:val="Hyperlink"/>
          </w:rPr>
          <w:t>U.S.C.</w:t>
        </w:r>
        <w:r w:rsidR="006C6F09">
          <w:rPr>
            <w:rStyle w:val="Hyperlink"/>
          </w:rPr>
          <w:t xml:space="preserve"> </w:t>
        </w:r>
        <w:r w:rsidRPr="00127C9E">
          <w:rPr>
            <w:rStyle w:val="Hyperlink"/>
          </w:rPr>
          <w:t>327</w:t>
        </w:r>
        <w:r w:rsidR="006C6F09">
          <w:rPr>
            <w:rStyle w:val="Hyperlink"/>
          </w:rPr>
          <w:t xml:space="preserve"> </w:t>
        </w:r>
      </w:hyperlink>
      <w:r w:rsidRPr="00127C9E">
        <w:t>(Assignment</w:t>
      </w:r>
      <w:r w:rsidR="006C6F09">
        <w:t xml:space="preserve"> </w:t>
      </w:r>
      <w:r w:rsidRPr="00127C9E">
        <w:t>MOU</w:t>
      </w:r>
      <w:r w:rsidR="006C6F09">
        <w:t xml:space="preserve"> </w:t>
      </w:r>
      <w:r>
        <w:t>–</w:t>
      </w:r>
      <w:r w:rsidR="006C6F09">
        <w:t xml:space="preserve"> </w:t>
      </w:r>
      <w:r>
        <w:t>Memorandum</w:t>
      </w:r>
      <w:r w:rsidR="006C6F09">
        <w:t xml:space="preserve"> </w:t>
      </w:r>
      <w:r>
        <w:t>of</w:t>
      </w:r>
      <w:r w:rsidR="006C6F09">
        <w:t xml:space="preserve"> </w:t>
      </w:r>
      <w:r>
        <w:t>Understanding</w:t>
      </w:r>
      <w:r w:rsidRPr="00127C9E">
        <w:t>)</w:t>
      </w:r>
    </w:p>
    <w:p w14:paraId="7FCC340D" w14:textId="08249DEC" w:rsidR="00457754" w:rsidRDefault="00457754" w:rsidP="00457754">
      <w:pPr>
        <w:pStyle w:val="ListBullet"/>
      </w:pPr>
      <w:hyperlink r:id="rId32" w:history="1">
        <w:r w:rsidRPr="00127C9E">
          <w:rPr>
            <w:rStyle w:val="Hyperlink"/>
          </w:rPr>
          <w:t>Chapter</w:t>
        </w:r>
        <w:r w:rsidR="006C6F09">
          <w:rPr>
            <w:rStyle w:val="Hyperlink"/>
          </w:rPr>
          <w:t xml:space="preserve"> </w:t>
        </w:r>
        <w:r w:rsidRPr="00127C9E">
          <w:rPr>
            <w:rStyle w:val="Hyperlink"/>
          </w:rPr>
          <w:t>26</w:t>
        </w:r>
        <w:r w:rsidR="006C6F09">
          <w:rPr>
            <w:rStyle w:val="Hyperlink"/>
          </w:rPr>
          <w:t xml:space="preserve"> </w:t>
        </w:r>
        <w:r w:rsidRPr="00127C9E">
          <w:rPr>
            <w:rStyle w:val="Hyperlink"/>
          </w:rPr>
          <w:t>of</w:t>
        </w:r>
        <w:r w:rsidR="006C6F09">
          <w:rPr>
            <w:rStyle w:val="Hyperlink"/>
          </w:rPr>
          <w:t xml:space="preserve"> </w:t>
        </w:r>
        <w:r w:rsidRPr="00127C9E">
          <w:rPr>
            <w:rStyle w:val="Hyperlink"/>
          </w:rPr>
          <w:t>the</w:t>
        </w:r>
        <w:r w:rsidR="006C6F09">
          <w:rPr>
            <w:rStyle w:val="Hyperlink"/>
          </w:rPr>
          <w:t xml:space="preserve"> </w:t>
        </w:r>
        <w:r w:rsidRPr="00127C9E">
          <w:rPr>
            <w:rStyle w:val="Hyperlink"/>
          </w:rPr>
          <w:t>Texas</w:t>
        </w:r>
        <w:r w:rsidR="006C6F09">
          <w:rPr>
            <w:rStyle w:val="Hyperlink"/>
          </w:rPr>
          <w:t xml:space="preserve"> </w:t>
        </w:r>
        <w:r w:rsidRPr="00127C9E">
          <w:rPr>
            <w:rStyle w:val="Hyperlink"/>
          </w:rPr>
          <w:t>Parks</w:t>
        </w:r>
        <w:r w:rsidR="006C6F09">
          <w:rPr>
            <w:rStyle w:val="Hyperlink"/>
          </w:rPr>
          <w:t xml:space="preserve"> </w:t>
        </w:r>
        <w:r w:rsidRPr="00127C9E">
          <w:rPr>
            <w:rStyle w:val="Hyperlink"/>
          </w:rPr>
          <w:t>and</w:t>
        </w:r>
        <w:r w:rsidR="006C6F09">
          <w:rPr>
            <w:rStyle w:val="Hyperlink"/>
          </w:rPr>
          <w:t xml:space="preserve"> </w:t>
        </w:r>
        <w:r w:rsidRPr="00127C9E">
          <w:rPr>
            <w:rStyle w:val="Hyperlink"/>
          </w:rPr>
          <w:t>Wildlife</w:t>
        </w:r>
        <w:r w:rsidR="006C6F09">
          <w:rPr>
            <w:rStyle w:val="Hyperlink"/>
          </w:rPr>
          <w:t xml:space="preserve"> </w:t>
        </w:r>
        <w:r w:rsidRPr="00127C9E">
          <w:rPr>
            <w:rStyle w:val="Hyperlink"/>
          </w:rPr>
          <w:t>Code</w:t>
        </w:r>
        <w:r w:rsidR="006C6F09">
          <w:rPr>
            <w:rStyle w:val="Hyperlink"/>
          </w:rPr>
          <w:t xml:space="preserve"> </w:t>
        </w:r>
        <w:r w:rsidRPr="00127C9E">
          <w:rPr>
            <w:rStyle w:val="Hyperlink"/>
          </w:rPr>
          <w:t>(PWC)</w:t>
        </w:r>
      </w:hyperlink>
    </w:p>
    <w:p w14:paraId="57F5E2D6" w14:textId="303D6B07" w:rsidR="00457754" w:rsidRDefault="00457754" w:rsidP="00457754">
      <w:pPr>
        <w:pStyle w:val="ListBullet"/>
      </w:pPr>
      <w:hyperlink r:id="rId33" w:history="1">
        <w:r w:rsidRPr="00127C9E">
          <w:rPr>
            <w:rStyle w:val="Hyperlink"/>
          </w:rPr>
          <w:t>Chapter</w:t>
        </w:r>
        <w:r w:rsidR="006C6F09">
          <w:rPr>
            <w:rStyle w:val="Hyperlink"/>
          </w:rPr>
          <w:t xml:space="preserve"> </w:t>
        </w:r>
        <w:r w:rsidRPr="00127C9E">
          <w:rPr>
            <w:rStyle w:val="Hyperlink"/>
          </w:rPr>
          <w:t>84</w:t>
        </w:r>
        <w:r w:rsidR="006C6F09">
          <w:rPr>
            <w:rStyle w:val="Hyperlink"/>
          </w:rPr>
          <w:t xml:space="preserve"> </w:t>
        </w:r>
        <w:r w:rsidRPr="00127C9E">
          <w:rPr>
            <w:rStyle w:val="Hyperlink"/>
          </w:rPr>
          <w:t>of</w:t>
        </w:r>
        <w:r w:rsidR="006C6F09">
          <w:rPr>
            <w:rStyle w:val="Hyperlink"/>
          </w:rPr>
          <w:t xml:space="preserve"> </w:t>
        </w:r>
        <w:r w:rsidRPr="00127C9E">
          <w:rPr>
            <w:rStyle w:val="Hyperlink"/>
          </w:rPr>
          <w:t>the</w:t>
        </w:r>
        <w:r w:rsidR="006C6F09">
          <w:rPr>
            <w:rStyle w:val="Hyperlink"/>
          </w:rPr>
          <w:t xml:space="preserve"> </w:t>
        </w:r>
        <w:r w:rsidRPr="00127C9E">
          <w:rPr>
            <w:rStyle w:val="Hyperlink"/>
          </w:rPr>
          <w:t>Texas</w:t>
        </w:r>
        <w:r w:rsidR="006C6F09">
          <w:rPr>
            <w:rStyle w:val="Hyperlink"/>
          </w:rPr>
          <w:t xml:space="preserve"> </w:t>
        </w:r>
        <w:r w:rsidRPr="00127C9E">
          <w:rPr>
            <w:rStyle w:val="Hyperlink"/>
          </w:rPr>
          <w:t>Parks</w:t>
        </w:r>
        <w:r w:rsidR="006C6F09">
          <w:rPr>
            <w:rStyle w:val="Hyperlink"/>
          </w:rPr>
          <w:t xml:space="preserve"> </w:t>
        </w:r>
        <w:r w:rsidRPr="00127C9E">
          <w:rPr>
            <w:rStyle w:val="Hyperlink"/>
          </w:rPr>
          <w:t>and</w:t>
        </w:r>
        <w:r w:rsidR="006C6F09">
          <w:rPr>
            <w:rStyle w:val="Hyperlink"/>
          </w:rPr>
          <w:t xml:space="preserve"> </w:t>
        </w:r>
        <w:r w:rsidRPr="00127C9E">
          <w:rPr>
            <w:rStyle w:val="Hyperlink"/>
          </w:rPr>
          <w:t>Wildlife</w:t>
        </w:r>
        <w:r w:rsidR="006C6F09">
          <w:rPr>
            <w:rStyle w:val="Hyperlink"/>
          </w:rPr>
          <w:t xml:space="preserve"> </w:t>
        </w:r>
        <w:r w:rsidRPr="00127C9E">
          <w:rPr>
            <w:rStyle w:val="Hyperlink"/>
          </w:rPr>
          <w:t>Code</w:t>
        </w:r>
      </w:hyperlink>
    </w:p>
    <w:p w14:paraId="0F0C1F5C" w14:textId="4B7E8F5A" w:rsidR="00457754" w:rsidRDefault="00457754" w:rsidP="00457754">
      <w:pPr>
        <w:pStyle w:val="ListBullet"/>
      </w:pPr>
      <w:hyperlink r:id="rId34" w:history="1">
        <w:r w:rsidRPr="00127C9E">
          <w:rPr>
            <w:rStyle w:val="Hyperlink"/>
          </w:rPr>
          <w:t>Texas</w:t>
        </w:r>
        <w:r w:rsidR="006C6F09">
          <w:rPr>
            <w:rStyle w:val="Hyperlink"/>
          </w:rPr>
          <w:t xml:space="preserve"> </w:t>
        </w:r>
        <w:r w:rsidRPr="00127C9E">
          <w:rPr>
            <w:rStyle w:val="Hyperlink"/>
          </w:rPr>
          <w:t>Transportation</w:t>
        </w:r>
        <w:r w:rsidR="006C6F09">
          <w:rPr>
            <w:rStyle w:val="Hyperlink"/>
          </w:rPr>
          <w:t xml:space="preserve"> </w:t>
        </w:r>
        <w:r w:rsidRPr="00127C9E">
          <w:rPr>
            <w:rStyle w:val="Hyperlink"/>
          </w:rPr>
          <w:t>Code</w:t>
        </w:r>
        <w:r w:rsidR="006C6F09">
          <w:rPr>
            <w:rStyle w:val="Hyperlink"/>
          </w:rPr>
          <w:t xml:space="preserve"> </w:t>
        </w:r>
        <w:r w:rsidRPr="00127C9E">
          <w:rPr>
            <w:rStyle w:val="Hyperlink"/>
          </w:rPr>
          <w:t>201.811</w:t>
        </w:r>
      </w:hyperlink>
    </w:p>
    <w:p w14:paraId="5F1BCA50" w14:textId="42EA58D2" w:rsidR="00457754" w:rsidRPr="00127C9E" w:rsidRDefault="00457754" w:rsidP="00457754">
      <w:pPr>
        <w:pStyle w:val="ListBullet"/>
      </w:pPr>
      <w:hyperlink r:id="rId35" w:history="1">
        <w:r w:rsidRPr="00127C9E">
          <w:rPr>
            <w:rStyle w:val="Hyperlink"/>
          </w:rPr>
          <w:t>Texas</w:t>
        </w:r>
        <w:r w:rsidR="006C6F09">
          <w:rPr>
            <w:rStyle w:val="Hyperlink"/>
          </w:rPr>
          <w:t xml:space="preserve"> </w:t>
        </w:r>
        <w:r w:rsidRPr="00127C9E">
          <w:rPr>
            <w:rStyle w:val="Hyperlink"/>
          </w:rPr>
          <w:t>Transportation</w:t>
        </w:r>
        <w:r w:rsidR="006C6F09">
          <w:rPr>
            <w:rStyle w:val="Hyperlink"/>
          </w:rPr>
          <w:t xml:space="preserve"> </w:t>
        </w:r>
        <w:r w:rsidRPr="00127C9E">
          <w:rPr>
            <w:rStyle w:val="Hyperlink"/>
          </w:rPr>
          <w:t>Code</w:t>
        </w:r>
        <w:r w:rsidR="006C6F09">
          <w:rPr>
            <w:rStyle w:val="Hyperlink"/>
          </w:rPr>
          <w:t xml:space="preserve"> </w:t>
        </w:r>
        <w:r w:rsidRPr="00127C9E">
          <w:rPr>
            <w:rStyle w:val="Hyperlink"/>
          </w:rPr>
          <w:t>203.021,</w:t>
        </w:r>
        <w:r w:rsidR="006C6F09">
          <w:rPr>
            <w:rStyle w:val="Hyperlink"/>
          </w:rPr>
          <w:t xml:space="preserve"> </w:t>
        </w:r>
        <w:r w:rsidRPr="00127C9E">
          <w:rPr>
            <w:rStyle w:val="Hyperlink"/>
          </w:rPr>
          <w:t>203.022,</w:t>
        </w:r>
        <w:r w:rsidR="006C6F09">
          <w:rPr>
            <w:rStyle w:val="Hyperlink"/>
          </w:rPr>
          <w:t xml:space="preserve"> </w:t>
        </w:r>
        <w:r w:rsidRPr="00127C9E">
          <w:rPr>
            <w:rStyle w:val="Hyperlink"/>
          </w:rPr>
          <w:t>and</w:t>
        </w:r>
        <w:r w:rsidR="006C6F09">
          <w:rPr>
            <w:rStyle w:val="Hyperlink"/>
          </w:rPr>
          <w:t xml:space="preserve"> </w:t>
        </w:r>
        <w:r w:rsidRPr="00127C9E">
          <w:rPr>
            <w:rStyle w:val="Hyperlink"/>
          </w:rPr>
          <w:t>203.023</w:t>
        </w:r>
      </w:hyperlink>
    </w:p>
    <w:p w14:paraId="482D3A40" w14:textId="358AF18D" w:rsidR="00457754" w:rsidRDefault="00457754" w:rsidP="00457754">
      <w:r>
        <w:t>As</w:t>
      </w:r>
      <w:r w:rsidR="006C6F09">
        <w:t xml:space="preserve"> </w:t>
      </w:r>
      <w:r>
        <w:t>a</w:t>
      </w:r>
      <w:r w:rsidR="006C6F09">
        <w:t xml:space="preserve"> </w:t>
      </w:r>
      <w:r>
        <w:t>recipient</w:t>
      </w:r>
      <w:r w:rsidR="006C6F09">
        <w:t xml:space="preserve"> </w:t>
      </w:r>
      <w:r>
        <w:t>of</w:t>
      </w:r>
      <w:r w:rsidR="006C6F09">
        <w:t xml:space="preserve"> </w:t>
      </w:r>
      <w:r>
        <w:t>federal</w:t>
      </w:r>
      <w:r w:rsidR="006C6F09">
        <w:t xml:space="preserve"> </w:t>
      </w:r>
      <w:r>
        <w:t>assistance,</w:t>
      </w:r>
      <w:r w:rsidR="006C6F09">
        <w:t xml:space="preserve"> </w:t>
      </w:r>
      <w:r>
        <w:t>TxDOT</w:t>
      </w:r>
      <w:r w:rsidR="006C6F09">
        <w:t xml:space="preserve"> </w:t>
      </w:r>
      <w:r>
        <w:t>is</w:t>
      </w:r>
      <w:r w:rsidR="006C6F09">
        <w:t xml:space="preserve"> </w:t>
      </w:r>
      <w:r>
        <w:t>required</w:t>
      </w:r>
      <w:r w:rsidR="006C6F09">
        <w:t xml:space="preserve"> </w:t>
      </w:r>
      <w:r>
        <w:t>to</w:t>
      </w:r>
      <w:r w:rsidR="006C6F09">
        <w:t xml:space="preserve"> </w:t>
      </w:r>
      <w:r>
        <w:t>comply</w:t>
      </w:r>
      <w:r w:rsidR="006C6F09">
        <w:t xml:space="preserve"> </w:t>
      </w:r>
      <w:r>
        <w:t>with</w:t>
      </w:r>
      <w:r w:rsidR="006C6F09">
        <w:t xml:space="preserve"> </w:t>
      </w:r>
      <w:r>
        <w:t>various</w:t>
      </w:r>
      <w:r w:rsidR="006C6F09">
        <w:t xml:space="preserve"> </w:t>
      </w:r>
      <w:r>
        <w:t>nondiscrimination</w:t>
      </w:r>
      <w:r w:rsidR="006C6F09">
        <w:t xml:space="preserve"> </w:t>
      </w:r>
      <w:r>
        <w:t>laws</w:t>
      </w:r>
      <w:r w:rsidR="006C6F09">
        <w:t xml:space="preserve"> </w:t>
      </w:r>
      <w:r>
        <w:t>and</w:t>
      </w:r>
      <w:r w:rsidR="006C6F09">
        <w:t xml:space="preserve"> </w:t>
      </w:r>
      <w:r>
        <w:t>regulations,</w:t>
      </w:r>
      <w:r w:rsidR="006C6F09">
        <w:t xml:space="preserve"> </w:t>
      </w:r>
      <w:r>
        <w:t>including</w:t>
      </w:r>
      <w:r w:rsidR="006C6F09">
        <w:t xml:space="preserve"> </w:t>
      </w:r>
      <w:r w:rsidRPr="000C069C">
        <w:t>Title</w:t>
      </w:r>
      <w:r w:rsidR="006C6F09">
        <w:t xml:space="preserve"> </w:t>
      </w:r>
      <w:r w:rsidRPr="000C069C">
        <w:t>VI</w:t>
      </w:r>
      <w:r w:rsidR="006C6F09">
        <w:t xml:space="preserve"> </w:t>
      </w:r>
      <w:r w:rsidRPr="000C069C">
        <w:t>of</w:t>
      </w:r>
      <w:r w:rsidR="006C6F09">
        <w:t xml:space="preserve"> </w:t>
      </w:r>
      <w:r w:rsidRPr="000C069C">
        <w:t>the</w:t>
      </w:r>
      <w:r w:rsidR="006C6F09">
        <w:t xml:space="preserve"> </w:t>
      </w:r>
      <w:r w:rsidRPr="000C069C">
        <w:t>Civil</w:t>
      </w:r>
      <w:r w:rsidR="006C6F09">
        <w:t xml:space="preserve"> </w:t>
      </w:r>
      <w:r w:rsidRPr="000C069C">
        <w:t>Rights</w:t>
      </w:r>
      <w:r w:rsidR="006C6F09">
        <w:t xml:space="preserve"> </w:t>
      </w:r>
      <w:r w:rsidRPr="000C069C">
        <w:t>Act</w:t>
      </w:r>
      <w:r w:rsidR="006C6F09">
        <w:t xml:space="preserve"> </w:t>
      </w:r>
      <w:r w:rsidRPr="000C069C">
        <w:t>of</w:t>
      </w:r>
      <w:r w:rsidR="006C6F09">
        <w:t xml:space="preserve"> </w:t>
      </w:r>
      <w:r w:rsidRPr="000C069C">
        <w:t>1964.</w:t>
      </w:r>
    </w:p>
    <w:p w14:paraId="0A208544" w14:textId="777A5035" w:rsidR="00457754" w:rsidRDefault="00457754" w:rsidP="00457754">
      <w:r>
        <w:t>Federal</w:t>
      </w:r>
      <w:r w:rsidR="006C6F09">
        <w:t xml:space="preserve"> </w:t>
      </w:r>
      <w:r>
        <w:t>assistance</w:t>
      </w:r>
      <w:r w:rsidR="006C6F09">
        <w:t xml:space="preserve"> </w:t>
      </w:r>
      <w:r>
        <w:t>requirements</w:t>
      </w:r>
      <w:r w:rsidR="006C6F09">
        <w:t xml:space="preserve"> </w:t>
      </w:r>
      <w:r>
        <w:t>also</w:t>
      </w:r>
      <w:r w:rsidR="006C6F09">
        <w:t xml:space="preserve"> </w:t>
      </w:r>
      <w:r>
        <w:t>mandate</w:t>
      </w:r>
      <w:r w:rsidR="006C6F09">
        <w:t xml:space="preserve"> </w:t>
      </w:r>
      <w:r>
        <w:t>TxDOT</w:t>
      </w:r>
      <w:r w:rsidR="006C6F09">
        <w:t xml:space="preserve"> </w:t>
      </w:r>
      <w:r w:rsidR="006E7860">
        <w:t>to undertake</w:t>
      </w:r>
      <w:r w:rsidR="006C6F09">
        <w:t xml:space="preserve"> </w:t>
      </w:r>
      <w:r>
        <w:t>public</w:t>
      </w:r>
      <w:r w:rsidR="006C6F09">
        <w:t xml:space="preserve"> </w:t>
      </w:r>
      <w:r>
        <w:t>involvement</w:t>
      </w:r>
      <w:r w:rsidR="006C6F09">
        <w:t xml:space="preserve"> </w:t>
      </w:r>
      <w:r>
        <w:t>specific</w:t>
      </w:r>
      <w:r w:rsidR="006C6F09">
        <w:t xml:space="preserve"> </w:t>
      </w:r>
      <w:r>
        <w:t>to</w:t>
      </w:r>
      <w:r w:rsidR="006C6F09">
        <w:t xml:space="preserve"> </w:t>
      </w:r>
      <w:r>
        <w:t>historic</w:t>
      </w:r>
      <w:r w:rsidR="006C6F09">
        <w:t xml:space="preserve"> </w:t>
      </w:r>
      <w:r>
        <w:t>properties</w:t>
      </w:r>
      <w:r w:rsidR="006C6F09">
        <w:t xml:space="preserve"> </w:t>
      </w:r>
      <w:r>
        <w:t>potentially</w:t>
      </w:r>
      <w:r w:rsidR="006C6F09">
        <w:t xml:space="preserve"> </w:t>
      </w:r>
      <w:r>
        <w:t>affected</w:t>
      </w:r>
      <w:r w:rsidR="006C6F09">
        <w:t xml:space="preserve"> </w:t>
      </w:r>
      <w:r>
        <w:t>by</w:t>
      </w:r>
      <w:r w:rsidR="006C6F09">
        <w:t xml:space="preserve"> </w:t>
      </w:r>
      <w:r>
        <w:t>a</w:t>
      </w:r>
      <w:r w:rsidR="006C6F09">
        <w:t xml:space="preserve"> </w:t>
      </w:r>
      <w:r>
        <w:t>project.</w:t>
      </w:r>
      <w:r w:rsidR="006C6F09">
        <w:t xml:space="preserve"> </w:t>
      </w:r>
      <w:r>
        <w:t>Regulations</w:t>
      </w:r>
      <w:r w:rsidR="006C6F09">
        <w:t xml:space="preserve"> </w:t>
      </w:r>
      <w:r>
        <w:t>promulgated</w:t>
      </w:r>
      <w:r w:rsidR="006C6F09">
        <w:t xml:space="preserve"> </w:t>
      </w:r>
      <w:r>
        <w:t>by</w:t>
      </w:r>
      <w:r w:rsidR="006C6F09">
        <w:t xml:space="preserve"> </w:t>
      </w:r>
      <w:r>
        <w:t>the</w:t>
      </w:r>
      <w:r w:rsidR="006C6F09">
        <w:t xml:space="preserve"> </w:t>
      </w:r>
      <w:r>
        <w:t>Advisory</w:t>
      </w:r>
      <w:r w:rsidR="006C6F09">
        <w:t xml:space="preserve"> </w:t>
      </w:r>
      <w:r>
        <w:t>Council</w:t>
      </w:r>
      <w:r w:rsidR="006C6F09">
        <w:t xml:space="preserve"> </w:t>
      </w:r>
      <w:r>
        <w:t>on</w:t>
      </w:r>
      <w:r w:rsidR="006C6F09">
        <w:t xml:space="preserve"> </w:t>
      </w:r>
      <w:r>
        <w:t>Historic</w:t>
      </w:r>
      <w:r w:rsidR="006C6F09">
        <w:t xml:space="preserve"> </w:t>
      </w:r>
      <w:r>
        <w:t>Preservation</w:t>
      </w:r>
      <w:r w:rsidR="006C6F09">
        <w:t xml:space="preserve"> </w:t>
      </w:r>
      <w:r>
        <w:t>(ACHP)</w:t>
      </w:r>
      <w:r w:rsidR="006C6F09">
        <w:t xml:space="preserve"> </w:t>
      </w:r>
      <w:r>
        <w:t>implementing</w:t>
      </w:r>
      <w:r w:rsidR="006C6F09">
        <w:t xml:space="preserve"> </w:t>
      </w:r>
      <w:r>
        <w:t>Section</w:t>
      </w:r>
      <w:r w:rsidR="006C6F09">
        <w:t xml:space="preserve"> </w:t>
      </w:r>
      <w:r>
        <w:t>106</w:t>
      </w:r>
      <w:r w:rsidR="006C6F09">
        <w:t xml:space="preserve"> </w:t>
      </w:r>
      <w:r>
        <w:t>of</w:t>
      </w:r>
      <w:r w:rsidR="006C6F09">
        <w:t xml:space="preserve"> </w:t>
      </w:r>
      <w:r>
        <w:t>the</w:t>
      </w:r>
      <w:r w:rsidR="006C6F09">
        <w:t xml:space="preserve"> </w:t>
      </w:r>
      <w:r w:rsidRPr="0032400B">
        <w:t>National</w:t>
      </w:r>
      <w:r w:rsidR="006C6F09">
        <w:t xml:space="preserve"> </w:t>
      </w:r>
      <w:r w:rsidRPr="0032400B">
        <w:t>Historic</w:t>
      </w:r>
      <w:r w:rsidR="006C6F09">
        <w:t xml:space="preserve"> </w:t>
      </w:r>
      <w:r w:rsidRPr="0032400B">
        <w:t>Preservation</w:t>
      </w:r>
      <w:r w:rsidR="006C6F09">
        <w:t xml:space="preserve"> </w:t>
      </w:r>
      <w:r w:rsidRPr="000C069C">
        <w:t>Act</w:t>
      </w:r>
      <w:r w:rsidR="006C6F09">
        <w:t xml:space="preserve"> </w:t>
      </w:r>
      <w:r>
        <w:t>(NHPA)</w:t>
      </w:r>
      <w:r w:rsidR="006C6F09">
        <w:t xml:space="preserve"> </w:t>
      </w:r>
      <w:r>
        <w:t>provide</w:t>
      </w:r>
      <w:r w:rsidR="006C6F09">
        <w:t xml:space="preserve"> </w:t>
      </w:r>
      <w:r>
        <w:t>that</w:t>
      </w:r>
      <w:r w:rsidR="006C6F09">
        <w:t xml:space="preserve"> </w:t>
      </w:r>
      <w:r w:rsidRPr="00DF3CDD">
        <w:t>the</w:t>
      </w:r>
      <w:r w:rsidR="006C6F09">
        <w:t xml:space="preserve"> </w:t>
      </w:r>
      <w:r>
        <w:t>agency</w:t>
      </w:r>
      <w:r w:rsidR="006C6F09">
        <w:t xml:space="preserve"> </w:t>
      </w:r>
      <w:r>
        <w:t>official</w:t>
      </w:r>
      <w:r w:rsidR="006C6F09">
        <w:t xml:space="preserve"> </w:t>
      </w:r>
      <w:r>
        <w:t>shall</w:t>
      </w:r>
      <w:r w:rsidR="006C6F09">
        <w:t xml:space="preserve"> </w:t>
      </w:r>
      <w:r>
        <w:t>seek</w:t>
      </w:r>
      <w:r w:rsidR="006C6F09">
        <w:t xml:space="preserve"> </w:t>
      </w:r>
      <w:r>
        <w:t>and</w:t>
      </w:r>
      <w:r w:rsidR="006C6F09">
        <w:t xml:space="preserve"> </w:t>
      </w:r>
      <w:r>
        <w:t>consider</w:t>
      </w:r>
      <w:r w:rsidR="006C6F09">
        <w:t xml:space="preserve"> </w:t>
      </w:r>
      <w:r>
        <w:t>the</w:t>
      </w:r>
      <w:r w:rsidR="006C6F09">
        <w:t xml:space="preserve"> </w:t>
      </w:r>
      <w:r>
        <w:t>views</w:t>
      </w:r>
      <w:r w:rsidR="006C6F09">
        <w:t xml:space="preserve"> </w:t>
      </w:r>
      <w:r>
        <w:t>of</w:t>
      </w:r>
      <w:r w:rsidR="006C6F09">
        <w:t xml:space="preserve"> </w:t>
      </w:r>
      <w:r>
        <w:t>the</w:t>
      </w:r>
      <w:r w:rsidR="006C6F09">
        <w:t xml:space="preserve"> </w:t>
      </w:r>
      <w:r>
        <w:t>public</w:t>
      </w:r>
      <w:r w:rsidR="006C6F09">
        <w:t xml:space="preserve"> </w:t>
      </w:r>
      <w:r>
        <w:t>in</w:t>
      </w:r>
      <w:r w:rsidR="006C6F09">
        <w:t xml:space="preserve"> </w:t>
      </w:r>
      <w:r>
        <w:t>a</w:t>
      </w:r>
      <w:r w:rsidR="006C6F09">
        <w:t xml:space="preserve"> </w:t>
      </w:r>
      <w:r>
        <w:t>manner</w:t>
      </w:r>
      <w:r w:rsidR="006C6F09">
        <w:t xml:space="preserve"> </w:t>
      </w:r>
      <w:r>
        <w:t>that</w:t>
      </w:r>
      <w:r w:rsidR="006C6F09">
        <w:t xml:space="preserve"> </w:t>
      </w:r>
      <w:r>
        <w:t>reflects</w:t>
      </w:r>
      <w:r w:rsidR="006C6F09">
        <w:t xml:space="preserve"> </w:t>
      </w:r>
      <w:r>
        <w:t>the</w:t>
      </w:r>
      <w:r w:rsidR="006C6F09">
        <w:t xml:space="preserve"> </w:t>
      </w:r>
      <w:r>
        <w:t>nature</w:t>
      </w:r>
      <w:r w:rsidR="006C6F09">
        <w:t xml:space="preserve"> </w:t>
      </w:r>
      <w:r>
        <w:t>and</w:t>
      </w:r>
      <w:r w:rsidR="006C6F09">
        <w:t xml:space="preserve"> </w:t>
      </w:r>
      <w:r>
        <w:t>complexity</w:t>
      </w:r>
      <w:r w:rsidR="006C6F09">
        <w:t xml:space="preserve"> </w:t>
      </w:r>
      <w:r>
        <w:t>of</w:t>
      </w:r>
      <w:r w:rsidR="006C6F09">
        <w:t xml:space="preserve"> </w:t>
      </w:r>
      <w:r>
        <w:t>the</w:t>
      </w:r>
      <w:r w:rsidR="006C6F09">
        <w:t xml:space="preserve"> </w:t>
      </w:r>
      <w:r>
        <w:t>undertaking</w:t>
      </w:r>
      <w:r w:rsidR="006C6F09">
        <w:t xml:space="preserve"> </w:t>
      </w:r>
      <w:r>
        <w:t>and</w:t>
      </w:r>
      <w:r w:rsidR="006C6F09">
        <w:t xml:space="preserve"> </w:t>
      </w:r>
      <w:r>
        <w:t>its</w:t>
      </w:r>
      <w:r w:rsidR="006C6F09">
        <w:t xml:space="preserve"> </w:t>
      </w:r>
      <w:r>
        <w:t>effects</w:t>
      </w:r>
      <w:r w:rsidR="006C6F09">
        <w:t xml:space="preserve"> </w:t>
      </w:r>
      <w:r>
        <w:t>on</w:t>
      </w:r>
      <w:r w:rsidR="006C6F09">
        <w:t xml:space="preserve"> </w:t>
      </w:r>
      <w:r>
        <w:t>historic</w:t>
      </w:r>
      <w:r w:rsidR="006C6F09">
        <w:t xml:space="preserve"> </w:t>
      </w:r>
      <w:r>
        <w:t>properties,</w:t>
      </w:r>
      <w:r w:rsidR="006C6F09">
        <w:t xml:space="preserve"> </w:t>
      </w:r>
      <w:r>
        <w:t>the</w:t>
      </w:r>
      <w:r w:rsidR="006C6F09">
        <w:t xml:space="preserve"> </w:t>
      </w:r>
      <w:r>
        <w:t>likely</w:t>
      </w:r>
      <w:r w:rsidR="006C6F09">
        <w:t xml:space="preserve"> </w:t>
      </w:r>
      <w:r>
        <w:t>interest</w:t>
      </w:r>
      <w:r w:rsidR="006C6F09">
        <w:t xml:space="preserve"> </w:t>
      </w:r>
      <w:r>
        <w:t>of</w:t>
      </w:r>
      <w:r w:rsidR="006C6F09">
        <w:t xml:space="preserve"> </w:t>
      </w:r>
      <w:r>
        <w:t>the</w:t>
      </w:r>
      <w:r w:rsidR="006C6F09">
        <w:t xml:space="preserve"> </w:t>
      </w:r>
      <w:r>
        <w:t>public</w:t>
      </w:r>
      <w:r w:rsidR="006C6F09">
        <w:t xml:space="preserve"> </w:t>
      </w:r>
      <w:r>
        <w:t>in</w:t>
      </w:r>
      <w:r w:rsidR="006C6F09">
        <w:t xml:space="preserve"> </w:t>
      </w:r>
      <w:r>
        <w:t>the</w:t>
      </w:r>
      <w:r w:rsidR="006C6F09">
        <w:t xml:space="preserve"> </w:t>
      </w:r>
      <w:r>
        <w:t>effects</w:t>
      </w:r>
      <w:r w:rsidR="006C6F09">
        <w:t xml:space="preserve"> </w:t>
      </w:r>
      <w:r>
        <w:t>on</w:t>
      </w:r>
      <w:r w:rsidR="006C6F09">
        <w:t xml:space="preserve"> </w:t>
      </w:r>
      <w:r>
        <w:t>historic</w:t>
      </w:r>
      <w:r w:rsidR="006C6F09">
        <w:t xml:space="preserve"> </w:t>
      </w:r>
      <w:r>
        <w:t>properties,</w:t>
      </w:r>
      <w:r w:rsidR="006C6F09">
        <w:t xml:space="preserve"> </w:t>
      </w:r>
      <w:r>
        <w:t>confidentiality</w:t>
      </w:r>
      <w:r w:rsidR="006C6F09">
        <w:t xml:space="preserve"> </w:t>
      </w:r>
      <w:r>
        <w:t>concerns</w:t>
      </w:r>
      <w:r w:rsidR="006C6F09">
        <w:t xml:space="preserve"> </w:t>
      </w:r>
      <w:r>
        <w:t>of</w:t>
      </w:r>
      <w:r w:rsidR="006C6F09">
        <w:t xml:space="preserve"> </w:t>
      </w:r>
      <w:r>
        <w:t>private</w:t>
      </w:r>
      <w:r w:rsidR="006C6F09">
        <w:t xml:space="preserve"> </w:t>
      </w:r>
      <w:r>
        <w:t>individuals</w:t>
      </w:r>
      <w:r w:rsidR="006C6F09">
        <w:t xml:space="preserve"> </w:t>
      </w:r>
      <w:r>
        <w:t>and</w:t>
      </w:r>
      <w:r w:rsidR="006C6F09">
        <w:t xml:space="preserve"> </w:t>
      </w:r>
      <w:r>
        <w:t>businesses,</w:t>
      </w:r>
      <w:r w:rsidR="006C6F09">
        <w:t xml:space="preserve"> </w:t>
      </w:r>
      <w:r>
        <w:t>and</w:t>
      </w:r>
      <w:r w:rsidR="006C6F09">
        <w:t xml:space="preserve"> </w:t>
      </w:r>
      <w:r>
        <w:t>the</w:t>
      </w:r>
      <w:r w:rsidR="006C6F09">
        <w:t xml:space="preserve"> </w:t>
      </w:r>
      <w:r>
        <w:t>relationship</w:t>
      </w:r>
      <w:r w:rsidR="006C6F09">
        <w:t xml:space="preserve"> </w:t>
      </w:r>
      <w:r>
        <w:t>of</w:t>
      </w:r>
      <w:r w:rsidR="006C6F09">
        <w:t xml:space="preserve"> </w:t>
      </w:r>
      <w:r>
        <w:t>the</w:t>
      </w:r>
      <w:r w:rsidR="006C6F09">
        <w:t xml:space="preserve"> </w:t>
      </w:r>
      <w:r>
        <w:t>Federal</w:t>
      </w:r>
      <w:r w:rsidR="006C6F09">
        <w:t xml:space="preserve"> </w:t>
      </w:r>
      <w:r>
        <w:t>involvement</w:t>
      </w:r>
      <w:r w:rsidR="006C6F09">
        <w:t xml:space="preserve"> </w:t>
      </w:r>
      <w:r>
        <w:t>to</w:t>
      </w:r>
      <w:r w:rsidR="006C6F09">
        <w:t xml:space="preserve"> </w:t>
      </w:r>
      <w:r>
        <w:t>the</w:t>
      </w:r>
      <w:r w:rsidR="006C6F09">
        <w:t xml:space="preserve"> </w:t>
      </w:r>
      <w:r>
        <w:t>undertaking.”</w:t>
      </w:r>
      <w:r w:rsidR="006C6F09">
        <w:t xml:space="preserve"> </w:t>
      </w:r>
      <w:r w:rsidRPr="0032400B">
        <w:t>36</w:t>
      </w:r>
      <w:r w:rsidR="006C6F09">
        <w:t xml:space="preserve"> </w:t>
      </w:r>
      <w:r w:rsidRPr="0032400B">
        <w:t>CFR</w:t>
      </w:r>
      <w:r w:rsidR="006C6F09">
        <w:t xml:space="preserve"> </w:t>
      </w:r>
      <w:r w:rsidRPr="0032400B">
        <w:t>800.2</w:t>
      </w:r>
      <w:r>
        <w:t>(d)(1).</w:t>
      </w:r>
      <w:r w:rsidR="00135456">
        <w:t xml:space="preserve"> </w:t>
      </w:r>
      <w:r>
        <w:t>The</w:t>
      </w:r>
      <w:r w:rsidR="006C6F09">
        <w:t xml:space="preserve"> </w:t>
      </w:r>
      <w:r>
        <w:t>ACHP’s</w:t>
      </w:r>
      <w:r w:rsidR="006C6F09">
        <w:t xml:space="preserve"> </w:t>
      </w:r>
      <w:r>
        <w:t>regulations</w:t>
      </w:r>
      <w:r w:rsidR="006C6F09">
        <w:t xml:space="preserve"> </w:t>
      </w:r>
      <w:r>
        <w:t>further</w:t>
      </w:r>
      <w:r w:rsidR="006C6F09">
        <w:t xml:space="preserve"> </w:t>
      </w:r>
      <w:r>
        <w:t>provide</w:t>
      </w:r>
      <w:r w:rsidR="006C6F09">
        <w:t xml:space="preserve"> </w:t>
      </w:r>
      <w:r>
        <w:t>that</w:t>
      </w:r>
      <w:r w:rsidR="006C6F09">
        <w:t xml:space="preserve"> </w:t>
      </w:r>
      <w:r>
        <w:t>the</w:t>
      </w:r>
      <w:r w:rsidR="006C6F09">
        <w:t xml:space="preserve"> </w:t>
      </w:r>
      <w:r>
        <w:t>“agency</w:t>
      </w:r>
      <w:r w:rsidR="006C6F09">
        <w:t xml:space="preserve"> </w:t>
      </w:r>
      <w:r>
        <w:t>official</w:t>
      </w:r>
      <w:r w:rsidR="006C6F09">
        <w:t xml:space="preserve"> </w:t>
      </w:r>
      <w:r>
        <w:t>must,</w:t>
      </w:r>
      <w:r w:rsidR="006C6F09">
        <w:t xml:space="preserve"> </w:t>
      </w:r>
      <w:r>
        <w:t>except</w:t>
      </w:r>
      <w:r w:rsidR="006C6F09">
        <w:t xml:space="preserve"> </w:t>
      </w:r>
      <w:r>
        <w:t>where</w:t>
      </w:r>
      <w:r w:rsidR="006C6F09">
        <w:t xml:space="preserve"> </w:t>
      </w:r>
      <w:r>
        <w:t>appropriate</w:t>
      </w:r>
      <w:r w:rsidR="006C6F09">
        <w:t xml:space="preserve"> </w:t>
      </w:r>
      <w:r>
        <w:t>to</w:t>
      </w:r>
      <w:r w:rsidR="006C6F09">
        <w:t xml:space="preserve"> </w:t>
      </w:r>
      <w:r>
        <w:t>protect</w:t>
      </w:r>
      <w:r w:rsidR="006C6F09">
        <w:t xml:space="preserve"> </w:t>
      </w:r>
      <w:r>
        <w:t>confidentiality</w:t>
      </w:r>
      <w:r w:rsidR="006C6F09">
        <w:t xml:space="preserve"> </w:t>
      </w:r>
      <w:r>
        <w:t>concerns</w:t>
      </w:r>
      <w:r w:rsidR="006C6F09">
        <w:t xml:space="preserve"> </w:t>
      </w:r>
      <w:r>
        <w:t>of</w:t>
      </w:r>
      <w:r w:rsidR="006C6F09">
        <w:t xml:space="preserve"> </w:t>
      </w:r>
      <w:r>
        <w:t>affected</w:t>
      </w:r>
      <w:r w:rsidR="006C6F09">
        <w:t xml:space="preserve"> </w:t>
      </w:r>
      <w:r>
        <w:t>parties,</w:t>
      </w:r>
      <w:r w:rsidR="006C6F09">
        <w:t xml:space="preserve"> </w:t>
      </w:r>
      <w:r>
        <w:t>provide</w:t>
      </w:r>
      <w:r w:rsidR="006C6F09">
        <w:t xml:space="preserve"> </w:t>
      </w:r>
      <w:r>
        <w:t>the</w:t>
      </w:r>
      <w:r w:rsidR="006C6F09">
        <w:t xml:space="preserve"> </w:t>
      </w:r>
      <w:r>
        <w:t>public</w:t>
      </w:r>
      <w:r w:rsidR="006C6F09">
        <w:t xml:space="preserve"> </w:t>
      </w:r>
      <w:r>
        <w:t>with</w:t>
      </w:r>
      <w:r w:rsidR="006C6F09">
        <w:t xml:space="preserve"> </w:t>
      </w:r>
      <w:r>
        <w:t>information</w:t>
      </w:r>
      <w:r w:rsidR="006C6F09">
        <w:t xml:space="preserve"> </w:t>
      </w:r>
      <w:r>
        <w:t>about</w:t>
      </w:r>
      <w:r w:rsidR="006C6F09">
        <w:t xml:space="preserve"> </w:t>
      </w:r>
      <w:r>
        <w:t>an</w:t>
      </w:r>
      <w:r w:rsidR="006C6F09">
        <w:t xml:space="preserve"> </w:t>
      </w:r>
      <w:r>
        <w:t>undertaking</w:t>
      </w:r>
      <w:r w:rsidR="006C6F09">
        <w:t xml:space="preserve"> </w:t>
      </w:r>
      <w:r>
        <w:t>and</w:t>
      </w:r>
      <w:r w:rsidR="006C6F09">
        <w:t xml:space="preserve"> </w:t>
      </w:r>
      <w:r>
        <w:t>its</w:t>
      </w:r>
      <w:r w:rsidR="006C6F09">
        <w:t xml:space="preserve"> </w:t>
      </w:r>
      <w:r>
        <w:t>effects</w:t>
      </w:r>
      <w:r w:rsidR="006C6F09">
        <w:t xml:space="preserve"> </w:t>
      </w:r>
      <w:r>
        <w:t>on</w:t>
      </w:r>
      <w:r w:rsidR="006C6F09">
        <w:t xml:space="preserve"> </w:t>
      </w:r>
      <w:r>
        <w:t>historic</w:t>
      </w:r>
      <w:r w:rsidR="006C6F09">
        <w:t xml:space="preserve"> </w:t>
      </w:r>
      <w:r>
        <w:t>properties</w:t>
      </w:r>
      <w:r w:rsidR="006C6F09">
        <w:t xml:space="preserve"> </w:t>
      </w:r>
      <w:r>
        <w:t>and</w:t>
      </w:r>
      <w:r w:rsidR="006C6F09">
        <w:t xml:space="preserve"> </w:t>
      </w:r>
      <w:r>
        <w:t>seek</w:t>
      </w:r>
      <w:r w:rsidR="006C6F09">
        <w:t xml:space="preserve"> </w:t>
      </w:r>
      <w:r>
        <w:t>public</w:t>
      </w:r>
      <w:r w:rsidR="006C6F09">
        <w:t xml:space="preserve"> </w:t>
      </w:r>
      <w:r>
        <w:t>comment</w:t>
      </w:r>
      <w:r w:rsidR="006C6F09">
        <w:t xml:space="preserve"> </w:t>
      </w:r>
      <w:r>
        <w:t>and</w:t>
      </w:r>
      <w:r w:rsidR="006C6F09">
        <w:t xml:space="preserve"> </w:t>
      </w:r>
      <w:r>
        <w:t>input.</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may</w:t>
      </w:r>
      <w:r w:rsidR="006C6F09">
        <w:t xml:space="preserve"> </w:t>
      </w:r>
      <w:r>
        <w:t>also</w:t>
      </w:r>
      <w:r w:rsidR="006C6F09">
        <w:t xml:space="preserve"> </w:t>
      </w:r>
      <w:r>
        <w:t>provide</w:t>
      </w:r>
      <w:r w:rsidR="006C6F09">
        <w:t xml:space="preserve"> </w:t>
      </w:r>
      <w:r>
        <w:t>views</w:t>
      </w:r>
      <w:r w:rsidR="006C6F09">
        <w:t xml:space="preserve"> </w:t>
      </w:r>
      <w:r>
        <w:t>on</w:t>
      </w:r>
      <w:r w:rsidR="006C6F09">
        <w:t xml:space="preserve"> </w:t>
      </w:r>
      <w:r>
        <w:t>their</w:t>
      </w:r>
      <w:r w:rsidR="006C6F09">
        <w:t xml:space="preserve"> </w:t>
      </w:r>
      <w:r>
        <w:t>own</w:t>
      </w:r>
      <w:r w:rsidR="006C6F09">
        <w:t xml:space="preserve"> </w:t>
      </w:r>
      <w:r>
        <w:t>initiative</w:t>
      </w:r>
      <w:r w:rsidR="006C6F09">
        <w:t xml:space="preserve"> </w:t>
      </w:r>
      <w:r>
        <w:t>for</w:t>
      </w:r>
      <w:r w:rsidR="006C6F09">
        <w:t xml:space="preserve"> </w:t>
      </w:r>
      <w:r>
        <w:t>the</w:t>
      </w:r>
      <w:r w:rsidR="006C6F09">
        <w:t xml:space="preserve"> </w:t>
      </w:r>
      <w:r>
        <w:t>agency</w:t>
      </w:r>
      <w:r w:rsidR="006C6F09">
        <w:t xml:space="preserve"> </w:t>
      </w:r>
      <w:r>
        <w:t>official</w:t>
      </w:r>
      <w:r w:rsidR="006C6F09">
        <w:t xml:space="preserve"> </w:t>
      </w:r>
      <w:r>
        <w:t>to</w:t>
      </w:r>
      <w:r w:rsidR="006C6F09">
        <w:t xml:space="preserve"> </w:t>
      </w:r>
      <w:r>
        <w:t>consider</w:t>
      </w:r>
      <w:r w:rsidR="006C6F09">
        <w:t xml:space="preserve"> </w:t>
      </w:r>
      <w:r>
        <w:t>in</w:t>
      </w:r>
      <w:r w:rsidR="006C6F09">
        <w:t xml:space="preserve"> </w:t>
      </w:r>
      <w:r w:rsidR="003914D9">
        <w:t>decision</w:t>
      </w:r>
      <w:r w:rsidR="006C6F09">
        <w:t xml:space="preserve"> </w:t>
      </w:r>
      <w:r w:rsidR="006E7860">
        <w:t>making</w:t>
      </w:r>
      <w:r w:rsidR="00C052B0">
        <w:t xml:space="preserve">. </w:t>
      </w:r>
      <w:r w:rsidRPr="0032400B">
        <w:t>36</w:t>
      </w:r>
      <w:r w:rsidR="006C6F09">
        <w:t xml:space="preserve"> </w:t>
      </w:r>
      <w:r w:rsidRPr="0032400B">
        <w:t>CFR</w:t>
      </w:r>
      <w:r w:rsidR="006C6F09">
        <w:t xml:space="preserve"> </w:t>
      </w:r>
      <w:r w:rsidRPr="0032400B">
        <w:t>800.2</w:t>
      </w:r>
      <w:r>
        <w:t>(d)(2).</w:t>
      </w:r>
      <w:r w:rsidR="006C6F09">
        <w:t xml:space="preserve"> </w:t>
      </w:r>
      <w:r>
        <w:t>Finally,</w:t>
      </w:r>
      <w:r w:rsidR="006C6F09">
        <w:t xml:space="preserve"> </w:t>
      </w:r>
      <w:r w:rsidR="00EE2E63">
        <w:t>ACHP’s</w:t>
      </w:r>
      <w:r w:rsidR="006C6F09">
        <w:t xml:space="preserve"> </w:t>
      </w:r>
      <w:r>
        <w:t>regulations</w:t>
      </w:r>
      <w:r w:rsidR="006C6F09">
        <w:t xml:space="preserve"> </w:t>
      </w:r>
      <w:r>
        <w:t>provide</w:t>
      </w:r>
      <w:r w:rsidR="006C6F09">
        <w:t xml:space="preserve"> </w:t>
      </w:r>
      <w:r>
        <w:t>that</w:t>
      </w:r>
      <w:r w:rsidR="006C6F09">
        <w:t xml:space="preserve"> </w:t>
      </w:r>
      <w:r>
        <w:t>the</w:t>
      </w:r>
      <w:r w:rsidR="006C6F09">
        <w:t xml:space="preserve"> </w:t>
      </w:r>
      <w:r>
        <w:t>agency</w:t>
      </w:r>
      <w:r w:rsidR="006C6F09">
        <w:t xml:space="preserve"> </w:t>
      </w:r>
      <w:r>
        <w:t>official</w:t>
      </w:r>
      <w:r w:rsidR="006C6F09">
        <w:t xml:space="preserve"> </w:t>
      </w:r>
      <w:r>
        <w:t>may</w:t>
      </w:r>
      <w:r w:rsidR="006C6F09">
        <w:t xml:space="preserve"> </w:t>
      </w:r>
      <w:r>
        <w:t>use</w:t>
      </w:r>
      <w:r w:rsidR="006C6F09">
        <w:t xml:space="preserve"> </w:t>
      </w:r>
      <w:r>
        <w:t>the</w:t>
      </w:r>
      <w:r w:rsidR="006C6F09">
        <w:t xml:space="preserve"> </w:t>
      </w:r>
      <w:r>
        <w:t>agency’s</w:t>
      </w:r>
      <w:r w:rsidR="006C6F09">
        <w:t xml:space="preserve"> </w:t>
      </w:r>
      <w:r>
        <w:t>procedures</w:t>
      </w:r>
      <w:r w:rsidR="006C6F09">
        <w:t xml:space="preserve"> </w:t>
      </w:r>
      <w:r>
        <w:t>for</w:t>
      </w:r>
      <w:r w:rsidR="006C6F09">
        <w:t xml:space="preserve"> </w:t>
      </w:r>
      <w:r>
        <w:t>public</w:t>
      </w:r>
      <w:r w:rsidR="006C6F09">
        <w:t xml:space="preserve"> </w:t>
      </w:r>
      <w:r>
        <w:t>involvement</w:t>
      </w:r>
      <w:r w:rsidR="006C6F09">
        <w:t xml:space="preserve"> </w:t>
      </w:r>
      <w:r>
        <w:t>under</w:t>
      </w:r>
      <w:r w:rsidR="006C6F09">
        <w:t xml:space="preserve"> </w:t>
      </w:r>
      <w:r>
        <w:t>the</w:t>
      </w:r>
      <w:r w:rsidR="006C6F09">
        <w:t xml:space="preserve"> </w:t>
      </w:r>
      <w:r>
        <w:t>National</w:t>
      </w:r>
      <w:r w:rsidR="006C6F09">
        <w:t xml:space="preserve"> </w:t>
      </w:r>
      <w:r>
        <w:t>Environmental</w:t>
      </w:r>
      <w:r w:rsidR="006C6F09">
        <w:t xml:space="preserve"> </w:t>
      </w:r>
      <w:r>
        <w:t>Policy</w:t>
      </w:r>
      <w:r w:rsidR="006C6F09">
        <w:t xml:space="preserve"> </w:t>
      </w:r>
      <w:r>
        <w:t>Act</w:t>
      </w:r>
      <w:r w:rsidR="006C6F09">
        <w:t xml:space="preserve"> </w:t>
      </w:r>
      <w:r>
        <w:t>or</w:t>
      </w:r>
      <w:r w:rsidR="006C6F09">
        <w:t xml:space="preserve"> </w:t>
      </w:r>
      <w:r>
        <w:t>other</w:t>
      </w:r>
      <w:r w:rsidR="006C6F09">
        <w:t xml:space="preserve"> </w:t>
      </w:r>
      <w:r>
        <w:t>program</w:t>
      </w:r>
      <w:r w:rsidR="006C6F09">
        <w:t xml:space="preserve"> </w:t>
      </w:r>
      <w:r>
        <w:t>requirements</w:t>
      </w:r>
      <w:r w:rsidR="006C6F09">
        <w:t xml:space="preserve"> </w:t>
      </w:r>
      <w:r>
        <w:t>to</w:t>
      </w:r>
      <w:r w:rsidR="006C6F09">
        <w:t xml:space="preserve"> </w:t>
      </w:r>
      <w:r>
        <w:t>satisfy</w:t>
      </w:r>
      <w:r w:rsidR="006C6F09">
        <w:t xml:space="preserve"> </w:t>
      </w:r>
      <w:r>
        <w:t>these</w:t>
      </w:r>
      <w:r w:rsidR="006C6F09">
        <w:t xml:space="preserve"> </w:t>
      </w:r>
      <w:r>
        <w:t>requirements.</w:t>
      </w:r>
      <w:r w:rsidR="006C6F09">
        <w:t xml:space="preserve"> </w:t>
      </w:r>
      <w:r w:rsidRPr="0032400B">
        <w:t>36</w:t>
      </w:r>
      <w:r w:rsidR="006C6F09">
        <w:t xml:space="preserve"> </w:t>
      </w:r>
      <w:r w:rsidRPr="0032400B">
        <w:t>CFR</w:t>
      </w:r>
      <w:r w:rsidR="006C6F09">
        <w:t xml:space="preserve"> </w:t>
      </w:r>
      <w:r w:rsidRPr="0032400B">
        <w:t>800.2</w:t>
      </w:r>
      <w:r>
        <w:t>(d)(3).</w:t>
      </w:r>
    </w:p>
    <w:p w14:paraId="1CA53748" w14:textId="74772D82" w:rsidR="00457754" w:rsidRDefault="00457754" w:rsidP="00457754">
      <w:r>
        <w:lastRenderedPageBreak/>
        <w:t>References</w:t>
      </w:r>
      <w:r w:rsidR="006C6F09">
        <w:t xml:space="preserve"> </w:t>
      </w:r>
      <w:r>
        <w:t>and</w:t>
      </w:r>
      <w:r w:rsidR="006C6F09">
        <w:t xml:space="preserve"> </w:t>
      </w:r>
      <w:r>
        <w:t>appropriate</w:t>
      </w:r>
      <w:r w:rsidR="006C6F09">
        <w:t xml:space="preserve"> </w:t>
      </w:r>
      <w:r>
        <w:t>information</w:t>
      </w:r>
      <w:r w:rsidR="006C6F09">
        <w:t xml:space="preserve"> </w:t>
      </w:r>
      <w:r>
        <w:t>regarding</w:t>
      </w:r>
      <w:r w:rsidR="006C6F09">
        <w:t xml:space="preserve"> </w:t>
      </w:r>
      <w:r>
        <w:t>historic</w:t>
      </w:r>
      <w:r w:rsidR="006C6F09">
        <w:t xml:space="preserve"> </w:t>
      </w:r>
      <w:r>
        <w:t>properties</w:t>
      </w:r>
      <w:r w:rsidR="006C6F09">
        <w:t xml:space="preserve"> </w:t>
      </w:r>
      <w:r>
        <w:t>are</w:t>
      </w:r>
      <w:r w:rsidR="006C6F09">
        <w:t xml:space="preserve"> </w:t>
      </w:r>
      <w:r>
        <w:t>integrated</w:t>
      </w:r>
      <w:r w:rsidR="006C6F09">
        <w:t xml:space="preserve"> </w:t>
      </w:r>
      <w:r>
        <w:t>into</w:t>
      </w:r>
      <w:r w:rsidR="006C6F09">
        <w:t xml:space="preserve"> </w:t>
      </w:r>
      <w:r>
        <w:t>the</w:t>
      </w:r>
      <w:r w:rsidR="006C6F09">
        <w:t xml:space="preserve"> </w:t>
      </w:r>
      <w:r>
        <w:t>standard</w:t>
      </w:r>
      <w:r w:rsidR="006C6F09">
        <w:t xml:space="preserve"> </w:t>
      </w:r>
      <w:r w:rsidRPr="0032400B">
        <w:t>National</w:t>
      </w:r>
      <w:r w:rsidR="006C6F09">
        <w:t xml:space="preserve"> </w:t>
      </w:r>
      <w:r w:rsidRPr="0032400B">
        <w:t>Environmental</w:t>
      </w:r>
      <w:r w:rsidR="006C6F09">
        <w:t xml:space="preserve"> </w:t>
      </w:r>
      <w:r w:rsidRPr="0032400B">
        <w:t>Policy</w:t>
      </w:r>
      <w:r w:rsidR="006C6F09">
        <w:rPr>
          <w:i/>
          <w:iCs/>
        </w:rPr>
        <w:t xml:space="preserve"> </w:t>
      </w:r>
      <w:r w:rsidRPr="000C069C">
        <w:t>Act</w:t>
      </w:r>
      <w:r w:rsidR="006C6F09">
        <w:t xml:space="preserve"> </w:t>
      </w:r>
      <w:r>
        <w:t>(NEPA)</w:t>
      </w:r>
      <w:r w:rsidR="006C6F09">
        <w:t xml:space="preserve"> </w:t>
      </w:r>
      <w:r>
        <w:t>public</w:t>
      </w:r>
      <w:r w:rsidR="006C6F09">
        <w:t xml:space="preserve"> </w:t>
      </w:r>
      <w:r>
        <w:t>involvement</w:t>
      </w:r>
      <w:r w:rsidR="006C6F09">
        <w:t xml:space="preserve"> </w:t>
      </w:r>
      <w:r>
        <w:t>actions</w:t>
      </w:r>
      <w:r w:rsidR="006C6F09">
        <w:t xml:space="preserve"> </w:t>
      </w:r>
      <w:r>
        <w:t>outlined</w:t>
      </w:r>
      <w:r w:rsidR="006C6F09">
        <w:t xml:space="preserve"> </w:t>
      </w:r>
      <w:r>
        <w:t>in</w:t>
      </w:r>
      <w:r w:rsidR="006C6F09">
        <w:t xml:space="preserve"> </w:t>
      </w:r>
      <w:r>
        <w:t>this</w:t>
      </w:r>
      <w:r w:rsidR="006C6F09">
        <w:t xml:space="preserve"> </w:t>
      </w:r>
      <w:r>
        <w:t>handbook.</w:t>
      </w:r>
      <w:r w:rsidR="006C6F09">
        <w:t xml:space="preserve"> </w:t>
      </w:r>
      <w:r>
        <w:t>Such</w:t>
      </w:r>
      <w:r w:rsidR="006C6F09">
        <w:t xml:space="preserve"> </w:t>
      </w:r>
      <w:r>
        <w:t>integration</w:t>
      </w:r>
      <w:r w:rsidR="006C6F09">
        <w:t xml:space="preserve"> </w:t>
      </w:r>
      <w:r>
        <w:t>may</w:t>
      </w:r>
      <w:r w:rsidR="006C6F09">
        <w:t xml:space="preserve"> </w:t>
      </w:r>
      <w:r>
        <w:t>include</w:t>
      </w:r>
      <w:r w:rsidR="006C6F09">
        <w:t xml:space="preserve"> </w:t>
      </w:r>
      <w:r>
        <w:t>the</w:t>
      </w:r>
      <w:r w:rsidR="006C6F09">
        <w:t xml:space="preserve"> </w:t>
      </w:r>
      <w:r>
        <w:t>need</w:t>
      </w:r>
      <w:r w:rsidR="006C6F09">
        <w:t xml:space="preserve"> </w:t>
      </w:r>
      <w:r>
        <w:t>to</w:t>
      </w:r>
      <w:r w:rsidR="006C6F09">
        <w:t xml:space="preserve"> </w:t>
      </w:r>
      <w:r>
        <w:t>accommodate</w:t>
      </w:r>
      <w:r w:rsidR="006C6F09">
        <w:t xml:space="preserve"> </w:t>
      </w:r>
      <w:r w:rsidRPr="00FE05E7">
        <w:t>National</w:t>
      </w:r>
      <w:r w:rsidR="006C6F09">
        <w:t xml:space="preserve"> </w:t>
      </w:r>
      <w:r w:rsidRPr="00FE05E7">
        <w:t>Historic</w:t>
      </w:r>
      <w:r w:rsidR="006C6F09">
        <w:t xml:space="preserve"> </w:t>
      </w:r>
      <w:r w:rsidRPr="00FE05E7">
        <w:t>Preservation</w:t>
      </w:r>
      <w:r w:rsidR="006C6F09">
        <w:t xml:space="preserve"> </w:t>
      </w:r>
      <w:r w:rsidRPr="009A65D3">
        <w:t>Act</w:t>
      </w:r>
      <w:r w:rsidR="006C6F09">
        <w:t xml:space="preserve"> </w:t>
      </w:r>
      <w:r>
        <w:t>Section</w:t>
      </w:r>
      <w:r w:rsidR="006C6F09">
        <w:t xml:space="preserve"> </w:t>
      </w:r>
      <w:r>
        <w:t>106</w:t>
      </w:r>
      <w:r w:rsidR="006C6F09">
        <w:t xml:space="preserve"> </w:t>
      </w:r>
      <w:r>
        <w:t>consulting</w:t>
      </w:r>
      <w:r w:rsidR="006C6F09">
        <w:t xml:space="preserve"> </w:t>
      </w:r>
      <w:r>
        <w:t>parties,</w:t>
      </w:r>
      <w:r w:rsidR="006C6F09">
        <w:t xml:space="preserve"> </w:t>
      </w:r>
      <w:r>
        <w:t>such</w:t>
      </w:r>
      <w:r w:rsidR="006C6F09">
        <w:t xml:space="preserve"> </w:t>
      </w:r>
      <w:r>
        <w:t>as</w:t>
      </w:r>
      <w:r w:rsidR="006C6F09">
        <w:t xml:space="preserve"> </w:t>
      </w:r>
      <w:r>
        <w:t>Tribes,</w:t>
      </w:r>
      <w:r w:rsidR="006C6F09">
        <w:t xml:space="preserve"> </w:t>
      </w:r>
      <w:r>
        <w:t>into</w:t>
      </w:r>
      <w:r w:rsidR="006C6F09">
        <w:t xml:space="preserve"> </w:t>
      </w:r>
      <w:r>
        <w:t>the</w:t>
      </w:r>
      <w:r w:rsidR="006C6F09">
        <w:t xml:space="preserve"> </w:t>
      </w:r>
      <w:r>
        <w:t>schedule</w:t>
      </w:r>
      <w:r w:rsidR="006C6F09">
        <w:t xml:space="preserve"> </w:t>
      </w:r>
      <w:r>
        <w:t>created</w:t>
      </w:r>
      <w:r w:rsidR="006C6F09">
        <w:t xml:space="preserve"> </w:t>
      </w:r>
      <w:r>
        <w:t>for</w:t>
      </w:r>
      <w:r w:rsidR="006C6F09">
        <w:t xml:space="preserve"> </w:t>
      </w:r>
      <w:r>
        <w:t>the</w:t>
      </w:r>
      <w:r w:rsidR="006C6F09">
        <w:t xml:space="preserve"> </w:t>
      </w:r>
      <w:r>
        <w:t>project.</w:t>
      </w:r>
      <w:r w:rsidR="006C6F09">
        <w:t xml:space="preserve"> </w:t>
      </w:r>
      <w:r>
        <w:t>Refer</w:t>
      </w:r>
      <w:r w:rsidR="006C6F09">
        <w:t xml:space="preserve"> </w:t>
      </w:r>
      <w:r>
        <w:t>to</w:t>
      </w:r>
      <w:r w:rsidR="006C6F09">
        <w:t xml:space="preserve"> </w:t>
      </w:r>
      <w:r>
        <w:t>the</w:t>
      </w:r>
      <w:r w:rsidR="006C6F09">
        <w:t xml:space="preserve"> </w:t>
      </w:r>
      <w:r>
        <w:t>TxDOT</w:t>
      </w:r>
      <w:r w:rsidR="006C6F09">
        <w:t xml:space="preserve"> </w:t>
      </w:r>
      <w:hyperlink r:id="rId36" w:history="1">
        <w:r w:rsidRPr="00C57982">
          <w:rPr>
            <w:rStyle w:val="Hyperlink"/>
          </w:rPr>
          <w:t>Archeological</w:t>
        </w:r>
        <w:r w:rsidR="006C6F09">
          <w:rPr>
            <w:rStyle w:val="Hyperlink"/>
          </w:rPr>
          <w:t xml:space="preserve"> </w:t>
        </w:r>
        <w:r w:rsidRPr="00C57982">
          <w:rPr>
            <w:rStyle w:val="Hyperlink"/>
          </w:rPr>
          <w:t>Sites</w:t>
        </w:r>
        <w:r w:rsidR="006C6F09">
          <w:rPr>
            <w:rStyle w:val="Hyperlink"/>
          </w:rPr>
          <w:t xml:space="preserve"> </w:t>
        </w:r>
        <w:r w:rsidRPr="00C57982">
          <w:rPr>
            <w:rStyle w:val="Hyperlink"/>
          </w:rPr>
          <w:t>and</w:t>
        </w:r>
        <w:r w:rsidR="006C6F09">
          <w:rPr>
            <w:rStyle w:val="Hyperlink"/>
          </w:rPr>
          <w:t xml:space="preserve"> </w:t>
        </w:r>
        <w:r w:rsidRPr="00C57982">
          <w:rPr>
            <w:rStyle w:val="Hyperlink"/>
          </w:rPr>
          <w:t>Cemeteries</w:t>
        </w:r>
        <w:r w:rsidR="006C6F09">
          <w:rPr>
            <w:rStyle w:val="Hyperlink"/>
          </w:rPr>
          <w:t xml:space="preserve"> </w:t>
        </w:r>
        <w:r w:rsidRPr="00C57982">
          <w:rPr>
            <w:rStyle w:val="Hyperlink"/>
          </w:rPr>
          <w:t>Toolkit</w:t>
        </w:r>
      </w:hyperlink>
      <w:r w:rsidR="006C6F09">
        <w:t xml:space="preserve"> </w:t>
      </w:r>
      <w:r>
        <w:t>and</w:t>
      </w:r>
      <w:r w:rsidR="006C6F09">
        <w:t xml:space="preserve"> </w:t>
      </w:r>
      <w:hyperlink r:id="rId37" w:history="1">
        <w:r w:rsidRPr="00C57982">
          <w:rPr>
            <w:rStyle w:val="Hyperlink"/>
          </w:rPr>
          <w:t>Historic</w:t>
        </w:r>
        <w:r w:rsidR="006C6F09">
          <w:rPr>
            <w:rStyle w:val="Hyperlink"/>
          </w:rPr>
          <w:t xml:space="preserve"> </w:t>
        </w:r>
        <w:r w:rsidRPr="00C57982">
          <w:rPr>
            <w:rStyle w:val="Hyperlink"/>
          </w:rPr>
          <w:t>Resources</w:t>
        </w:r>
        <w:r w:rsidR="006C6F09">
          <w:rPr>
            <w:rStyle w:val="Hyperlink"/>
          </w:rPr>
          <w:t xml:space="preserve"> </w:t>
        </w:r>
        <w:r w:rsidRPr="00C57982">
          <w:rPr>
            <w:rStyle w:val="Hyperlink"/>
          </w:rPr>
          <w:t>Toolkit</w:t>
        </w:r>
      </w:hyperlink>
      <w:r w:rsidR="006C6F09">
        <w:t xml:space="preserve"> </w:t>
      </w:r>
      <w:r w:rsidRPr="00C57982">
        <w:t>for</w:t>
      </w:r>
      <w:r w:rsidR="006C6F09">
        <w:t xml:space="preserve"> </w:t>
      </w:r>
      <w:r w:rsidRPr="00C57982">
        <w:t>additional</w:t>
      </w:r>
      <w:r w:rsidR="006C6F09">
        <w:t xml:space="preserve"> </w:t>
      </w:r>
      <w:r w:rsidRPr="00C57982">
        <w:t>guidance</w:t>
      </w:r>
      <w:r w:rsidR="006C6F09">
        <w:t xml:space="preserve"> </w:t>
      </w:r>
      <w:r w:rsidRPr="00C57982">
        <w:t>on</w:t>
      </w:r>
      <w:r w:rsidR="006C6F09">
        <w:t xml:space="preserve"> </w:t>
      </w:r>
      <w:r w:rsidRPr="00C57982">
        <w:t>complying</w:t>
      </w:r>
      <w:r w:rsidR="006C6F09">
        <w:t xml:space="preserve"> </w:t>
      </w:r>
      <w:r w:rsidRPr="00C57982">
        <w:t>with</w:t>
      </w:r>
      <w:r w:rsidR="006C6F09">
        <w:t xml:space="preserve"> </w:t>
      </w:r>
      <w:r w:rsidRPr="00C57982">
        <w:t>Section</w:t>
      </w:r>
      <w:r w:rsidR="006C6F09">
        <w:t xml:space="preserve"> </w:t>
      </w:r>
      <w:r w:rsidRPr="00C57982">
        <w:t>106.</w:t>
      </w:r>
    </w:p>
    <w:p w14:paraId="094673C4" w14:textId="1037ED7A" w:rsidR="00457754" w:rsidRDefault="00457754" w:rsidP="00457754">
      <w:r>
        <w:t>Effective</w:t>
      </w:r>
      <w:r w:rsidR="006C6F09">
        <w:t xml:space="preserve"> </w:t>
      </w:r>
      <w:r>
        <w:t>December</w:t>
      </w:r>
      <w:r w:rsidR="006C6F09">
        <w:t xml:space="preserve"> </w:t>
      </w:r>
      <w:r>
        <w:t>16,</w:t>
      </w:r>
      <w:r w:rsidR="006C6F09">
        <w:t xml:space="preserve"> </w:t>
      </w:r>
      <w:r>
        <w:t>2014</w:t>
      </w:r>
      <w:r w:rsidR="006C6F09">
        <w:t xml:space="preserve"> </w:t>
      </w:r>
      <w:r>
        <w:t>as</w:t>
      </w:r>
      <w:r w:rsidR="006C6F09">
        <w:t xml:space="preserve"> </w:t>
      </w:r>
      <w:r>
        <w:t>well</w:t>
      </w:r>
      <w:r w:rsidR="006C6F09">
        <w:t xml:space="preserve"> </w:t>
      </w:r>
      <w:r>
        <w:t>as</w:t>
      </w:r>
      <w:r w:rsidR="006C6F09">
        <w:t xml:space="preserve"> </w:t>
      </w:r>
      <w:r>
        <w:t>a</w:t>
      </w:r>
      <w:r w:rsidR="006C6F09">
        <w:t xml:space="preserve"> </w:t>
      </w:r>
      <w:r>
        <w:t>renewal</w:t>
      </w:r>
      <w:r w:rsidR="006C6F09">
        <w:t xml:space="preserve"> </w:t>
      </w:r>
      <w:r>
        <w:t>on</w:t>
      </w:r>
      <w:r w:rsidR="006C6F09">
        <w:t xml:space="preserve"> </w:t>
      </w:r>
      <w:r>
        <w:t>December</w:t>
      </w:r>
      <w:r w:rsidR="006C6F09">
        <w:t xml:space="preserve"> </w:t>
      </w:r>
      <w:r>
        <w:t>9,</w:t>
      </w:r>
      <w:r w:rsidR="006C6F09">
        <w:t xml:space="preserve"> </w:t>
      </w:r>
      <w:r>
        <w:t>2019</w:t>
      </w:r>
      <w:r w:rsidR="006C6F09">
        <w:t xml:space="preserve"> </w:t>
      </w:r>
      <w:r>
        <w:t>and</w:t>
      </w:r>
      <w:r w:rsidR="006C6F09">
        <w:t xml:space="preserve"> </w:t>
      </w:r>
      <w:r>
        <w:t>a</w:t>
      </w:r>
      <w:r w:rsidR="006C6F09">
        <w:t xml:space="preserve"> </w:t>
      </w:r>
      <w:r>
        <w:t>second</w:t>
      </w:r>
      <w:r w:rsidR="006C6F09">
        <w:t xml:space="preserve"> </w:t>
      </w:r>
      <w:r>
        <w:t>renewal</w:t>
      </w:r>
      <w:r w:rsidR="006C6F09">
        <w:t xml:space="preserve"> </w:t>
      </w:r>
      <w:r>
        <w:t>on</w:t>
      </w:r>
      <w:r w:rsidR="006C6F09">
        <w:t xml:space="preserve"> </w:t>
      </w:r>
      <w:r>
        <w:t>July</w:t>
      </w:r>
      <w:r w:rsidR="006C6F09">
        <w:t xml:space="preserve"> </w:t>
      </w:r>
      <w:r>
        <w:t>27,</w:t>
      </w:r>
      <w:r w:rsidR="006C6F09">
        <w:t xml:space="preserve"> </w:t>
      </w:r>
      <w:r>
        <w:t>2025,</w:t>
      </w:r>
      <w:r w:rsidR="006C6F09">
        <w:t xml:space="preserve"> </w:t>
      </w:r>
      <w:r>
        <w:t>FHWA</w:t>
      </w:r>
      <w:r w:rsidR="006C6F09">
        <w:t xml:space="preserve"> </w:t>
      </w:r>
      <w:r>
        <w:t>assigned</w:t>
      </w:r>
      <w:r w:rsidR="006C6F09">
        <w:t xml:space="preserve"> </w:t>
      </w:r>
      <w:r>
        <w:t>and</w:t>
      </w:r>
      <w:r w:rsidR="006C6F09">
        <w:t xml:space="preserve"> </w:t>
      </w:r>
      <w:r>
        <w:t>TxDOT</w:t>
      </w:r>
      <w:r w:rsidR="006C6F09">
        <w:t xml:space="preserve"> </w:t>
      </w:r>
      <w:r>
        <w:t>assumed,</w:t>
      </w:r>
      <w:r w:rsidR="006C6F09">
        <w:t xml:space="preserve"> </w:t>
      </w:r>
      <w:r>
        <w:t>subject</w:t>
      </w:r>
      <w:r w:rsidR="006C6F09">
        <w:t xml:space="preserve"> </w:t>
      </w:r>
      <w:r>
        <w:t>to</w:t>
      </w:r>
      <w:r w:rsidR="006C6F09">
        <w:t xml:space="preserve"> </w:t>
      </w:r>
      <w:r>
        <w:t>the</w:t>
      </w:r>
      <w:r w:rsidR="006C6F09">
        <w:t xml:space="preserve"> </w:t>
      </w:r>
      <w:r>
        <w:t>terms</w:t>
      </w:r>
      <w:r w:rsidR="006C6F09">
        <w:t xml:space="preserve"> </w:t>
      </w:r>
      <w:r>
        <w:t>and</w:t>
      </w:r>
      <w:r w:rsidR="006C6F09">
        <w:t xml:space="preserve"> </w:t>
      </w:r>
      <w:r>
        <w:t>conditions</w:t>
      </w:r>
      <w:r w:rsidR="006C6F09">
        <w:t xml:space="preserve"> </w:t>
      </w:r>
      <w:r>
        <w:t>in</w:t>
      </w:r>
      <w:r w:rsidR="006C6F09">
        <w:t xml:space="preserve"> </w:t>
      </w:r>
      <w:hyperlink r:id="rId38" w:history="1">
        <w:r>
          <w:rPr>
            <w:rStyle w:val="Hyperlink"/>
          </w:rPr>
          <w:t>Title</w:t>
        </w:r>
        <w:r w:rsidR="006C6F09">
          <w:rPr>
            <w:rStyle w:val="Hyperlink"/>
          </w:rPr>
          <w:t xml:space="preserve"> </w:t>
        </w:r>
        <w:r>
          <w:rPr>
            <w:rStyle w:val="Hyperlink"/>
          </w:rPr>
          <w:t>23</w:t>
        </w:r>
        <w:r w:rsidR="006C6F09">
          <w:rPr>
            <w:rStyle w:val="Hyperlink"/>
          </w:rPr>
          <w:t xml:space="preserve"> </w:t>
        </w:r>
        <w:r>
          <w:rPr>
            <w:rStyle w:val="Hyperlink"/>
          </w:rPr>
          <w:t>United</w:t>
        </w:r>
        <w:r w:rsidR="006C6F09">
          <w:rPr>
            <w:rStyle w:val="Hyperlink"/>
          </w:rPr>
          <w:t xml:space="preserve"> </w:t>
        </w:r>
        <w:r>
          <w:rPr>
            <w:rStyle w:val="Hyperlink"/>
          </w:rPr>
          <w:t>States</w:t>
        </w:r>
        <w:r w:rsidR="006C6F09">
          <w:rPr>
            <w:rStyle w:val="Hyperlink"/>
          </w:rPr>
          <w:t xml:space="preserve"> </w:t>
        </w:r>
        <w:r>
          <w:rPr>
            <w:rStyle w:val="Hyperlink"/>
          </w:rPr>
          <w:t>Code</w:t>
        </w:r>
        <w:r w:rsidR="006C6F09">
          <w:rPr>
            <w:rStyle w:val="Hyperlink"/>
          </w:rPr>
          <w:t xml:space="preserve"> </w:t>
        </w:r>
        <w:r>
          <w:rPr>
            <w:rStyle w:val="Hyperlink"/>
          </w:rPr>
          <w:t>327:</w:t>
        </w:r>
        <w:r w:rsidR="006C6F09">
          <w:rPr>
            <w:rStyle w:val="Hyperlink"/>
          </w:rPr>
          <w:t xml:space="preserve"> </w:t>
        </w:r>
        <w:r>
          <w:rPr>
            <w:rStyle w:val="Hyperlink"/>
          </w:rPr>
          <w:t>Surface</w:t>
        </w:r>
        <w:r w:rsidR="006C6F09">
          <w:rPr>
            <w:rStyle w:val="Hyperlink"/>
          </w:rPr>
          <w:t xml:space="preserve"> </w:t>
        </w:r>
        <w:r>
          <w:rPr>
            <w:rStyle w:val="Hyperlink"/>
          </w:rPr>
          <w:t>Transportation</w:t>
        </w:r>
        <w:r w:rsidR="006C6F09">
          <w:rPr>
            <w:rStyle w:val="Hyperlink"/>
          </w:rPr>
          <w:t xml:space="preserve"> </w:t>
        </w:r>
        <w:r>
          <w:rPr>
            <w:rStyle w:val="Hyperlink"/>
          </w:rPr>
          <w:t>Project</w:t>
        </w:r>
        <w:r w:rsidR="006C6F09">
          <w:rPr>
            <w:rStyle w:val="Hyperlink"/>
          </w:rPr>
          <w:t xml:space="preserve"> </w:t>
        </w:r>
        <w:r>
          <w:rPr>
            <w:rStyle w:val="Hyperlink"/>
          </w:rPr>
          <w:t>Delivery</w:t>
        </w:r>
        <w:r w:rsidR="006C6F09">
          <w:rPr>
            <w:rStyle w:val="Hyperlink"/>
          </w:rPr>
          <w:t xml:space="preserve"> </w:t>
        </w:r>
        <w:r>
          <w:rPr>
            <w:rStyle w:val="Hyperlink"/>
          </w:rPr>
          <w:t>Program</w:t>
        </w:r>
      </w:hyperlink>
      <w:r w:rsidR="006C6F09">
        <w:t xml:space="preserve"> </w:t>
      </w:r>
      <w:r>
        <w:t>and</w:t>
      </w:r>
      <w:r w:rsidR="006C6F09">
        <w:t xml:space="preserve"> </w:t>
      </w:r>
      <w:r>
        <w:t>the</w:t>
      </w:r>
      <w:r w:rsidR="006C6F09">
        <w:t xml:space="preserve"> </w:t>
      </w:r>
      <w:r>
        <w:t>Assignment</w:t>
      </w:r>
      <w:r w:rsidR="006C6F09">
        <w:t xml:space="preserve"> </w:t>
      </w:r>
      <w:r>
        <w:t>MOU,</w:t>
      </w:r>
      <w:r w:rsidR="006C6F09">
        <w:t xml:space="preserve"> </w:t>
      </w:r>
      <w:r>
        <w:t>select</w:t>
      </w:r>
      <w:r w:rsidR="006C6F09">
        <w:t xml:space="preserve"> </w:t>
      </w:r>
      <w:r>
        <w:t>U.S.</w:t>
      </w:r>
      <w:r w:rsidR="006C6F09">
        <w:t xml:space="preserve"> </w:t>
      </w:r>
      <w:r>
        <w:t>Department</w:t>
      </w:r>
      <w:r w:rsidR="006C6F09">
        <w:t xml:space="preserve"> </w:t>
      </w:r>
      <w:r>
        <w:t>of</w:t>
      </w:r>
      <w:r w:rsidR="006C6F09">
        <w:t xml:space="preserve"> </w:t>
      </w:r>
      <w:r>
        <w:t>Transportation</w:t>
      </w:r>
      <w:r w:rsidR="006C6F09">
        <w:t xml:space="preserve"> </w:t>
      </w:r>
      <w:r>
        <w:t>Secretary’s</w:t>
      </w:r>
      <w:r w:rsidR="006C6F09">
        <w:t xml:space="preserve"> </w:t>
      </w:r>
      <w:r>
        <w:t>responsibilities</w:t>
      </w:r>
      <w:r w:rsidR="006C6F09">
        <w:t xml:space="preserve"> </w:t>
      </w:r>
      <w:r>
        <w:t>for</w:t>
      </w:r>
      <w:r w:rsidR="006C6F09">
        <w:t xml:space="preserve"> </w:t>
      </w:r>
      <w:r>
        <w:t>NEPA</w:t>
      </w:r>
      <w:r w:rsidR="006C6F09">
        <w:t xml:space="preserve"> </w:t>
      </w:r>
      <w:r>
        <w:t>compliance</w:t>
      </w:r>
      <w:r w:rsidR="006C6F09">
        <w:t xml:space="preserve"> </w:t>
      </w:r>
      <w:r>
        <w:t>with</w:t>
      </w:r>
      <w:r w:rsidR="006C6F09">
        <w:t xml:space="preserve"> </w:t>
      </w:r>
      <w:r>
        <w:t>respect</w:t>
      </w:r>
      <w:r w:rsidR="006C6F09">
        <w:t xml:space="preserve"> </w:t>
      </w:r>
      <w:r>
        <w:t>to</w:t>
      </w:r>
      <w:r w:rsidR="006C6F09">
        <w:t xml:space="preserve"> </w:t>
      </w:r>
      <w:r>
        <w:t>highway</w:t>
      </w:r>
      <w:r w:rsidR="006C6F09">
        <w:t xml:space="preserve"> </w:t>
      </w:r>
      <w:r>
        <w:t>projects.</w:t>
      </w:r>
      <w:r w:rsidR="006C6F09">
        <w:t xml:space="preserve"> </w:t>
      </w:r>
      <w:r>
        <w:t>As</w:t>
      </w:r>
      <w:r w:rsidR="006C6F09">
        <w:t xml:space="preserve"> </w:t>
      </w:r>
      <w:r>
        <w:t>such,</w:t>
      </w:r>
      <w:r w:rsidR="006C6F09">
        <w:t xml:space="preserve"> </w:t>
      </w:r>
      <w:r>
        <w:t>TxDOT</w:t>
      </w:r>
      <w:r w:rsidR="006C6F09">
        <w:t xml:space="preserve"> </w:t>
      </w:r>
      <w:r>
        <w:t>now</w:t>
      </w:r>
      <w:r w:rsidR="006C6F09">
        <w:t xml:space="preserve"> </w:t>
      </w:r>
      <w:r>
        <w:t>acts</w:t>
      </w:r>
      <w:r w:rsidR="006C6F09">
        <w:t xml:space="preserve"> </w:t>
      </w:r>
      <w:r>
        <w:t>as</w:t>
      </w:r>
      <w:r w:rsidR="006C6F09">
        <w:t xml:space="preserve"> </w:t>
      </w:r>
      <w:r>
        <w:t>the</w:t>
      </w:r>
      <w:r w:rsidR="006C6F09">
        <w:t xml:space="preserve"> </w:t>
      </w:r>
      <w:r>
        <w:t>federal</w:t>
      </w:r>
      <w:r w:rsidR="006C6F09">
        <w:t xml:space="preserve"> </w:t>
      </w:r>
      <w:r>
        <w:t>agency</w:t>
      </w:r>
      <w:r w:rsidR="006C6F09">
        <w:t xml:space="preserve"> </w:t>
      </w:r>
      <w:r>
        <w:t>(FHWA)</w:t>
      </w:r>
      <w:r w:rsidR="006C6F09">
        <w:t xml:space="preserve"> </w:t>
      </w:r>
      <w:r>
        <w:t>in</w:t>
      </w:r>
      <w:r w:rsidR="006C6F09">
        <w:t xml:space="preserve"> </w:t>
      </w:r>
      <w:r>
        <w:t>making</w:t>
      </w:r>
      <w:r w:rsidR="006C6F09">
        <w:t xml:space="preserve"> </w:t>
      </w:r>
      <w:r>
        <w:t>NEPA</w:t>
      </w:r>
      <w:r w:rsidR="006C6F09">
        <w:t xml:space="preserve"> </w:t>
      </w:r>
      <w:r>
        <w:t>decisions</w:t>
      </w:r>
      <w:r w:rsidR="006C6F09">
        <w:t xml:space="preserve"> </w:t>
      </w:r>
      <w:r>
        <w:t>for</w:t>
      </w:r>
      <w:r w:rsidR="006C6F09">
        <w:t xml:space="preserve"> </w:t>
      </w:r>
      <w:r>
        <w:t>assigned</w:t>
      </w:r>
      <w:r w:rsidR="006C6F09">
        <w:t xml:space="preserve"> </w:t>
      </w:r>
      <w:r>
        <w:t>projects.</w:t>
      </w:r>
      <w:r w:rsidR="006C6F09">
        <w:t xml:space="preserve"> </w:t>
      </w:r>
      <w:r>
        <w:t>The</w:t>
      </w:r>
      <w:r w:rsidR="006C6F09">
        <w:t xml:space="preserve"> </w:t>
      </w:r>
      <w:r>
        <w:t>Assignment</w:t>
      </w:r>
      <w:r w:rsidR="006C6F09">
        <w:t xml:space="preserve"> </w:t>
      </w:r>
      <w:r>
        <w:t>MOU</w:t>
      </w:r>
      <w:r w:rsidR="006C6F09">
        <w:t xml:space="preserve"> </w:t>
      </w:r>
      <w:r>
        <w:t>requires</w:t>
      </w:r>
      <w:r w:rsidR="006C6F09">
        <w:t xml:space="preserve"> </w:t>
      </w:r>
      <w:r>
        <w:t>specific</w:t>
      </w:r>
      <w:r w:rsidR="006C6F09">
        <w:t xml:space="preserve"> </w:t>
      </w:r>
      <w:r>
        <w:t>language</w:t>
      </w:r>
      <w:r w:rsidR="006C6F09">
        <w:t xml:space="preserve"> </w:t>
      </w:r>
      <w:r>
        <w:t>as</w:t>
      </w:r>
      <w:r w:rsidR="006C6F09">
        <w:t xml:space="preserve"> </w:t>
      </w:r>
      <w:r>
        <w:t>part</w:t>
      </w:r>
      <w:r w:rsidR="006C6F09">
        <w:t xml:space="preserve"> </w:t>
      </w:r>
      <w:r>
        <w:t>of</w:t>
      </w:r>
      <w:r w:rsidR="006C6F09">
        <w:t xml:space="preserve"> </w:t>
      </w:r>
      <w:r>
        <w:t>public</w:t>
      </w:r>
      <w:r w:rsidR="006C6F09">
        <w:t xml:space="preserve"> </w:t>
      </w:r>
      <w:r>
        <w:t>involvement</w:t>
      </w:r>
      <w:r w:rsidR="006C6F09">
        <w:t xml:space="preserve"> </w:t>
      </w:r>
      <w:r>
        <w:t>communication</w:t>
      </w:r>
      <w:r w:rsidR="006C6F09">
        <w:t xml:space="preserve"> </w:t>
      </w:r>
      <w:r>
        <w:t>materials.</w:t>
      </w:r>
      <w:r w:rsidR="006C6F09">
        <w:t xml:space="preserve"> </w:t>
      </w:r>
      <w:r>
        <w:t>This</w:t>
      </w:r>
      <w:r w:rsidR="006C6F09">
        <w:t xml:space="preserve"> </w:t>
      </w:r>
      <w:r>
        <w:t>language</w:t>
      </w:r>
      <w:r w:rsidR="006C6F09">
        <w:t xml:space="preserve"> </w:t>
      </w:r>
      <w:r>
        <w:t>is</w:t>
      </w:r>
      <w:r w:rsidR="006C6F09">
        <w:t xml:space="preserve"> </w:t>
      </w:r>
      <w:r>
        <w:t>noted</w:t>
      </w:r>
      <w:r w:rsidR="006C6F09">
        <w:t xml:space="preserve"> </w:t>
      </w:r>
      <w:r>
        <w:t>in</w:t>
      </w:r>
      <w:r w:rsidR="006C6F09">
        <w:t xml:space="preserve"> </w:t>
      </w:r>
      <w:r>
        <w:t>later</w:t>
      </w:r>
      <w:r w:rsidR="006C6F09">
        <w:t xml:space="preserve"> </w:t>
      </w:r>
      <w:r>
        <w:t>sections</w:t>
      </w:r>
      <w:r w:rsidR="006C6F09">
        <w:t xml:space="preserve"> </w:t>
      </w:r>
      <w:r>
        <w:t>of</w:t>
      </w:r>
      <w:r w:rsidR="006C6F09">
        <w:t xml:space="preserve"> </w:t>
      </w:r>
      <w:r>
        <w:t>this</w:t>
      </w:r>
      <w:r w:rsidR="006C6F09">
        <w:t xml:space="preserve"> </w:t>
      </w:r>
      <w:r>
        <w:t>handbook.</w:t>
      </w:r>
    </w:p>
    <w:p w14:paraId="6ED3D8ED" w14:textId="18DB1616" w:rsidR="00457754" w:rsidRDefault="00457754" w:rsidP="00457754">
      <w:pPr>
        <w:spacing w:after="0"/>
      </w:pPr>
      <w:r>
        <w:t>TxDOT</w:t>
      </w:r>
      <w:r w:rsidR="006C6F09">
        <w:t xml:space="preserve"> </w:t>
      </w:r>
      <w:r>
        <w:t>may</w:t>
      </w:r>
      <w:r w:rsidR="006C6F09">
        <w:t xml:space="preserve"> </w:t>
      </w:r>
      <w:r>
        <w:t>collaborate</w:t>
      </w:r>
      <w:r w:rsidR="006C6F09">
        <w:t xml:space="preserve"> </w:t>
      </w:r>
      <w:r>
        <w:t>with</w:t>
      </w:r>
      <w:r w:rsidR="006C6F09">
        <w:t xml:space="preserve"> </w:t>
      </w:r>
      <w:r>
        <w:t>local</w:t>
      </w:r>
      <w:r w:rsidR="006C6F09">
        <w:t xml:space="preserve"> </w:t>
      </w:r>
      <w:r>
        <w:t>governments,</w:t>
      </w:r>
      <w:r w:rsidR="006C6F09">
        <w:t xml:space="preserve"> </w:t>
      </w:r>
      <w:r>
        <w:t>metropolitan</w:t>
      </w:r>
      <w:r w:rsidR="006C6F09">
        <w:t xml:space="preserve"> </w:t>
      </w:r>
      <w:r>
        <w:t>planning</w:t>
      </w:r>
      <w:r w:rsidR="006C6F09">
        <w:t xml:space="preserve"> </w:t>
      </w:r>
      <w:r>
        <w:t>organizations</w:t>
      </w:r>
      <w:r w:rsidR="006C6F09">
        <w:t xml:space="preserve"> </w:t>
      </w:r>
      <w:r>
        <w:t>(MPOs),</w:t>
      </w:r>
      <w:r w:rsidR="006C6F09">
        <w:t xml:space="preserve"> </w:t>
      </w:r>
      <w:r>
        <w:t>or</w:t>
      </w:r>
      <w:r w:rsidR="006C6F09">
        <w:t xml:space="preserve"> </w:t>
      </w:r>
      <w:r>
        <w:t>other</w:t>
      </w:r>
      <w:r w:rsidR="006C6F09">
        <w:t xml:space="preserve"> </w:t>
      </w:r>
      <w:r>
        <w:t>transportation</w:t>
      </w:r>
      <w:r w:rsidR="006C6F09">
        <w:t xml:space="preserve"> </w:t>
      </w:r>
      <w:r>
        <w:t>entities</w:t>
      </w:r>
      <w:r w:rsidR="006C6F09">
        <w:t xml:space="preserve"> </w:t>
      </w:r>
      <w:r>
        <w:t>to</w:t>
      </w:r>
      <w:r w:rsidR="006C6F09">
        <w:t xml:space="preserve"> </w:t>
      </w:r>
      <w:r>
        <w:t>conduct</w:t>
      </w:r>
      <w:r w:rsidR="006C6F09">
        <w:t xml:space="preserve"> </w:t>
      </w:r>
      <w:r>
        <w:t>joint</w:t>
      </w:r>
      <w:r w:rsidR="006C6F09">
        <w:t xml:space="preserve"> </w:t>
      </w:r>
      <w:r>
        <w:t>public</w:t>
      </w:r>
      <w:r w:rsidR="006C6F09">
        <w:t xml:space="preserve"> </w:t>
      </w:r>
      <w:r>
        <w:t>involvement</w:t>
      </w:r>
      <w:r w:rsidR="006C6F09">
        <w:t xml:space="preserve"> </w:t>
      </w:r>
      <w:r>
        <w:t>activities.</w:t>
      </w:r>
      <w:r w:rsidR="006C6F09">
        <w:t xml:space="preserve"> </w:t>
      </w:r>
      <w:r>
        <w:t>Public</w:t>
      </w:r>
      <w:r w:rsidR="006C6F09">
        <w:t xml:space="preserve"> </w:t>
      </w:r>
      <w:r>
        <w:t>involvement</w:t>
      </w:r>
      <w:r w:rsidR="006C6F09">
        <w:t xml:space="preserve"> </w:t>
      </w:r>
      <w:r>
        <w:t>activities</w:t>
      </w:r>
      <w:r w:rsidR="006C6F09">
        <w:t xml:space="preserve"> </w:t>
      </w:r>
      <w:r>
        <w:t>hosted</w:t>
      </w:r>
      <w:r w:rsidR="006C6F09">
        <w:t xml:space="preserve"> </w:t>
      </w:r>
      <w:r>
        <w:t>by</w:t>
      </w:r>
      <w:r w:rsidR="006C6F09">
        <w:t xml:space="preserve"> </w:t>
      </w:r>
      <w:r>
        <w:t>local</w:t>
      </w:r>
      <w:r w:rsidR="006C6F09">
        <w:t xml:space="preserve"> </w:t>
      </w:r>
      <w:r>
        <w:t>governments</w:t>
      </w:r>
      <w:r w:rsidR="006C6F09">
        <w:t xml:space="preserve"> </w:t>
      </w:r>
      <w:r>
        <w:t>designated</w:t>
      </w:r>
      <w:r w:rsidR="006C6F09">
        <w:t xml:space="preserve"> </w:t>
      </w:r>
      <w:r>
        <w:t>as</w:t>
      </w:r>
      <w:r w:rsidR="006C6F09">
        <w:t xml:space="preserve"> </w:t>
      </w:r>
      <w:r>
        <w:t>project</w:t>
      </w:r>
      <w:r w:rsidR="006C6F09">
        <w:t xml:space="preserve"> </w:t>
      </w:r>
      <w:r>
        <w:t>sponsors</w:t>
      </w:r>
      <w:r w:rsidR="006C6F09">
        <w:t xml:space="preserve"> </w:t>
      </w:r>
      <w:r>
        <w:t>(</w:t>
      </w:r>
      <w:hyperlink r:id="rId39" w:history="1">
        <w:r w:rsidRPr="00332D95">
          <w:rPr>
            <w:rStyle w:val="Hyperlink"/>
          </w:rPr>
          <w:t>43</w:t>
        </w:r>
        <w:r w:rsidR="006C6F09">
          <w:rPr>
            <w:rStyle w:val="Hyperlink"/>
          </w:rPr>
          <w:t xml:space="preserve"> </w:t>
        </w:r>
        <w:r w:rsidRPr="00332D95">
          <w:rPr>
            <w:rStyle w:val="Hyperlink"/>
          </w:rPr>
          <w:t>TAC</w:t>
        </w:r>
        <w:r w:rsidR="006C6F09">
          <w:rPr>
            <w:rStyle w:val="Hyperlink"/>
          </w:rPr>
          <w:t xml:space="preserve"> </w:t>
        </w:r>
        <w:r w:rsidRPr="00332D95">
          <w:rPr>
            <w:rStyle w:val="Hyperlink"/>
          </w:rPr>
          <w:t>2.7</w:t>
        </w:r>
      </w:hyperlink>
      <w:r w:rsidRPr="00332D95">
        <w:t>)</w:t>
      </w:r>
      <w:r w:rsidR="006C6F09">
        <w:t xml:space="preserve"> </w:t>
      </w:r>
      <w:r>
        <w:t>can</w:t>
      </w:r>
      <w:r w:rsidR="006C6F09">
        <w:t xml:space="preserve"> </w:t>
      </w:r>
      <w:r>
        <w:t>satisfy</w:t>
      </w:r>
      <w:r w:rsidR="006C6F09">
        <w:t xml:space="preserve"> </w:t>
      </w:r>
      <w:r>
        <w:t>TxDOT</w:t>
      </w:r>
      <w:r w:rsidR="006C6F09">
        <w:t xml:space="preserve"> </w:t>
      </w:r>
      <w:r>
        <w:t>public</w:t>
      </w:r>
      <w:r w:rsidR="006C6F09">
        <w:t xml:space="preserve"> </w:t>
      </w:r>
      <w:r>
        <w:t>involvement</w:t>
      </w:r>
      <w:r w:rsidR="006C6F09">
        <w:t xml:space="preserve"> </w:t>
      </w:r>
      <w:r>
        <w:t>requirements</w:t>
      </w:r>
      <w:r w:rsidR="006C6F09">
        <w:t xml:space="preserve"> </w:t>
      </w:r>
      <w:r>
        <w:t>provided</w:t>
      </w:r>
      <w:r w:rsidR="006C6F09">
        <w:t xml:space="preserve"> </w:t>
      </w:r>
      <w:r>
        <w:t>the</w:t>
      </w:r>
      <w:r w:rsidR="006C6F09">
        <w:t xml:space="preserve"> </w:t>
      </w:r>
      <w:r>
        <w:t>project</w:t>
      </w:r>
      <w:r w:rsidR="006C6F09">
        <w:t xml:space="preserve"> </w:t>
      </w:r>
      <w:r>
        <w:t>sponsor</w:t>
      </w:r>
      <w:r w:rsidR="006C6F09">
        <w:t xml:space="preserve"> </w:t>
      </w:r>
      <w:r>
        <w:t>follows</w:t>
      </w:r>
      <w:r w:rsidR="006C6F09">
        <w:t xml:space="preserve"> </w:t>
      </w:r>
      <w:r>
        <w:t>all</w:t>
      </w:r>
      <w:r w:rsidR="006C6F09">
        <w:t xml:space="preserve"> </w:t>
      </w:r>
      <w:r>
        <w:t>TxDOT</w:t>
      </w:r>
      <w:r w:rsidR="006C6F09">
        <w:t xml:space="preserve"> </w:t>
      </w:r>
      <w:r>
        <w:t>requirements.</w:t>
      </w:r>
    </w:p>
    <w:p w14:paraId="5035FB2D" w14:textId="73C492E3" w:rsidR="00457754" w:rsidRDefault="00457754" w:rsidP="00457754">
      <w:r>
        <w:t>TxDOT</w:t>
      </w:r>
      <w:r w:rsidR="006C6F09">
        <w:t xml:space="preserve"> </w:t>
      </w:r>
      <w:r>
        <w:t>will</w:t>
      </w:r>
      <w:r w:rsidR="006C6F09">
        <w:t xml:space="preserve"> </w:t>
      </w:r>
      <w:r>
        <w:t>coordinate,</w:t>
      </w:r>
      <w:r w:rsidR="006C6F09">
        <w:t xml:space="preserve"> </w:t>
      </w:r>
      <w:r>
        <w:t>manage,</w:t>
      </w:r>
      <w:r w:rsidR="006C6F09">
        <w:t xml:space="preserve"> </w:t>
      </w:r>
      <w:r>
        <w:t>and</w:t>
      </w:r>
      <w:r w:rsidR="006C6F09">
        <w:t xml:space="preserve"> </w:t>
      </w:r>
      <w:r>
        <w:t>deliver</w:t>
      </w:r>
      <w:r w:rsidR="006C6F09">
        <w:t xml:space="preserve"> </w:t>
      </w:r>
      <w:r>
        <w:t>hearings</w:t>
      </w:r>
      <w:r w:rsidR="006C6F09">
        <w:t xml:space="preserve"> </w:t>
      </w:r>
      <w:r>
        <w:t>for</w:t>
      </w:r>
      <w:r w:rsidR="006C6F09">
        <w:t xml:space="preserve"> </w:t>
      </w:r>
      <w:r>
        <w:t>TxDOT</w:t>
      </w:r>
      <w:r w:rsidR="006C6F09">
        <w:t xml:space="preserve"> </w:t>
      </w:r>
      <w:r>
        <w:t>sponsored</w:t>
      </w:r>
      <w:r w:rsidR="006C6F09">
        <w:t xml:space="preserve"> </w:t>
      </w:r>
      <w:r>
        <w:t>projects,</w:t>
      </w:r>
      <w:r w:rsidR="006C6F09">
        <w:t xml:space="preserve"> </w:t>
      </w:r>
      <w:r>
        <w:t>and</w:t>
      </w:r>
      <w:r w:rsidR="006C6F09">
        <w:t xml:space="preserve"> </w:t>
      </w:r>
      <w:r>
        <w:t>local</w:t>
      </w:r>
      <w:r w:rsidR="006C6F09">
        <w:t xml:space="preserve"> </w:t>
      </w:r>
      <w:r>
        <w:t>governments</w:t>
      </w:r>
      <w:r w:rsidR="006C6F09">
        <w:t xml:space="preserve"> </w:t>
      </w:r>
      <w:r>
        <w:t>designated</w:t>
      </w:r>
      <w:r w:rsidR="006C6F09">
        <w:t xml:space="preserve"> </w:t>
      </w:r>
      <w:r>
        <w:t>as</w:t>
      </w:r>
      <w:r w:rsidR="006C6F09">
        <w:t xml:space="preserve"> </w:t>
      </w:r>
      <w:r>
        <w:t>project</w:t>
      </w:r>
      <w:r w:rsidR="006C6F09">
        <w:t xml:space="preserve"> </w:t>
      </w:r>
      <w:r>
        <w:t>sponsors</w:t>
      </w:r>
      <w:r w:rsidR="006C6F09">
        <w:t xml:space="preserve"> </w:t>
      </w:r>
      <w:r>
        <w:t>will</w:t>
      </w:r>
      <w:r w:rsidR="006C6F09">
        <w:t xml:space="preserve"> </w:t>
      </w:r>
      <w:r>
        <w:t>coordinate,</w:t>
      </w:r>
      <w:r w:rsidR="006C6F09">
        <w:t xml:space="preserve"> </w:t>
      </w:r>
      <w:r>
        <w:t>manage,</w:t>
      </w:r>
      <w:r w:rsidR="006C6F09">
        <w:t xml:space="preserve"> </w:t>
      </w:r>
      <w:r>
        <w:t>and</w:t>
      </w:r>
      <w:r w:rsidR="006C6F09">
        <w:t xml:space="preserve"> </w:t>
      </w:r>
      <w:r>
        <w:t>deliver</w:t>
      </w:r>
      <w:r w:rsidR="006C6F09">
        <w:t xml:space="preserve"> </w:t>
      </w:r>
      <w:r>
        <w:t>hearings</w:t>
      </w:r>
      <w:r w:rsidR="006C6F09">
        <w:t xml:space="preserve"> </w:t>
      </w:r>
      <w:r>
        <w:t>for</w:t>
      </w:r>
      <w:r w:rsidR="006C6F09">
        <w:t xml:space="preserve"> </w:t>
      </w:r>
      <w:r>
        <w:t>local</w:t>
      </w:r>
      <w:r w:rsidR="006C6F09">
        <w:t xml:space="preserve"> </w:t>
      </w:r>
      <w:r>
        <w:t>government</w:t>
      </w:r>
      <w:r w:rsidR="006C6F09">
        <w:t xml:space="preserve"> </w:t>
      </w:r>
      <w:r>
        <w:t>sponsored</w:t>
      </w:r>
      <w:r w:rsidR="006C6F09">
        <w:t xml:space="preserve"> </w:t>
      </w:r>
      <w:r>
        <w:t>projects.</w:t>
      </w:r>
      <w:r w:rsidR="006C6F09">
        <w:t xml:space="preserve"> </w:t>
      </w:r>
      <w:r>
        <w:t>For</w:t>
      </w:r>
      <w:r w:rsidR="006C6F09">
        <w:t xml:space="preserve"> </w:t>
      </w:r>
      <w:r>
        <w:t>public</w:t>
      </w:r>
      <w:r w:rsidR="006C6F09">
        <w:t xml:space="preserve"> </w:t>
      </w:r>
      <w:r>
        <w:t>hearings</w:t>
      </w:r>
      <w:r w:rsidR="006C6F09">
        <w:t xml:space="preserve"> </w:t>
      </w:r>
      <w:r>
        <w:t>on</w:t>
      </w:r>
      <w:r w:rsidR="006C6F09">
        <w:t xml:space="preserve"> </w:t>
      </w:r>
      <w:r>
        <w:t>FHWA</w:t>
      </w:r>
      <w:r w:rsidR="006C6F09">
        <w:t xml:space="preserve"> </w:t>
      </w:r>
      <w:r>
        <w:t>projects,</w:t>
      </w:r>
      <w:r w:rsidR="006C6F09">
        <w:t xml:space="preserve"> </w:t>
      </w:r>
      <w:r>
        <w:t>if</w:t>
      </w:r>
      <w:r w:rsidR="006C6F09">
        <w:t xml:space="preserve"> </w:t>
      </w:r>
      <w:r>
        <w:t>the</w:t>
      </w:r>
      <w:r w:rsidR="006C6F09">
        <w:t xml:space="preserve"> </w:t>
      </w:r>
      <w:r>
        <w:t>in-person</w:t>
      </w:r>
      <w:r w:rsidR="006C6F09">
        <w:t xml:space="preserve"> </w:t>
      </w:r>
      <w:r>
        <w:t>option</w:t>
      </w:r>
      <w:r w:rsidR="006C6F09">
        <w:t xml:space="preserve"> </w:t>
      </w:r>
      <w:r>
        <w:t>will</w:t>
      </w:r>
      <w:r w:rsidR="006C6F09">
        <w:t xml:space="preserve"> </w:t>
      </w:r>
      <w:r>
        <w:t>be</w:t>
      </w:r>
      <w:r w:rsidR="006C6F09">
        <w:t xml:space="preserve"> </w:t>
      </w:r>
      <w:r>
        <w:t>held</w:t>
      </w:r>
      <w:r w:rsidR="006C6F09">
        <w:t xml:space="preserve"> </w:t>
      </w:r>
      <w:r>
        <w:t>in</w:t>
      </w:r>
      <w:r w:rsidR="006C6F09">
        <w:t xml:space="preserve"> </w:t>
      </w:r>
      <w:r>
        <w:t>a</w:t>
      </w:r>
      <w:r w:rsidR="006C6F09">
        <w:t xml:space="preserve"> </w:t>
      </w:r>
      <w:r>
        <w:t>traditional</w:t>
      </w:r>
      <w:r w:rsidR="006C6F09">
        <w:t xml:space="preserve"> </w:t>
      </w:r>
      <w:r>
        <w:t>public</w:t>
      </w:r>
      <w:r w:rsidR="006C6F09">
        <w:t xml:space="preserve"> </w:t>
      </w:r>
      <w:r>
        <w:t>hearing</w:t>
      </w:r>
      <w:r w:rsidR="006C6F09">
        <w:t xml:space="preserve"> </w:t>
      </w:r>
      <w:r>
        <w:t>format</w:t>
      </w:r>
      <w:r w:rsidR="006C6F09">
        <w:t xml:space="preserve"> </w:t>
      </w:r>
      <w:r>
        <w:t>(as</w:t>
      </w:r>
      <w:r w:rsidR="006C6F09">
        <w:t xml:space="preserve"> </w:t>
      </w:r>
      <w:r>
        <w:t>opposed</w:t>
      </w:r>
      <w:r w:rsidR="006C6F09">
        <w:t xml:space="preserve"> </w:t>
      </w:r>
      <w:r>
        <w:t>to</w:t>
      </w:r>
      <w:r w:rsidR="006C6F09">
        <w:t xml:space="preserve"> </w:t>
      </w:r>
      <w:r>
        <w:t>an</w:t>
      </w:r>
      <w:r w:rsidR="006C6F09">
        <w:t xml:space="preserve"> </w:t>
      </w:r>
      <w:r>
        <w:t>open</w:t>
      </w:r>
      <w:r w:rsidR="006C6F09">
        <w:t xml:space="preserve"> </w:t>
      </w:r>
      <w:r>
        <w:t>house</w:t>
      </w:r>
      <w:r w:rsidR="006C6F09">
        <w:t xml:space="preserve"> </w:t>
      </w:r>
      <w:r>
        <w:t>format),</w:t>
      </w:r>
      <w:r w:rsidR="006C6F09">
        <w:t xml:space="preserve"> </w:t>
      </w:r>
      <w:r>
        <w:t>then</w:t>
      </w:r>
      <w:r w:rsidR="006C6F09">
        <w:t xml:space="preserve"> </w:t>
      </w:r>
      <w:r>
        <w:t>regardless</w:t>
      </w:r>
      <w:r w:rsidR="006C6F09">
        <w:t xml:space="preserve"> </w:t>
      </w:r>
      <w:r>
        <w:t>of</w:t>
      </w:r>
      <w:r w:rsidR="006C6F09">
        <w:t xml:space="preserve"> </w:t>
      </w:r>
      <w:r>
        <w:t>whether</w:t>
      </w:r>
      <w:r w:rsidR="006C6F09">
        <w:t xml:space="preserve"> </w:t>
      </w:r>
      <w:r>
        <w:t>TxDOT</w:t>
      </w:r>
      <w:r w:rsidR="006C6F09">
        <w:t xml:space="preserve"> </w:t>
      </w:r>
      <w:r>
        <w:t>or</w:t>
      </w:r>
      <w:r w:rsidR="006C6F09">
        <w:t xml:space="preserve"> </w:t>
      </w:r>
      <w:r>
        <w:t>a</w:t>
      </w:r>
      <w:r w:rsidR="006C6F09">
        <w:t xml:space="preserve"> </w:t>
      </w:r>
      <w:r>
        <w:t>local</w:t>
      </w:r>
      <w:r w:rsidR="006C6F09">
        <w:t xml:space="preserve"> </w:t>
      </w:r>
      <w:r>
        <w:t>government</w:t>
      </w:r>
      <w:r w:rsidR="006C6F09">
        <w:t xml:space="preserve"> </w:t>
      </w:r>
      <w:r>
        <w:t>is</w:t>
      </w:r>
      <w:r w:rsidR="006C6F09">
        <w:t xml:space="preserve"> </w:t>
      </w:r>
      <w:r>
        <w:t>the</w:t>
      </w:r>
      <w:r w:rsidR="006C6F09">
        <w:t xml:space="preserve"> </w:t>
      </w:r>
      <w:r>
        <w:t>project</w:t>
      </w:r>
      <w:r w:rsidR="006C6F09">
        <w:t xml:space="preserve"> </w:t>
      </w:r>
      <w:r>
        <w:t>sponsor,</w:t>
      </w:r>
      <w:r w:rsidR="006C6F09">
        <w:t xml:space="preserve"> </w:t>
      </w:r>
      <w:r>
        <w:t>an</w:t>
      </w:r>
      <w:r w:rsidR="006C6F09">
        <w:t xml:space="preserve"> </w:t>
      </w:r>
      <w:r>
        <w:t>appropriately</w:t>
      </w:r>
      <w:r w:rsidR="006C6F09">
        <w:t xml:space="preserve"> </w:t>
      </w:r>
      <w:r>
        <w:t>designated</w:t>
      </w:r>
      <w:r w:rsidR="006C6F09">
        <w:t xml:space="preserve"> </w:t>
      </w:r>
      <w:r>
        <w:t>TxDOT</w:t>
      </w:r>
      <w:r w:rsidR="006C6F09">
        <w:t xml:space="preserve"> </w:t>
      </w:r>
      <w:r>
        <w:t>employee</w:t>
      </w:r>
      <w:r w:rsidR="006C6F09">
        <w:t xml:space="preserve"> </w:t>
      </w:r>
      <w:r>
        <w:t>must</w:t>
      </w:r>
      <w:r w:rsidR="006C6F09">
        <w:t xml:space="preserve"> </w:t>
      </w:r>
      <w:r>
        <w:t>open</w:t>
      </w:r>
      <w:r w:rsidR="006C6F09">
        <w:t xml:space="preserve"> </w:t>
      </w:r>
      <w:r>
        <w:lastRenderedPageBreak/>
        <w:t>the</w:t>
      </w:r>
      <w:r w:rsidR="006C6F09">
        <w:t xml:space="preserve"> </w:t>
      </w:r>
      <w:r>
        <w:t>public</w:t>
      </w:r>
      <w:r w:rsidR="006C6F09">
        <w:t xml:space="preserve"> </w:t>
      </w:r>
      <w:r>
        <w:t>hearing,</w:t>
      </w:r>
      <w:r w:rsidR="006C6F09">
        <w:t xml:space="preserve"> </w:t>
      </w:r>
      <w:r>
        <w:t>officiate</w:t>
      </w:r>
      <w:r w:rsidR="006C6F09">
        <w:t xml:space="preserve"> </w:t>
      </w:r>
      <w:r>
        <w:t>the</w:t>
      </w:r>
      <w:r w:rsidR="006C6F09">
        <w:t xml:space="preserve"> </w:t>
      </w:r>
      <w:r>
        <w:t>public</w:t>
      </w:r>
      <w:r w:rsidR="006C6F09">
        <w:t xml:space="preserve"> </w:t>
      </w:r>
      <w:r>
        <w:t>comment</w:t>
      </w:r>
      <w:r w:rsidR="006C6F09">
        <w:t xml:space="preserve"> </w:t>
      </w:r>
      <w:r>
        <w:t>portion</w:t>
      </w:r>
      <w:r w:rsidR="006C6F09">
        <w:t xml:space="preserve"> </w:t>
      </w:r>
      <w:r>
        <w:t>of</w:t>
      </w:r>
      <w:r w:rsidR="006C6F09">
        <w:t xml:space="preserve"> </w:t>
      </w:r>
      <w:r>
        <w:t>the</w:t>
      </w:r>
      <w:r w:rsidR="006C6F09">
        <w:t xml:space="preserve"> </w:t>
      </w:r>
      <w:r>
        <w:t>hearing,</w:t>
      </w:r>
      <w:r w:rsidR="006C6F09">
        <w:t xml:space="preserve"> </w:t>
      </w:r>
      <w:r>
        <w:t>and</w:t>
      </w:r>
      <w:r w:rsidR="006C6F09">
        <w:t xml:space="preserve"> </w:t>
      </w:r>
      <w:r>
        <w:t>close</w:t>
      </w:r>
      <w:r w:rsidR="006C6F09">
        <w:t xml:space="preserve"> </w:t>
      </w:r>
      <w:r>
        <w:t>the</w:t>
      </w:r>
      <w:r w:rsidR="006C6F09">
        <w:t xml:space="preserve"> </w:t>
      </w:r>
      <w:r>
        <w:t>public</w:t>
      </w:r>
      <w:r w:rsidR="006C6F09">
        <w:t xml:space="preserve"> </w:t>
      </w:r>
      <w:r>
        <w:t>hearing</w:t>
      </w:r>
      <w:r w:rsidR="006C6F09">
        <w:t xml:space="preserve"> </w:t>
      </w:r>
      <w:r>
        <w:t>(this</w:t>
      </w:r>
      <w:r w:rsidR="006C6F09">
        <w:t xml:space="preserve"> </w:t>
      </w:r>
      <w:r>
        <w:t>requirement</w:t>
      </w:r>
      <w:r w:rsidR="006C6F09">
        <w:t xml:space="preserve"> </w:t>
      </w:r>
      <w:r>
        <w:t>does</w:t>
      </w:r>
      <w:r w:rsidR="006C6F09">
        <w:t xml:space="preserve"> </w:t>
      </w:r>
      <w:r>
        <w:t>not</w:t>
      </w:r>
      <w:r w:rsidR="006C6F09">
        <w:t xml:space="preserve"> </w:t>
      </w:r>
      <w:r>
        <w:t>apply</w:t>
      </w:r>
      <w:r w:rsidR="006C6F09">
        <w:t xml:space="preserve"> </w:t>
      </w:r>
      <w:r>
        <w:t>to</w:t>
      </w:r>
      <w:r w:rsidR="006C6F09">
        <w:t xml:space="preserve"> </w:t>
      </w:r>
      <w:r>
        <w:t>the</w:t>
      </w:r>
      <w:r w:rsidR="006C6F09">
        <w:t xml:space="preserve"> </w:t>
      </w:r>
      <w:r>
        <w:t>virtual</w:t>
      </w:r>
      <w:r w:rsidR="006C6F09">
        <w:t xml:space="preserve"> </w:t>
      </w:r>
      <w:r>
        <w:t>hearing</w:t>
      </w:r>
      <w:r w:rsidR="006C6F09">
        <w:t xml:space="preserve"> </w:t>
      </w:r>
      <w:r>
        <w:t>presentation,</w:t>
      </w:r>
      <w:r w:rsidR="006C6F09">
        <w:t xml:space="preserve"> </w:t>
      </w:r>
      <w:r>
        <w:t>as</w:t>
      </w:r>
      <w:r w:rsidR="006C6F09">
        <w:t xml:space="preserve"> </w:t>
      </w:r>
      <w:r>
        <w:t>the</w:t>
      </w:r>
      <w:r w:rsidR="006C6F09">
        <w:t xml:space="preserve"> </w:t>
      </w:r>
      <w:r>
        <w:t>narrator</w:t>
      </w:r>
      <w:r w:rsidR="006C6F09">
        <w:t xml:space="preserve"> </w:t>
      </w:r>
      <w:r>
        <w:t>voiceover</w:t>
      </w:r>
      <w:r w:rsidR="006C6F09">
        <w:t xml:space="preserve"> </w:t>
      </w:r>
      <w:r>
        <w:t>for</w:t>
      </w:r>
      <w:r w:rsidR="006C6F09">
        <w:t xml:space="preserve"> </w:t>
      </w:r>
      <w:r>
        <w:t>the</w:t>
      </w:r>
      <w:r w:rsidR="006C6F09">
        <w:t xml:space="preserve"> </w:t>
      </w:r>
      <w:r>
        <w:t>online</w:t>
      </w:r>
      <w:r w:rsidR="006C6F09">
        <w:t xml:space="preserve"> </w:t>
      </w:r>
      <w:r>
        <w:t>presentation</w:t>
      </w:r>
      <w:r w:rsidR="006C6F09">
        <w:t xml:space="preserve"> </w:t>
      </w:r>
      <w:r>
        <w:t>does</w:t>
      </w:r>
      <w:r w:rsidR="006C6F09">
        <w:t xml:space="preserve"> </w:t>
      </w:r>
      <w:r>
        <w:t>not</w:t>
      </w:r>
      <w:r w:rsidR="006C6F09">
        <w:t xml:space="preserve"> </w:t>
      </w:r>
      <w:r>
        <w:t>need</w:t>
      </w:r>
      <w:r w:rsidR="006C6F09">
        <w:t xml:space="preserve"> </w:t>
      </w:r>
      <w:r>
        <w:t>to</w:t>
      </w:r>
      <w:r w:rsidR="006C6F09">
        <w:t xml:space="preserve"> </w:t>
      </w:r>
      <w:r>
        <w:t>be</w:t>
      </w:r>
      <w:r w:rsidR="006C6F09">
        <w:t xml:space="preserve"> </w:t>
      </w:r>
      <w:r>
        <w:t>a</w:t>
      </w:r>
      <w:r w:rsidR="006C6F09">
        <w:t xml:space="preserve"> </w:t>
      </w:r>
      <w:r>
        <w:t>TxDOT</w:t>
      </w:r>
      <w:r w:rsidR="006C6F09">
        <w:t xml:space="preserve"> </w:t>
      </w:r>
      <w:r>
        <w:t>employee).</w:t>
      </w:r>
    </w:p>
    <w:p w14:paraId="41F1C996" w14:textId="5CBF7693" w:rsidR="00457754" w:rsidRPr="00B23AD6" w:rsidRDefault="00457754" w:rsidP="00457754">
      <w:pPr>
        <w:pStyle w:val="Heading3"/>
      </w:pPr>
      <w:bookmarkStart w:id="19" w:name="_Ref219789402"/>
      <w:bookmarkStart w:id="20" w:name="_Toc224026198"/>
      <w:r w:rsidRPr="00B23AD6">
        <w:t>2.1</w:t>
      </w:r>
      <w:r w:rsidR="006C6F09" w:rsidRPr="00B23AD6">
        <w:t xml:space="preserve"> </w:t>
      </w:r>
      <w:r w:rsidRPr="00B23AD6">
        <w:t>“Formal”</w:t>
      </w:r>
      <w:r w:rsidR="006C6F09" w:rsidRPr="00B23AD6">
        <w:t xml:space="preserve"> </w:t>
      </w:r>
      <w:r w:rsidRPr="00B23AD6">
        <w:t>Public</w:t>
      </w:r>
      <w:r w:rsidR="006C6F09" w:rsidRPr="00B23AD6">
        <w:t xml:space="preserve"> </w:t>
      </w:r>
      <w:r w:rsidRPr="00B23AD6">
        <w:t>Involvement</w:t>
      </w:r>
      <w:r w:rsidR="006C6F09" w:rsidRPr="00B23AD6">
        <w:t xml:space="preserve"> </w:t>
      </w:r>
      <w:r w:rsidRPr="00B23AD6">
        <w:t>Versus</w:t>
      </w:r>
      <w:r w:rsidR="006C6F09" w:rsidRPr="00B23AD6">
        <w:t xml:space="preserve"> </w:t>
      </w:r>
      <w:r w:rsidRPr="00B23AD6">
        <w:t>“Additional</w:t>
      </w:r>
      <w:r w:rsidR="006C6F09" w:rsidRPr="00B23AD6">
        <w:t xml:space="preserve"> </w:t>
      </w:r>
      <w:r w:rsidRPr="00B23AD6">
        <w:t>Public</w:t>
      </w:r>
      <w:r w:rsidR="006C6F09" w:rsidRPr="00B23AD6">
        <w:t xml:space="preserve"> </w:t>
      </w:r>
      <w:r w:rsidRPr="00B23AD6">
        <w:t>Outreach</w:t>
      </w:r>
      <w:bookmarkEnd w:id="19"/>
      <w:bookmarkEnd w:id="20"/>
      <w:r w:rsidR="006C6F09" w:rsidRPr="00B23AD6">
        <w:t xml:space="preserve"> </w:t>
      </w:r>
    </w:p>
    <w:p w14:paraId="73CF49F8" w14:textId="6D602E7C" w:rsidR="00457754" w:rsidRDefault="00457754" w:rsidP="00457754">
      <w:r w:rsidRPr="007F67BC">
        <w:t>The</w:t>
      </w:r>
      <w:r w:rsidR="006C6F09">
        <w:t xml:space="preserve"> </w:t>
      </w:r>
      <w:r w:rsidRPr="007F67BC">
        <w:t>guidance</w:t>
      </w:r>
      <w:r w:rsidR="006C6F09">
        <w:t xml:space="preserve"> </w:t>
      </w:r>
      <w:r w:rsidRPr="007F67BC">
        <w:t>below</w:t>
      </w:r>
      <w:r w:rsidR="006C6F09">
        <w:t xml:space="preserve"> </w:t>
      </w:r>
      <w:r w:rsidRPr="007F67BC">
        <w:t>describes</w:t>
      </w:r>
      <w:r w:rsidR="006C6F09">
        <w:t xml:space="preserve"> </w:t>
      </w:r>
      <w:r w:rsidRPr="007F67BC">
        <w:t>ENV’s</w:t>
      </w:r>
      <w:r w:rsidR="006C6F09">
        <w:t xml:space="preserve"> </w:t>
      </w:r>
      <w:r w:rsidRPr="007F67BC">
        <w:t>requirements</w:t>
      </w:r>
      <w:r w:rsidR="006C6F09">
        <w:t xml:space="preserve"> </w:t>
      </w:r>
      <w:r w:rsidRPr="007F67BC">
        <w:t>for</w:t>
      </w:r>
      <w:r w:rsidR="006C6F09">
        <w:t xml:space="preserve"> </w:t>
      </w:r>
      <w:r w:rsidRPr="007F67BC">
        <w:t>various</w:t>
      </w:r>
      <w:r w:rsidR="006C6F09">
        <w:t xml:space="preserve"> </w:t>
      </w:r>
      <w:r w:rsidRPr="007F67BC">
        <w:t>forms</w:t>
      </w:r>
      <w:r w:rsidR="006C6F09">
        <w:t xml:space="preserve"> </w:t>
      </w:r>
      <w:r w:rsidRPr="007F67BC">
        <w:t>of</w:t>
      </w:r>
      <w:r w:rsidR="006C6F09">
        <w:t xml:space="preserve"> </w:t>
      </w:r>
      <w:r w:rsidRPr="007F67BC">
        <w:t>“formal”</w:t>
      </w:r>
      <w:r w:rsidR="006C6F09">
        <w:t xml:space="preserve"> </w:t>
      </w:r>
      <w:r w:rsidRPr="007F67BC">
        <w:t>public</w:t>
      </w:r>
      <w:r w:rsidR="006C6F09">
        <w:t xml:space="preserve"> </w:t>
      </w:r>
      <w:r w:rsidRPr="007F67BC">
        <w:t>involvement,</w:t>
      </w:r>
      <w:r w:rsidR="006C6F09">
        <w:t xml:space="preserve"> </w:t>
      </w:r>
      <w:r w:rsidRPr="007F67BC">
        <w:t>which</w:t>
      </w:r>
      <w:r w:rsidR="006C6F09">
        <w:t xml:space="preserve"> </w:t>
      </w:r>
      <w:r w:rsidRPr="007F67BC">
        <w:t>are</w:t>
      </w:r>
      <w:r w:rsidR="006C6F09">
        <w:t xml:space="preserve"> </w:t>
      </w:r>
      <w:r w:rsidRPr="007F67BC">
        <w:t>required</w:t>
      </w:r>
      <w:r w:rsidR="006C6F09">
        <w:t xml:space="preserve"> </w:t>
      </w:r>
      <w:r w:rsidRPr="007F67BC">
        <w:t>when</w:t>
      </w:r>
      <w:r w:rsidR="006C6F09">
        <w:t xml:space="preserve"> </w:t>
      </w:r>
      <w:r w:rsidRPr="007F67BC">
        <w:t>certain</w:t>
      </w:r>
      <w:r w:rsidR="006C6F09">
        <w:t xml:space="preserve"> </w:t>
      </w:r>
      <w:r w:rsidRPr="007F67BC">
        <w:t>triggers</w:t>
      </w:r>
      <w:r w:rsidR="006C6F09">
        <w:t xml:space="preserve"> </w:t>
      </w:r>
      <w:r w:rsidRPr="007F67BC">
        <w:t>are</w:t>
      </w:r>
      <w:r w:rsidR="006C6F09">
        <w:t xml:space="preserve"> </w:t>
      </w:r>
      <w:r w:rsidRPr="007F67BC">
        <w:t>met</w:t>
      </w:r>
      <w:r w:rsidR="006C6F09">
        <w:t xml:space="preserve"> </w:t>
      </w:r>
      <w:r w:rsidRPr="007F67BC">
        <w:t>(although</w:t>
      </w:r>
      <w:r w:rsidR="006C6F09">
        <w:t xml:space="preserve"> </w:t>
      </w:r>
      <w:r w:rsidRPr="007F67BC">
        <w:t>public</w:t>
      </w:r>
      <w:r w:rsidR="006C6F09">
        <w:t xml:space="preserve"> </w:t>
      </w:r>
      <w:r w:rsidRPr="007F67BC">
        <w:t>meetings</w:t>
      </w:r>
      <w:r w:rsidR="006C6F09">
        <w:t xml:space="preserve"> </w:t>
      </w:r>
      <w:r w:rsidRPr="007F67BC">
        <w:t>are</w:t>
      </w:r>
      <w:r w:rsidR="006C6F09">
        <w:t xml:space="preserve"> </w:t>
      </w:r>
      <w:r w:rsidR="00F1222A" w:rsidRPr="007F67BC">
        <w:t>discretionary</w:t>
      </w:r>
      <w:r w:rsidR="006C6F09">
        <w:t xml:space="preserve"> </w:t>
      </w:r>
      <w:r w:rsidRPr="007F67BC">
        <w:t>outside</w:t>
      </w:r>
      <w:r w:rsidR="006C6F09">
        <w:t xml:space="preserve"> </w:t>
      </w:r>
      <w:r w:rsidRPr="007F67BC">
        <w:t>of</w:t>
      </w:r>
      <w:r w:rsidR="006C6F09">
        <w:t xml:space="preserve"> </w:t>
      </w:r>
      <w:r w:rsidRPr="007F67BC">
        <w:t>the</w:t>
      </w:r>
      <w:r w:rsidR="006C6F09">
        <w:t xml:space="preserve"> </w:t>
      </w:r>
      <w:r>
        <w:t>environmental</w:t>
      </w:r>
      <w:r w:rsidR="006C6F09">
        <w:t xml:space="preserve"> </w:t>
      </w:r>
      <w:r>
        <w:t>impact</w:t>
      </w:r>
      <w:r w:rsidR="006C6F09">
        <w:t xml:space="preserve"> </w:t>
      </w:r>
      <w:r>
        <w:t>statement</w:t>
      </w:r>
      <w:r w:rsidR="006C6F09">
        <w:t xml:space="preserve"> </w:t>
      </w:r>
      <w:r>
        <w:t>(</w:t>
      </w:r>
      <w:r w:rsidRPr="007F67BC">
        <w:t>EIS</w:t>
      </w:r>
      <w:r>
        <w:t>)</w:t>
      </w:r>
      <w:r w:rsidR="006C6F09">
        <w:t xml:space="preserve"> </w:t>
      </w:r>
      <w:r w:rsidRPr="007F67BC">
        <w:t>context).</w:t>
      </w:r>
      <w:r w:rsidR="006C6F09">
        <w:t xml:space="preserve"> </w:t>
      </w:r>
      <w:r w:rsidRPr="007F67BC">
        <w:t>For</w:t>
      </w:r>
      <w:r w:rsidR="006C6F09">
        <w:t xml:space="preserve"> </w:t>
      </w:r>
      <w:r w:rsidRPr="007F67BC">
        <w:t>example,</w:t>
      </w:r>
      <w:r w:rsidR="006C6F09">
        <w:t xml:space="preserve"> </w:t>
      </w:r>
      <w:r w:rsidRPr="007F67BC">
        <w:t>there</w:t>
      </w:r>
      <w:r w:rsidR="006C6F09">
        <w:t xml:space="preserve"> </w:t>
      </w:r>
      <w:r w:rsidRPr="007F67BC">
        <w:t>are</w:t>
      </w:r>
      <w:r w:rsidR="006C6F09">
        <w:t xml:space="preserve"> </w:t>
      </w:r>
      <w:r w:rsidRPr="007F67BC">
        <w:t>requirements</w:t>
      </w:r>
      <w:r w:rsidR="006C6F09">
        <w:t xml:space="preserve"> </w:t>
      </w:r>
      <w:r w:rsidRPr="007F67BC">
        <w:t>for</w:t>
      </w:r>
      <w:r w:rsidR="006C6F09">
        <w:t xml:space="preserve"> </w:t>
      </w:r>
      <w:r w:rsidRPr="007F67BC">
        <w:t>a</w:t>
      </w:r>
      <w:r w:rsidR="006C6F09">
        <w:t xml:space="preserve"> </w:t>
      </w:r>
      <w:r w:rsidRPr="007F67BC">
        <w:t>notice</w:t>
      </w:r>
      <w:r w:rsidR="006C6F09">
        <w:t xml:space="preserve"> </w:t>
      </w:r>
      <w:r w:rsidRPr="007F67BC">
        <w:t>and</w:t>
      </w:r>
      <w:r w:rsidR="006C6F09">
        <w:t xml:space="preserve"> </w:t>
      </w:r>
      <w:r w:rsidRPr="007F67BC">
        <w:t>opportunity</w:t>
      </w:r>
      <w:r w:rsidR="006C6F09">
        <w:t xml:space="preserve"> </w:t>
      </w:r>
      <w:r w:rsidRPr="007F67BC">
        <w:t>to</w:t>
      </w:r>
      <w:r w:rsidR="006C6F09">
        <w:t xml:space="preserve"> </w:t>
      </w:r>
      <w:r w:rsidRPr="007F67BC">
        <w:t>comment,</w:t>
      </w:r>
      <w:r w:rsidR="006C6F09">
        <w:t xml:space="preserve"> </w:t>
      </w:r>
      <w:r w:rsidRPr="007F67BC">
        <w:t>public</w:t>
      </w:r>
      <w:r w:rsidR="006C6F09">
        <w:t xml:space="preserve"> </w:t>
      </w:r>
      <w:r w:rsidRPr="007F67BC">
        <w:t>meeting,</w:t>
      </w:r>
      <w:r w:rsidR="006C6F09">
        <w:t xml:space="preserve"> </w:t>
      </w:r>
      <w:r w:rsidRPr="007F67BC">
        <w:t>opportunity</w:t>
      </w:r>
      <w:r w:rsidR="006C6F09">
        <w:t xml:space="preserve"> </w:t>
      </w:r>
      <w:r w:rsidRPr="007F67BC">
        <w:t>for</w:t>
      </w:r>
      <w:r w:rsidR="006C6F09">
        <w:t xml:space="preserve"> </w:t>
      </w:r>
      <w:r w:rsidRPr="007F67BC">
        <w:t>public</w:t>
      </w:r>
      <w:r w:rsidR="006C6F09">
        <w:t xml:space="preserve"> </w:t>
      </w:r>
      <w:r w:rsidRPr="007F67BC">
        <w:t>hearing,</w:t>
      </w:r>
      <w:r w:rsidR="006C6F09">
        <w:t xml:space="preserve"> </w:t>
      </w:r>
      <w:r w:rsidRPr="007F67BC">
        <w:t>public</w:t>
      </w:r>
      <w:r w:rsidR="006C6F09">
        <w:t xml:space="preserve"> </w:t>
      </w:r>
      <w:r w:rsidRPr="007F67BC">
        <w:t>hearing,</w:t>
      </w:r>
      <w:r w:rsidR="006C6F09">
        <w:t xml:space="preserve"> </w:t>
      </w:r>
      <w:r w:rsidRPr="007F67BC">
        <w:t>and</w:t>
      </w:r>
      <w:r w:rsidR="006C6F09">
        <w:t xml:space="preserve"> </w:t>
      </w:r>
      <w:r w:rsidR="0011551E" w:rsidRPr="007F67BC">
        <w:t>several</w:t>
      </w:r>
      <w:r w:rsidR="006C6F09">
        <w:t xml:space="preserve"> </w:t>
      </w:r>
      <w:r w:rsidR="0011551E" w:rsidRPr="007F67BC">
        <w:t>types</w:t>
      </w:r>
      <w:r w:rsidR="006C6F09">
        <w:t xml:space="preserve"> </w:t>
      </w:r>
      <w:r w:rsidRPr="007F67BC">
        <w:t>of</w:t>
      </w:r>
      <w:r w:rsidR="006C6F09">
        <w:t xml:space="preserve"> </w:t>
      </w:r>
      <w:r w:rsidRPr="007F67BC">
        <w:t>required</w:t>
      </w:r>
      <w:r w:rsidR="006C6F09">
        <w:t xml:space="preserve"> </w:t>
      </w:r>
      <w:r w:rsidRPr="007F67BC">
        <w:t>notices.</w:t>
      </w:r>
    </w:p>
    <w:p w14:paraId="72559E0F" w14:textId="1DE4361F" w:rsidR="00457754" w:rsidRDefault="00457754" w:rsidP="000974CA">
      <w:r>
        <w:t>However,</w:t>
      </w:r>
      <w:r w:rsidR="006C6F09">
        <w:t xml:space="preserve"> </w:t>
      </w:r>
      <w:r>
        <w:t>consistent</w:t>
      </w:r>
      <w:r w:rsidR="006C6F09">
        <w:t xml:space="preserve"> </w:t>
      </w:r>
      <w:r>
        <w:t>with</w:t>
      </w:r>
      <w:r w:rsidR="006C6F09">
        <w:t xml:space="preserve"> </w:t>
      </w:r>
      <w:r>
        <w:t>TxDOT’s</w:t>
      </w:r>
      <w:r w:rsidR="006C6F09">
        <w:t xml:space="preserve"> </w:t>
      </w:r>
      <w:r>
        <w:t>overall</w:t>
      </w:r>
      <w:r w:rsidR="006C6F09">
        <w:t xml:space="preserve"> </w:t>
      </w:r>
      <w:r>
        <w:t>public</w:t>
      </w:r>
      <w:r w:rsidR="006C6F09">
        <w:t xml:space="preserve"> </w:t>
      </w:r>
      <w:r>
        <w:t>involvement</w:t>
      </w:r>
      <w:r w:rsidR="006C6F09">
        <w:t xml:space="preserve"> </w:t>
      </w:r>
      <w:r>
        <w:t>policy,</w:t>
      </w:r>
      <w:r w:rsidR="006C6F09">
        <w:t xml:space="preserve"> </w:t>
      </w:r>
      <w:r>
        <w:t>project</w:t>
      </w:r>
      <w:r w:rsidR="006C6F09">
        <w:t xml:space="preserve"> </w:t>
      </w:r>
      <w:r>
        <w:t>sponsors</w:t>
      </w:r>
      <w:r w:rsidR="006C6F09">
        <w:t xml:space="preserve"> </w:t>
      </w:r>
      <w:r>
        <w:t>are</w:t>
      </w:r>
      <w:r w:rsidR="006C6F09">
        <w:t xml:space="preserve"> </w:t>
      </w:r>
      <w:r>
        <w:t>encouraged</w:t>
      </w:r>
      <w:r w:rsidR="006C6F09">
        <w:t xml:space="preserve"> </w:t>
      </w:r>
      <w:r>
        <w:t>to</w:t>
      </w:r>
      <w:r w:rsidR="006C6F09">
        <w:t xml:space="preserve"> </w:t>
      </w:r>
      <w:r>
        <w:t>perform</w:t>
      </w:r>
      <w:r w:rsidR="006C6F09">
        <w:t xml:space="preserve"> </w:t>
      </w:r>
      <w:r>
        <w:t>additional,</w:t>
      </w:r>
      <w:r w:rsidR="006C6F09">
        <w:t xml:space="preserve"> </w:t>
      </w:r>
      <w:r>
        <w:t>informal</w:t>
      </w:r>
      <w:r w:rsidR="006C6F09">
        <w:t xml:space="preserve"> </w:t>
      </w:r>
      <w:r>
        <w:t>outreach</w:t>
      </w:r>
      <w:r w:rsidR="006C6F09">
        <w:t xml:space="preserve"> </w:t>
      </w:r>
      <w:r>
        <w:t>with</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such</w:t>
      </w:r>
      <w:r w:rsidR="006C6F09">
        <w:t xml:space="preserve"> </w:t>
      </w:r>
      <w:r>
        <w:t>as</w:t>
      </w:r>
      <w:r w:rsidR="006C6F09">
        <w:t xml:space="preserve"> </w:t>
      </w:r>
      <w:r>
        <w:t>small</w:t>
      </w:r>
      <w:r w:rsidR="006C6F09">
        <w:t xml:space="preserve"> </w:t>
      </w:r>
      <w:r>
        <w:t>group</w:t>
      </w:r>
      <w:r w:rsidR="006C6F09">
        <w:t xml:space="preserve"> </w:t>
      </w:r>
      <w:r>
        <w:t>meetings,</w:t>
      </w:r>
      <w:r w:rsidR="006C6F09">
        <w:t xml:space="preserve"> </w:t>
      </w:r>
      <w:r>
        <w:t>telephone</w:t>
      </w:r>
      <w:r w:rsidR="006C6F09">
        <w:t xml:space="preserve"> </w:t>
      </w:r>
      <w:r>
        <w:t>conferences,</w:t>
      </w:r>
      <w:r w:rsidR="006C6F09">
        <w:t xml:space="preserve"> </w:t>
      </w:r>
      <w:r>
        <w:t>online</w:t>
      </w:r>
      <w:r w:rsidR="006C6F09">
        <w:t xml:space="preserve"> </w:t>
      </w:r>
      <w:r>
        <w:t>engagement</w:t>
      </w:r>
      <w:r w:rsidR="006C6F09">
        <w:t xml:space="preserve"> </w:t>
      </w:r>
      <w:r>
        <w:t>surveys</w:t>
      </w:r>
      <w:r w:rsidR="006C6F09">
        <w:t xml:space="preserve"> </w:t>
      </w:r>
      <w:r>
        <w:t>or</w:t>
      </w:r>
      <w:r w:rsidR="006C6F09">
        <w:t xml:space="preserve"> </w:t>
      </w:r>
      <w:r>
        <w:t>emails</w:t>
      </w:r>
      <w:r w:rsidR="006C6F09">
        <w:t xml:space="preserve"> </w:t>
      </w:r>
      <w:r>
        <w:t>with</w:t>
      </w:r>
      <w:r w:rsidR="006C6F09">
        <w:t xml:space="preserve"> </w:t>
      </w:r>
      <w:r>
        <w:t>individuals</w:t>
      </w:r>
      <w:r w:rsidR="006C6F09">
        <w:t xml:space="preserve"> </w:t>
      </w:r>
      <w:r>
        <w:t>or</w:t>
      </w:r>
      <w:r w:rsidR="006C6F09">
        <w:t xml:space="preserve"> </w:t>
      </w:r>
      <w:r>
        <w:t>groups</w:t>
      </w:r>
      <w:r w:rsidR="006C6F09">
        <w:t xml:space="preserve"> </w:t>
      </w:r>
      <w:r>
        <w:t>such</w:t>
      </w:r>
      <w:r w:rsidR="006C6F09">
        <w:t xml:space="preserve"> </w:t>
      </w:r>
      <w:r>
        <w:t>as</w:t>
      </w:r>
      <w:r w:rsidR="006C6F09">
        <w:t xml:space="preserve"> </w:t>
      </w:r>
      <w:r>
        <w:t>business</w:t>
      </w:r>
      <w:r w:rsidR="006C6F09">
        <w:t xml:space="preserve"> </w:t>
      </w:r>
      <w:r>
        <w:t>owners,</w:t>
      </w:r>
      <w:r w:rsidR="006C6F09">
        <w:t xml:space="preserve"> </w:t>
      </w:r>
      <w:r>
        <w:t>homeowners’</w:t>
      </w:r>
      <w:r w:rsidR="006C6F09">
        <w:t xml:space="preserve"> </w:t>
      </w:r>
      <w:r>
        <w:t>associations,</w:t>
      </w:r>
      <w:r w:rsidR="006C6F09">
        <w:t xml:space="preserve"> </w:t>
      </w:r>
      <w:r>
        <w:t>etcetera,</w:t>
      </w:r>
      <w:r w:rsidR="006C6F09">
        <w:t xml:space="preserve"> </w:t>
      </w:r>
      <w:r>
        <w:t>as</w:t>
      </w:r>
      <w:r w:rsidR="006C6F09">
        <w:t xml:space="preserve"> </w:t>
      </w:r>
      <w:r>
        <w:t>appropriate.</w:t>
      </w:r>
      <w:r w:rsidR="006C6F09">
        <w:t xml:space="preserve"> </w:t>
      </w:r>
      <w:r>
        <w:t>An</w:t>
      </w:r>
      <w:r w:rsidR="006C6F09">
        <w:t xml:space="preserve"> </w:t>
      </w:r>
      <w:r>
        <w:t>example</w:t>
      </w:r>
      <w:r w:rsidR="006C6F09">
        <w:t xml:space="preserve"> </w:t>
      </w:r>
      <w:r>
        <w:t>of</w:t>
      </w:r>
      <w:r w:rsidR="006C6F09">
        <w:t xml:space="preserve"> </w:t>
      </w:r>
      <w:r>
        <w:t>a</w:t>
      </w:r>
      <w:r w:rsidR="006C6F09">
        <w:t xml:space="preserve"> </w:t>
      </w:r>
      <w:r>
        <w:t>situation</w:t>
      </w:r>
      <w:r w:rsidR="006C6F09">
        <w:t xml:space="preserve"> </w:t>
      </w:r>
      <w:r>
        <w:t>in</w:t>
      </w:r>
      <w:r w:rsidR="006C6F09">
        <w:t xml:space="preserve"> </w:t>
      </w:r>
      <w:r>
        <w:t>which</w:t>
      </w:r>
      <w:r w:rsidR="006C6F09">
        <w:t xml:space="preserve"> </w:t>
      </w:r>
      <w:r>
        <w:t>it</w:t>
      </w:r>
      <w:r w:rsidR="006C6F09">
        <w:t xml:space="preserve"> </w:t>
      </w:r>
      <w:r>
        <w:t>may</w:t>
      </w:r>
      <w:r w:rsidR="006C6F09">
        <w:t xml:space="preserve"> </w:t>
      </w:r>
      <w:r>
        <w:t>be</w:t>
      </w:r>
      <w:r w:rsidR="006C6F09">
        <w:t xml:space="preserve"> </w:t>
      </w:r>
      <w:r>
        <w:t>appropriate</w:t>
      </w:r>
      <w:r w:rsidR="006C6F09">
        <w:t xml:space="preserve"> </w:t>
      </w:r>
      <w:r>
        <w:t>to</w:t>
      </w:r>
      <w:r w:rsidR="006C6F09">
        <w:t xml:space="preserve"> </w:t>
      </w:r>
      <w:r>
        <w:t>conduct</w:t>
      </w:r>
      <w:r w:rsidR="006C6F09">
        <w:t xml:space="preserve"> </w:t>
      </w:r>
      <w:r>
        <w:t>additional</w:t>
      </w:r>
      <w:r w:rsidR="006C6F09">
        <w:t xml:space="preserve"> </w:t>
      </w:r>
      <w:r>
        <w:t>public</w:t>
      </w:r>
      <w:r w:rsidR="006C6F09">
        <w:t xml:space="preserve"> </w:t>
      </w:r>
      <w:r>
        <w:t>outreach</w:t>
      </w:r>
      <w:r w:rsidR="006C6F09">
        <w:t xml:space="preserve"> </w:t>
      </w:r>
      <w:r>
        <w:t>would</w:t>
      </w:r>
      <w:r w:rsidR="006C6F09">
        <w:t xml:space="preserve"> </w:t>
      </w:r>
      <w:r>
        <w:t>be</w:t>
      </w:r>
      <w:r w:rsidR="006C6F09">
        <w:t xml:space="preserve"> </w:t>
      </w:r>
      <w:r>
        <w:t>if,</w:t>
      </w:r>
      <w:r w:rsidR="006C6F09">
        <w:t xml:space="preserve"> </w:t>
      </w:r>
      <w:r>
        <w:t>after</w:t>
      </w:r>
      <w:r w:rsidR="006C6F09">
        <w:t xml:space="preserve"> </w:t>
      </w:r>
      <w:r>
        <w:t>final</w:t>
      </w:r>
      <w:r w:rsidR="006C6F09">
        <w:t xml:space="preserve"> </w:t>
      </w:r>
      <w:r>
        <w:t>public</w:t>
      </w:r>
      <w:r w:rsidR="006C6F09">
        <w:t xml:space="preserve"> </w:t>
      </w:r>
      <w:r>
        <w:t>meeting</w:t>
      </w:r>
      <w:r w:rsidR="006C6F09">
        <w:t xml:space="preserve"> </w:t>
      </w:r>
      <w:r>
        <w:t>or</w:t>
      </w:r>
      <w:r w:rsidR="006C6F09">
        <w:t xml:space="preserve"> </w:t>
      </w:r>
      <w:r>
        <w:t>public</w:t>
      </w:r>
      <w:r w:rsidR="006C6F09">
        <w:t xml:space="preserve"> </w:t>
      </w:r>
      <w:r>
        <w:t>hearing</w:t>
      </w:r>
      <w:r w:rsidR="006C6F09">
        <w:t xml:space="preserve"> </w:t>
      </w:r>
      <w:r>
        <w:t>on</w:t>
      </w:r>
      <w:r w:rsidR="006C6F09">
        <w:t xml:space="preserve"> </w:t>
      </w:r>
      <w:r>
        <w:t>a</w:t>
      </w:r>
      <w:r w:rsidR="006C6F09">
        <w:t xml:space="preserve"> </w:t>
      </w:r>
      <w:r>
        <w:t>project</w:t>
      </w:r>
      <w:r w:rsidR="006C6F09">
        <w:t xml:space="preserve"> </w:t>
      </w:r>
      <w:r>
        <w:t>but</w:t>
      </w:r>
      <w:r w:rsidR="006C6F09">
        <w:t xml:space="preserve"> </w:t>
      </w:r>
      <w:r>
        <w:t>before</w:t>
      </w:r>
      <w:r w:rsidR="006C6F09">
        <w:t xml:space="preserve"> </w:t>
      </w:r>
      <w:r>
        <w:t>environmental</w:t>
      </w:r>
      <w:r w:rsidR="006C6F09">
        <w:t xml:space="preserve"> </w:t>
      </w:r>
      <w:r>
        <w:t>clearance,</w:t>
      </w:r>
      <w:r w:rsidR="006C6F09">
        <w:t xml:space="preserve"> </w:t>
      </w:r>
      <w:r>
        <w:t>there</w:t>
      </w:r>
      <w:r w:rsidR="006C6F09">
        <w:t xml:space="preserve"> </w:t>
      </w:r>
      <w:r>
        <w:t>are</w:t>
      </w:r>
      <w:r w:rsidR="006C6F09">
        <w:t xml:space="preserve"> </w:t>
      </w:r>
      <w:r>
        <w:t>design</w:t>
      </w:r>
      <w:r w:rsidR="006C6F09">
        <w:t xml:space="preserve"> </w:t>
      </w:r>
      <w:r>
        <w:t>changes</w:t>
      </w:r>
      <w:r w:rsidR="006C6F09">
        <w:t xml:space="preserve"> </w:t>
      </w:r>
      <w:r>
        <w:t>such</w:t>
      </w:r>
      <w:r w:rsidR="006C6F09">
        <w:t xml:space="preserve"> </w:t>
      </w:r>
      <w:r>
        <w:t>that</w:t>
      </w:r>
      <w:r w:rsidR="006C6F09">
        <w:t xml:space="preserve"> </w:t>
      </w:r>
      <w:r>
        <w:t>there</w:t>
      </w:r>
      <w:r w:rsidR="006C6F09">
        <w:t xml:space="preserve"> </w:t>
      </w:r>
      <w:r>
        <w:t>are</w:t>
      </w:r>
      <w:r w:rsidR="006C6F09">
        <w:t xml:space="preserve"> </w:t>
      </w:r>
      <w:r>
        <w:t>new</w:t>
      </w:r>
      <w:r w:rsidR="006C6F09">
        <w:t xml:space="preserve"> </w:t>
      </w:r>
      <w:r>
        <w:t>or</w:t>
      </w:r>
      <w:r w:rsidR="006C6F09">
        <w:t xml:space="preserve"> </w:t>
      </w:r>
      <w:r>
        <w:t>greater</w:t>
      </w:r>
      <w:r w:rsidR="006C6F09">
        <w:t xml:space="preserve"> </w:t>
      </w:r>
      <w:r>
        <w:t>impacts</w:t>
      </w:r>
      <w:r w:rsidR="006C6F09">
        <w:t xml:space="preserve"> </w:t>
      </w:r>
      <w:r>
        <w:t>to</w:t>
      </w:r>
      <w:r w:rsidR="006C6F09">
        <w:t xml:space="preserve"> </w:t>
      </w:r>
      <w:r>
        <w:t>certain</w:t>
      </w:r>
      <w:r w:rsidR="006C6F09">
        <w:t xml:space="preserve"> </w:t>
      </w:r>
      <w:r>
        <w:t>property</w:t>
      </w:r>
      <w:r w:rsidR="006C6F09">
        <w:t xml:space="preserve"> </w:t>
      </w:r>
      <w:r>
        <w:t>owners.</w:t>
      </w:r>
      <w:r w:rsidR="006C6F09">
        <w:t xml:space="preserve"> </w:t>
      </w:r>
      <w:r>
        <w:t>In</w:t>
      </w:r>
      <w:r w:rsidR="006C6F09">
        <w:t xml:space="preserve"> </w:t>
      </w:r>
      <w:r>
        <w:t>this</w:t>
      </w:r>
      <w:r w:rsidR="006C6F09">
        <w:t xml:space="preserve"> </w:t>
      </w:r>
      <w:r>
        <w:t>situation,</w:t>
      </w:r>
      <w:r w:rsidR="006C6F09">
        <w:t xml:space="preserve"> </w:t>
      </w:r>
      <w:r>
        <w:t>it</w:t>
      </w:r>
      <w:r w:rsidR="006C6F09">
        <w:t xml:space="preserve"> </w:t>
      </w:r>
      <w:r>
        <w:t>may</w:t>
      </w:r>
      <w:r w:rsidR="006C6F09">
        <w:t xml:space="preserve"> </w:t>
      </w:r>
      <w:r>
        <w:t>be</w:t>
      </w:r>
      <w:r w:rsidR="006C6F09">
        <w:t xml:space="preserve"> </w:t>
      </w:r>
      <w:r>
        <w:t>appropriate</w:t>
      </w:r>
      <w:r w:rsidR="006C6F09">
        <w:t xml:space="preserve"> </w:t>
      </w:r>
      <w:r>
        <w:t>for</w:t>
      </w:r>
      <w:r w:rsidR="006C6F09">
        <w:t xml:space="preserve"> </w:t>
      </w:r>
      <w:r>
        <w:t>the</w:t>
      </w:r>
      <w:r w:rsidR="006C6F09">
        <w:t xml:space="preserve"> </w:t>
      </w:r>
      <w:r>
        <w:t>district</w:t>
      </w:r>
      <w:r w:rsidR="006C6F09">
        <w:t xml:space="preserve"> </w:t>
      </w:r>
      <w:r>
        <w:t>to</w:t>
      </w:r>
      <w:r w:rsidR="006C6F09">
        <w:t xml:space="preserve"> </w:t>
      </w:r>
      <w:r>
        <w:t>reach</w:t>
      </w:r>
      <w:r w:rsidR="006C6F09">
        <w:t xml:space="preserve"> </w:t>
      </w:r>
      <w:r>
        <w:t>out</w:t>
      </w:r>
      <w:r w:rsidR="006C6F09">
        <w:t xml:space="preserve"> </w:t>
      </w:r>
      <w:r>
        <w:t>to</w:t>
      </w:r>
      <w:r w:rsidR="006C6F09">
        <w:t xml:space="preserve"> </w:t>
      </w:r>
      <w:r>
        <w:t>certain</w:t>
      </w:r>
      <w:r w:rsidR="006C6F09">
        <w:t xml:space="preserve"> </w:t>
      </w:r>
      <w:r>
        <w:t>property</w:t>
      </w:r>
      <w:r w:rsidR="006C6F09">
        <w:t xml:space="preserve"> </w:t>
      </w:r>
      <w:r>
        <w:t>owners</w:t>
      </w:r>
      <w:r w:rsidR="006C6F09">
        <w:t xml:space="preserve"> </w:t>
      </w:r>
      <w:r>
        <w:t>to</w:t>
      </w:r>
      <w:r w:rsidR="006C6F09">
        <w:t xml:space="preserve"> </w:t>
      </w:r>
      <w:r>
        <w:t>let</w:t>
      </w:r>
      <w:r w:rsidR="006C6F09">
        <w:t xml:space="preserve"> </w:t>
      </w:r>
      <w:r>
        <w:t>them</w:t>
      </w:r>
      <w:r w:rsidR="006C6F09">
        <w:t xml:space="preserve"> </w:t>
      </w:r>
      <w:r>
        <w:t>know</w:t>
      </w:r>
      <w:r w:rsidR="006C6F09">
        <w:t xml:space="preserve"> </w:t>
      </w:r>
      <w:r>
        <w:t>of</w:t>
      </w:r>
      <w:r w:rsidR="006C6F09">
        <w:t xml:space="preserve"> </w:t>
      </w:r>
      <w:r>
        <w:t>the</w:t>
      </w:r>
      <w:r w:rsidR="006C6F09">
        <w:t xml:space="preserve"> </w:t>
      </w:r>
      <w:r>
        <w:t>change</w:t>
      </w:r>
      <w:r w:rsidR="006C6F09">
        <w:t xml:space="preserve"> </w:t>
      </w:r>
      <w:r>
        <w:t>and</w:t>
      </w:r>
      <w:r w:rsidR="006C6F09">
        <w:t xml:space="preserve"> </w:t>
      </w:r>
      <w:r>
        <w:t>receive</w:t>
      </w:r>
      <w:r w:rsidR="006C6F09">
        <w:t xml:space="preserve"> </w:t>
      </w:r>
      <w:r>
        <w:t>any</w:t>
      </w:r>
      <w:r w:rsidR="006C6F09">
        <w:t xml:space="preserve"> </w:t>
      </w:r>
      <w:r>
        <w:t>feedback.</w:t>
      </w:r>
    </w:p>
    <w:p w14:paraId="599DA61A" w14:textId="13B524F5" w:rsidR="00457754" w:rsidRDefault="00457754" w:rsidP="000974CA">
      <w:r>
        <w:t>To</w:t>
      </w:r>
      <w:r w:rsidR="006C6F09">
        <w:t xml:space="preserve"> </w:t>
      </w:r>
      <w:r>
        <w:t>the</w:t>
      </w:r>
      <w:r w:rsidR="006C6F09">
        <w:t xml:space="preserve"> </w:t>
      </w:r>
      <w:r>
        <w:t>extent</w:t>
      </w:r>
      <w:r w:rsidR="006C6F09">
        <w:t xml:space="preserve"> </w:t>
      </w:r>
      <w:r>
        <w:t>that</w:t>
      </w:r>
      <w:r w:rsidR="006C6F09">
        <w:t xml:space="preserve"> </w:t>
      </w:r>
      <w:r>
        <w:t>project</w:t>
      </w:r>
      <w:r w:rsidR="006C6F09">
        <w:t xml:space="preserve"> </w:t>
      </w:r>
      <w:r>
        <w:t>sponsors</w:t>
      </w:r>
      <w:r w:rsidR="006C6F09">
        <w:t xml:space="preserve"> </w:t>
      </w:r>
      <w:r>
        <w:t>conduct</w:t>
      </w:r>
      <w:r w:rsidR="006C6F09">
        <w:t xml:space="preserve"> </w:t>
      </w:r>
      <w:r>
        <w:t>such</w:t>
      </w:r>
      <w:r w:rsidR="006C6F09">
        <w:t xml:space="preserve"> </w:t>
      </w:r>
      <w:r>
        <w:t>additional</w:t>
      </w:r>
      <w:r w:rsidR="006C6F09">
        <w:t xml:space="preserve"> </w:t>
      </w:r>
      <w:r>
        <w:t>outreach</w:t>
      </w:r>
      <w:r w:rsidR="006C6F09">
        <w:t xml:space="preserve"> </w:t>
      </w:r>
      <w:r>
        <w:t>and</w:t>
      </w:r>
      <w:r w:rsidR="006C6F09">
        <w:t xml:space="preserve"> </w:t>
      </w:r>
      <w:r>
        <w:t>determine</w:t>
      </w:r>
      <w:r w:rsidR="006C6F09">
        <w:t xml:space="preserve"> </w:t>
      </w:r>
      <w:r>
        <w:t>that</w:t>
      </w:r>
      <w:r w:rsidR="006C6F09">
        <w:t xml:space="preserve"> </w:t>
      </w:r>
      <w:r>
        <w:t>it</w:t>
      </w:r>
      <w:r w:rsidR="006C6F09">
        <w:t xml:space="preserve"> </w:t>
      </w:r>
      <w:r>
        <w:t>should</w:t>
      </w:r>
      <w:r w:rsidR="006C6F09">
        <w:t xml:space="preserve"> </w:t>
      </w:r>
      <w:r>
        <w:t>be</w:t>
      </w:r>
      <w:r w:rsidR="006C6F09">
        <w:t xml:space="preserve"> </w:t>
      </w:r>
      <w:r>
        <w:t>documented</w:t>
      </w:r>
      <w:r w:rsidR="006C6F09">
        <w:t xml:space="preserve"> </w:t>
      </w:r>
      <w:r>
        <w:t>as</w:t>
      </w:r>
      <w:r w:rsidR="006C6F09">
        <w:t xml:space="preserve"> </w:t>
      </w:r>
      <w:r>
        <w:t>part</w:t>
      </w:r>
      <w:r w:rsidR="006C6F09">
        <w:t xml:space="preserve"> </w:t>
      </w:r>
      <w:r>
        <w:t>of</w:t>
      </w:r>
      <w:r w:rsidR="006C6F09">
        <w:t xml:space="preserve"> </w:t>
      </w:r>
      <w:r>
        <w:t>the</w:t>
      </w:r>
      <w:r w:rsidR="006C6F09">
        <w:t xml:space="preserve"> </w:t>
      </w:r>
      <w:r>
        <w:t>environmental</w:t>
      </w:r>
      <w:r w:rsidR="006C6F09">
        <w:t xml:space="preserve"> </w:t>
      </w:r>
      <w:r>
        <w:t>review</w:t>
      </w:r>
      <w:r w:rsidR="006C6F09">
        <w:t xml:space="preserve"> </w:t>
      </w:r>
      <w:r>
        <w:t>process,</w:t>
      </w:r>
      <w:r w:rsidR="006C6F09">
        <w:t xml:space="preserve"> </w:t>
      </w:r>
      <w:r>
        <w:t>they</w:t>
      </w:r>
      <w:r w:rsidR="006C6F09">
        <w:t xml:space="preserve"> </w:t>
      </w:r>
      <w:r>
        <w:t>should</w:t>
      </w:r>
      <w:r w:rsidR="006C6F09">
        <w:t xml:space="preserve"> </w:t>
      </w:r>
      <w:r>
        <w:t>document</w:t>
      </w:r>
      <w:r w:rsidR="006C6F09">
        <w:t xml:space="preserve"> </w:t>
      </w:r>
      <w:r>
        <w:t>the</w:t>
      </w:r>
      <w:r w:rsidR="006C6F09">
        <w:t xml:space="preserve"> </w:t>
      </w:r>
      <w:r>
        <w:t>outreach</w:t>
      </w:r>
      <w:r w:rsidR="006C6F09">
        <w:t xml:space="preserve"> </w:t>
      </w:r>
      <w:r>
        <w:t>using</w:t>
      </w:r>
      <w:r w:rsidR="006C6F09">
        <w:t xml:space="preserve"> </w:t>
      </w:r>
      <w:r>
        <w:t>the</w:t>
      </w:r>
      <w:r w:rsidR="006C6F09">
        <w:t xml:space="preserve"> </w:t>
      </w:r>
      <w:r>
        <w:t>“Perform</w:t>
      </w:r>
      <w:r w:rsidR="006C6F09">
        <w:t xml:space="preserve"> </w:t>
      </w:r>
      <w:r>
        <w:t>Additional</w:t>
      </w:r>
      <w:r w:rsidR="006C6F09">
        <w:t xml:space="preserve"> </w:t>
      </w:r>
      <w:r>
        <w:t>Public</w:t>
      </w:r>
      <w:r w:rsidR="006C6F09">
        <w:t xml:space="preserve"> </w:t>
      </w:r>
      <w:r>
        <w:t>Outreach”</w:t>
      </w:r>
      <w:r w:rsidR="006C6F09">
        <w:t xml:space="preserve"> </w:t>
      </w:r>
      <w:r>
        <w:t>Activity</w:t>
      </w:r>
      <w:r w:rsidR="006C6F09">
        <w:t xml:space="preserve"> </w:t>
      </w:r>
      <w:r>
        <w:t>in</w:t>
      </w:r>
      <w:r w:rsidR="006C6F09">
        <w:t xml:space="preserve"> </w:t>
      </w:r>
      <w:r>
        <w:t>ECOS</w:t>
      </w:r>
      <w:r w:rsidR="006C6F09">
        <w:t xml:space="preserve"> </w:t>
      </w:r>
      <w:r>
        <w:t>(Environmental</w:t>
      </w:r>
      <w:r w:rsidR="006C6F09">
        <w:t xml:space="preserve"> </w:t>
      </w:r>
      <w:r>
        <w:t>Compliance</w:t>
      </w:r>
      <w:r w:rsidR="006C6F09">
        <w:t xml:space="preserve"> </w:t>
      </w:r>
      <w:r>
        <w:t>Oversight</w:t>
      </w:r>
      <w:r w:rsidR="006C6F09">
        <w:t xml:space="preserve"> </w:t>
      </w:r>
      <w:r>
        <w:lastRenderedPageBreak/>
        <w:t>System).</w:t>
      </w:r>
      <w:r w:rsidR="006C6F09">
        <w:t xml:space="preserve"> </w:t>
      </w:r>
      <w:r>
        <w:t>ENV</w:t>
      </w:r>
      <w:r w:rsidR="006C6F09">
        <w:t xml:space="preserve"> </w:t>
      </w:r>
      <w:r>
        <w:t>does</w:t>
      </w:r>
      <w:r w:rsidR="006C6F09">
        <w:t xml:space="preserve"> </w:t>
      </w:r>
      <w:r>
        <w:t>not</w:t>
      </w:r>
      <w:r w:rsidR="006C6F09">
        <w:t xml:space="preserve"> </w:t>
      </w:r>
      <w:r>
        <w:t>prescribe</w:t>
      </w:r>
      <w:r w:rsidR="006C6F09">
        <w:t xml:space="preserve"> </w:t>
      </w:r>
      <w:r>
        <w:t>any</w:t>
      </w:r>
      <w:r w:rsidR="006C6F09">
        <w:t xml:space="preserve"> </w:t>
      </w:r>
      <w:r>
        <w:t>documentation</w:t>
      </w:r>
      <w:r w:rsidR="006C6F09">
        <w:t xml:space="preserve"> </w:t>
      </w:r>
      <w:r>
        <w:t>format</w:t>
      </w:r>
      <w:r w:rsidR="006C6F09">
        <w:t xml:space="preserve"> </w:t>
      </w:r>
      <w:r>
        <w:t>or</w:t>
      </w:r>
      <w:r w:rsidR="006C6F09">
        <w:t xml:space="preserve"> </w:t>
      </w:r>
      <w:r>
        <w:t>requirements</w:t>
      </w:r>
      <w:r w:rsidR="006C6F09">
        <w:t xml:space="preserve"> </w:t>
      </w:r>
      <w:r>
        <w:t>for</w:t>
      </w:r>
      <w:r w:rsidR="006C6F09">
        <w:t xml:space="preserve"> </w:t>
      </w:r>
      <w:r>
        <w:t>such</w:t>
      </w:r>
      <w:r w:rsidR="006C6F09">
        <w:t xml:space="preserve"> </w:t>
      </w:r>
      <w:r>
        <w:t>additional</w:t>
      </w:r>
      <w:r w:rsidR="006C6F09">
        <w:t xml:space="preserve"> </w:t>
      </w:r>
      <w:r>
        <w:t>public</w:t>
      </w:r>
      <w:r w:rsidR="006C6F09">
        <w:t xml:space="preserve"> </w:t>
      </w:r>
      <w:r>
        <w:t>outreach.</w:t>
      </w:r>
    </w:p>
    <w:p w14:paraId="0FFA08A4" w14:textId="4C959329" w:rsidR="00457754" w:rsidRPr="00D903F0" w:rsidRDefault="00457754" w:rsidP="00457754">
      <w:pPr>
        <w:pStyle w:val="Heading3"/>
      </w:pPr>
      <w:bookmarkStart w:id="21" w:name="_Toc224026199"/>
      <w:r w:rsidRPr="00B23AD6">
        <w:t>2.2</w:t>
      </w:r>
      <w:r w:rsidR="006C6F09" w:rsidRPr="00B23AD6">
        <w:t xml:space="preserve"> </w:t>
      </w:r>
      <w:r w:rsidRPr="00B23AD6">
        <w:t>Use</w:t>
      </w:r>
      <w:r w:rsidR="006C6F09" w:rsidRPr="00B23AD6">
        <w:t xml:space="preserve"> </w:t>
      </w:r>
      <w:r w:rsidRPr="00B23AD6">
        <w:t>of</w:t>
      </w:r>
      <w:r w:rsidR="006C6F09" w:rsidRPr="00B23AD6">
        <w:t xml:space="preserve"> </w:t>
      </w:r>
      <w:r w:rsidRPr="00B23AD6">
        <w:t>Web-based</w:t>
      </w:r>
      <w:r w:rsidR="006C6F09" w:rsidRPr="00B23AD6">
        <w:t xml:space="preserve"> </w:t>
      </w:r>
      <w:r w:rsidRPr="00B23AD6">
        <w:t>Public</w:t>
      </w:r>
      <w:r w:rsidR="006C6F09" w:rsidRPr="00B23AD6">
        <w:t xml:space="preserve"> </w:t>
      </w:r>
      <w:r w:rsidRPr="00B23AD6">
        <w:t>Engagement</w:t>
      </w:r>
      <w:r w:rsidR="006C6F09" w:rsidRPr="00B23AD6">
        <w:t xml:space="preserve"> </w:t>
      </w:r>
      <w:r w:rsidRPr="00B23AD6">
        <w:t>Tools</w:t>
      </w:r>
      <w:r w:rsidR="006C6F09" w:rsidRPr="00B23AD6">
        <w:t xml:space="preserve"> </w:t>
      </w:r>
      <w:r w:rsidRPr="00B23AD6">
        <w:t>such</w:t>
      </w:r>
      <w:r w:rsidR="006C6F09" w:rsidRPr="00B23AD6">
        <w:t xml:space="preserve"> </w:t>
      </w:r>
      <w:r w:rsidRPr="00B23AD6">
        <w:t>as</w:t>
      </w:r>
      <w:r w:rsidR="006C6F09" w:rsidRPr="00B23AD6">
        <w:t xml:space="preserve"> </w:t>
      </w:r>
      <w:proofErr w:type="spellStart"/>
      <w:r w:rsidRPr="00B23AD6">
        <w:t>MetroQuest</w:t>
      </w:r>
      <w:proofErr w:type="spellEnd"/>
      <w:r w:rsidRPr="00B23AD6">
        <w:t>,</w:t>
      </w:r>
      <w:r w:rsidR="006C6F09" w:rsidRPr="00B23AD6">
        <w:t xml:space="preserve"> </w:t>
      </w:r>
      <w:r w:rsidRPr="00B23AD6">
        <w:t>Social</w:t>
      </w:r>
      <w:r w:rsidR="006C6F09" w:rsidRPr="00B23AD6">
        <w:t xml:space="preserve"> </w:t>
      </w:r>
      <w:proofErr w:type="spellStart"/>
      <w:r w:rsidRPr="00B23AD6">
        <w:t>PinPoint</w:t>
      </w:r>
      <w:proofErr w:type="spellEnd"/>
      <w:r w:rsidRPr="00B23AD6">
        <w:t>,</w:t>
      </w:r>
      <w:r w:rsidR="006C6F09" w:rsidRPr="00B23AD6">
        <w:t xml:space="preserve"> </w:t>
      </w:r>
      <w:r w:rsidRPr="00B23AD6">
        <w:t>etcetera.</w:t>
      </w:r>
      <w:bookmarkEnd w:id="21"/>
      <w:r w:rsidR="006C6F09">
        <w:t xml:space="preserve"> </w:t>
      </w:r>
    </w:p>
    <w:p w14:paraId="062A4337" w14:textId="6251414A" w:rsidR="00457754" w:rsidRPr="008D6419" w:rsidRDefault="00457754" w:rsidP="00457754">
      <w:r>
        <w:t>TPP’s</w:t>
      </w:r>
      <w:r w:rsidR="006C6F09">
        <w:t xml:space="preserve"> </w:t>
      </w:r>
      <w:r>
        <w:t>PI</w:t>
      </w:r>
      <w:r w:rsidR="006C6F09">
        <w:t xml:space="preserve"> </w:t>
      </w:r>
      <w:r>
        <w:t>Section</w:t>
      </w:r>
      <w:r w:rsidR="006C6F09">
        <w:t xml:space="preserve"> </w:t>
      </w:r>
      <w:r>
        <w:t>can</w:t>
      </w:r>
      <w:r w:rsidR="006C6F09">
        <w:t xml:space="preserve"> </w:t>
      </w:r>
      <w:r>
        <w:t>assist</w:t>
      </w:r>
      <w:r w:rsidR="006C6F09">
        <w:t xml:space="preserve"> </w:t>
      </w:r>
      <w:r>
        <w:t>districts</w:t>
      </w:r>
      <w:r w:rsidR="006C6F09">
        <w:t xml:space="preserve"> </w:t>
      </w:r>
      <w:r>
        <w:t>with</w:t>
      </w:r>
      <w:r w:rsidR="006C6F09">
        <w:t xml:space="preserve"> </w:t>
      </w:r>
      <w:r>
        <w:t>using</w:t>
      </w:r>
      <w:r w:rsidR="006C6F09">
        <w:t xml:space="preserve"> </w:t>
      </w:r>
      <w:r>
        <w:t>web-based</w:t>
      </w:r>
      <w:r w:rsidR="006C6F09">
        <w:t xml:space="preserve"> </w:t>
      </w:r>
      <w:r>
        <w:t>public</w:t>
      </w:r>
      <w:r w:rsidR="006C6F09">
        <w:t xml:space="preserve"> </w:t>
      </w:r>
      <w:r>
        <w:t>engagement</w:t>
      </w:r>
      <w:r w:rsidR="006C6F09">
        <w:t xml:space="preserve"> </w:t>
      </w:r>
      <w:r>
        <w:t>tools</w:t>
      </w:r>
      <w:r w:rsidR="006C6F09">
        <w:t xml:space="preserve"> </w:t>
      </w:r>
      <w:r>
        <w:t>such</w:t>
      </w:r>
      <w:r w:rsidR="006C6F09">
        <w:t xml:space="preserve"> </w:t>
      </w:r>
      <w:r>
        <w:t>as</w:t>
      </w:r>
      <w:r w:rsidR="006C6F09">
        <w:t xml:space="preserve"> </w:t>
      </w:r>
      <w:proofErr w:type="spellStart"/>
      <w:r>
        <w:t>MetroQuest</w:t>
      </w:r>
      <w:proofErr w:type="spellEnd"/>
      <w:r w:rsidR="006C6F09">
        <w:t xml:space="preserve"> </w:t>
      </w:r>
      <w:r>
        <w:t>and</w:t>
      </w:r>
      <w:r w:rsidR="006C6F09">
        <w:t xml:space="preserve"> </w:t>
      </w:r>
      <w:r>
        <w:t>Social</w:t>
      </w:r>
      <w:r w:rsidR="006C6F09">
        <w:t xml:space="preserve"> </w:t>
      </w:r>
      <w:proofErr w:type="spellStart"/>
      <w:r>
        <w:t>PinPoint</w:t>
      </w:r>
      <w:proofErr w:type="spellEnd"/>
      <w:r w:rsidR="006C6F09">
        <w:t xml:space="preserve"> </w:t>
      </w:r>
      <w:r>
        <w:t>upon</w:t>
      </w:r>
      <w:r w:rsidR="006C6F09">
        <w:t xml:space="preserve"> </w:t>
      </w:r>
      <w:r>
        <w:t>request.</w:t>
      </w:r>
      <w:r w:rsidR="006C6F09">
        <w:t xml:space="preserve"> </w:t>
      </w:r>
      <w:r>
        <w:t>Use</w:t>
      </w:r>
      <w:r w:rsidR="006C6F09">
        <w:t xml:space="preserve"> </w:t>
      </w:r>
      <w:r>
        <w:t>of</w:t>
      </w:r>
      <w:r w:rsidR="006C6F09">
        <w:t xml:space="preserve"> </w:t>
      </w:r>
      <w:r>
        <w:t>web-based</w:t>
      </w:r>
      <w:r w:rsidR="006C6F09">
        <w:t xml:space="preserve"> </w:t>
      </w:r>
      <w:r>
        <w:t>public</w:t>
      </w:r>
      <w:r w:rsidR="006C6F09">
        <w:t xml:space="preserve"> </w:t>
      </w:r>
      <w:r>
        <w:t>engagement</w:t>
      </w:r>
      <w:r w:rsidR="006C6F09">
        <w:t xml:space="preserve"> </w:t>
      </w:r>
      <w:r>
        <w:t>tools</w:t>
      </w:r>
      <w:r w:rsidR="006C6F09">
        <w:t xml:space="preserve"> </w:t>
      </w:r>
      <w:r>
        <w:t>is</w:t>
      </w:r>
      <w:r w:rsidR="006C6F09">
        <w:t xml:space="preserve"> </w:t>
      </w:r>
      <w:r>
        <w:t>not</w:t>
      </w:r>
      <w:r w:rsidR="006C6F09">
        <w:t xml:space="preserve"> </w:t>
      </w:r>
      <w:r>
        <w:t>required</w:t>
      </w:r>
      <w:r w:rsidR="006C6F09">
        <w:t xml:space="preserve"> </w:t>
      </w:r>
      <w:r>
        <w:t>but</w:t>
      </w:r>
      <w:r w:rsidR="006C6F09">
        <w:t xml:space="preserve"> </w:t>
      </w:r>
      <w:r>
        <w:t>can</w:t>
      </w:r>
      <w:r w:rsidR="006C6F09">
        <w:t xml:space="preserve"> </w:t>
      </w:r>
      <w:r>
        <w:t>be</w:t>
      </w:r>
      <w:r w:rsidR="006C6F09">
        <w:t xml:space="preserve"> </w:t>
      </w:r>
      <w:r>
        <w:t>used</w:t>
      </w:r>
      <w:r w:rsidR="006C6F09">
        <w:t xml:space="preserve"> </w:t>
      </w:r>
      <w:r>
        <w:t>on</w:t>
      </w:r>
      <w:r w:rsidR="006C6F09">
        <w:t xml:space="preserve"> </w:t>
      </w:r>
      <w:r>
        <w:t>a</w:t>
      </w:r>
      <w:r w:rsidR="006C6F09">
        <w:t xml:space="preserve"> </w:t>
      </w:r>
      <w:r>
        <w:t>case-by-case</w:t>
      </w:r>
      <w:r w:rsidR="006C6F09">
        <w:t xml:space="preserve"> </w:t>
      </w:r>
      <w:r>
        <w:t>basis</w:t>
      </w:r>
      <w:r w:rsidR="006C6F09">
        <w:t xml:space="preserve"> </w:t>
      </w:r>
      <w:r>
        <w:t>at</w:t>
      </w:r>
      <w:r w:rsidR="006C6F09">
        <w:t xml:space="preserve"> </w:t>
      </w:r>
      <w:r>
        <w:t>the</w:t>
      </w:r>
      <w:r w:rsidR="006C6F09">
        <w:t xml:space="preserve"> </w:t>
      </w:r>
      <w:r>
        <w:t>district’s</w:t>
      </w:r>
      <w:r w:rsidR="006C6F09">
        <w:t xml:space="preserve"> </w:t>
      </w:r>
      <w:r>
        <w:t>discretion.</w:t>
      </w:r>
      <w:r w:rsidR="006C6F09">
        <w:t xml:space="preserve"> </w:t>
      </w:r>
      <w:r>
        <w:t>These</w:t>
      </w:r>
      <w:r w:rsidR="006C6F09">
        <w:t xml:space="preserve"> </w:t>
      </w:r>
      <w:r>
        <w:t>tools</w:t>
      </w:r>
      <w:r w:rsidR="006C6F09">
        <w:t xml:space="preserve"> </w:t>
      </w:r>
      <w:r>
        <w:t>can</w:t>
      </w:r>
      <w:r w:rsidR="006C6F09">
        <w:t xml:space="preserve"> </w:t>
      </w:r>
      <w:r>
        <w:t>be</w:t>
      </w:r>
      <w:r w:rsidR="006C6F09">
        <w:t xml:space="preserve"> </w:t>
      </w:r>
      <w:r>
        <w:t>used</w:t>
      </w:r>
      <w:r w:rsidR="006C6F09">
        <w:t xml:space="preserve"> </w:t>
      </w:r>
      <w:r>
        <w:t>either</w:t>
      </w:r>
      <w:r w:rsidR="006C6F09">
        <w:t xml:space="preserve"> </w:t>
      </w:r>
      <w:r>
        <w:t>in</w:t>
      </w:r>
      <w:r w:rsidR="006C6F09">
        <w:t xml:space="preserve"> </w:t>
      </w:r>
      <w:r>
        <w:t>connection</w:t>
      </w:r>
      <w:r w:rsidR="006C6F09">
        <w:t xml:space="preserve"> </w:t>
      </w:r>
      <w:r>
        <w:t>with</w:t>
      </w:r>
      <w:r w:rsidR="006C6F09">
        <w:t xml:space="preserve"> </w:t>
      </w:r>
      <w:r>
        <w:t>a</w:t>
      </w:r>
      <w:r w:rsidR="006C6F09">
        <w:t xml:space="preserve"> </w:t>
      </w:r>
      <w:r>
        <w:t>formal</w:t>
      </w:r>
      <w:r w:rsidR="006C6F09">
        <w:t xml:space="preserve"> </w:t>
      </w:r>
      <w:r>
        <w:t>public</w:t>
      </w:r>
      <w:r w:rsidR="006C6F09">
        <w:t xml:space="preserve"> </w:t>
      </w:r>
      <w:r>
        <w:t>involvement</w:t>
      </w:r>
      <w:r w:rsidR="006C6F09">
        <w:t xml:space="preserve"> </w:t>
      </w:r>
      <w:r>
        <w:t>event</w:t>
      </w:r>
      <w:r w:rsidR="006C6F09">
        <w:t xml:space="preserve"> </w:t>
      </w:r>
      <w:r>
        <w:t>(in</w:t>
      </w:r>
      <w:r w:rsidR="006C6F09">
        <w:t xml:space="preserve"> </w:t>
      </w:r>
      <w:r>
        <w:t>other</w:t>
      </w:r>
      <w:r w:rsidR="006C6F09">
        <w:t xml:space="preserve"> </w:t>
      </w:r>
      <w:r>
        <w:t>words</w:t>
      </w:r>
      <w:r w:rsidRPr="008D6419">
        <w:t>,</w:t>
      </w:r>
      <w:r w:rsidR="006C6F09">
        <w:t xml:space="preserve"> </w:t>
      </w:r>
      <w:r w:rsidRPr="008D6419">
        <w:t>notice</w:t>
      </w:r>
      <w:r w:rsidR="006C6F09">
        <w:t xml:space="preserve"> </w:t>
      </w:r>
      <w:r w:rsidRPr="008D6419">
        <w:t>and</w:t>
      </w:r>
      <w:r w:rsidR="006C6F09">
        <w:t xml:space="preserve"> </w:t>
      </w:r>
      <w:r w:rsidRPr="008D6419">
        <w:t>opportunity</w:t>
      </w:r>
      <w:r w:rsidR="006C6F09">
        <w:t xml:space="preserve"> </w:t>
      </w:r>
      <w:r w:rsidRPr="008D6419">
        <w:t>to</w:t>
      </w:r>
      <w:r w:rsidR="006C6F09">
        <w:t xml:space="preserve"> </w:t>
      </w:r>
      <w:r w:rsidRPr="008D6419">
        <w:t>comment,</w:t>
      </w:r>
      <w:r w:rsidR="006C6F09">
        <w:t xml:space="preserve"> </w:t>
      </w:r>
      <w:r w:rsidRPr="008D6419">
        <w:t>public</w:t>
      </w:r>
      <w:r w:rsidR="006C6F09">
        <w:t xml:space="preserve"> </w:t>
      </w:r>
      <w:r w:rsidRPr="008D6419">
        <w:t>meeting,</w:t>
      </w:r>
      <w:r w:rsidR="006C6F09">
        <w:t xml:space="preserve"> </w:t>
      </w:r>
      <w:r w:rsidRPr="008D6419">
        <w:t>opportunity</w:t>
      </w:r>
      <w:r w:rsidR="006C6F09">
        <w:t xml:space="preserve"> </w:t>
      </w:r>
      <w:r w:rsidRPr="008D6419">
        <w:t>for</w:t>
      </w:r>
      <w:r w:rsidR="006C6F09">
        <w:t xml:space="preserve"> </w:t>
      </w:r>
      <w:r w:rsidRPr="008D6419">
        <w:t>public</w:t>
      </w:r>
      <w:r w:rsidR="006C6F09">
        <w:t xml:space="preserve"> </w:t>
      </w:r>
      <w:r w:rsidRPr="008D6419">
        <w:t>hearing,</w:t>
      </w:r>
      <w:r w:rsidR="006C6F09">
        <w:t xml:space="preserve"> </w:t>
      </w:r>
      <w:r w:rsidRPr="008D6419">
        <w:t>or</w:t>
      </w:r>
      <w:r w:rsidR="006C6F09">
        <w:t xml:space="preserve"> </w:t>
      </w:r>
      <w:r w:rsidRPr="008D6419">
        <w:t>public</w:t>
      </w:r>
      <w:r w:rsidR="006C6F09">
        <w:t xml:space="preserve"> </w:t>
      </w:r>
      <w:r w:rsidRPr="008D6419">
        <w:t>hearing),</w:t>
      </w:r>
      <w:r w:rsidR="006C6F09">
        <w:t xml:space="preserve"> </w:t>
      </w:r>
      <w:r w:rsidRPr="008D6419">
        <w:t>or</w:t>
      </w:r>
      <w:r w:rsidR="006C6F09">
        <w:t xml:space="preserve"> </w:t>
      </w:r>
      <w:r w:rsidRPr="008D6419">
        <w:t>not</w:t>
      </w:r>
      <w:r w:rsidR="006C6F09">
        <w:t xml:space="preserve"> </w:t>
      </w:r>
      <w:r w:rsidRPr="008D6419">
        <w:t>in</w:t>
      </w:r>
      <w:r w:rsidR="006C6F09">
        <w:t xml:space="preserve"> </w:t>
      </w:r>
      <w:r w:rsidRPr="008D6419">
        <w:t>connection</w:t>
      </w:r>
      <w:r w:rsidR="006C6F09">
        <w:t xml:space="preserve"> </w:t>
      </w:r>
      <w:r w:rsidRPr="008D6419">
        <w:t>with</w:t>
      </w:r>
      <w:r w:rsidR="006C6F09">
        <w:t xml:space="preserve"> </w:t>
      </w:r>
      <w:r w:rsidRPr="008D6419">
        <w:t>such</w:t>
      </w:r>
      <w:r w:rsidR="006C6F09">
        <w:t xml:space="preserve"> </w:t>
      </w:r>
      <w:r w:rsidRPr="008D6419">
        <w:t>an</w:t>
      </w:r>
      <w:r w:rsidR="006C6F09">
        <w:t xml:space="preserve"> </w:t>
      </w:r>
      <w:r w:rsidRPr="008D6419">
        <w:t>event.</w:t>
      </w:r>
    </w:p>
    <w:p w14:paraId="1E613AF9" w14:textId="22D577F1" w:rsidR="00457754" w:rsidRDefault="00457754" w:rsidP="00457754">
      <w:r>
        <w:t>If</w:t>
      </w:r>
      <w:r w:rsidR="006C6F09">
        <w:t xml:space="preserve"> </w:t>
      </w:r>
      <w:r>
        <w:t>TxDOT</w:t>
      </w:r>
      <w:r w:rsidR="006C6F09">
        <w:t xml:space="preserve"> </w:t>
      </w:r>
      <w:r>
        <w:t>uses</w:t>
      </w:r>
      <w:r w:rsidR="006C6F09">
        <w:t xml:space="preserve"> </w:t>
      </w:r>
      <w:r>
        <w:t>a</w:t>
      </w:r>
      <w:r w:rsidR="006C6F09">
        <w:t xml:space="preserve"> </w:t>
      </w:r>
      <w:r>
        <w:t>web-based</w:t>
      </w:r>
      <w:r w:rsidR="006C6F09">
        <w:t xml:space="preserve"> </w:t>
      </w:r>
      <w:r>
        <w:t>public</w:t>
      </w:r>
      <w:r w:rsidR="006C6F09">
        <w:t xml:space="preserve"> </w:t>
      </w:r>
      <w:r>
        <w:t>engagement</w:t>
      </w:r>
      <w:r w:rsidR="006C6F09">
        <w:t xml:space="preserve"> </w:t>
      </w:r>
      <w:r>
        <w:t>tool</w:t>
      </w:r>
      <w:r w:rsidR="006C6F09">
        <w:t xml:space="preserve"> </w:t>
      </w:r>
      <w:r>
        <w:t>as</w:t>
      </w:r>
      <w:r w:rsidR="006C6F09">
        <w:t xml:space="preserve"> </w:t>
      </w:r>
      <w:r>
        <w:t>an</w:t>
      </w:r>
      <w:r w:rsidR="006C6F09">
        <w:t xml:space="preserve"> </w:t>
      </w:r>
      <w:r>
        <w:t>alternative</w:t>
      </w:r>
      <w:r w:rsidR="006C6F09">
        <w:t xml:space="preserve"> </w:t>
      </w:r>
      <w:r>
        <w:t>way</w:t>
      </w:r>
      <w:r w:rsidR="006C6F09">
        <w:t xml:space="preserve"> </w:t>
      </w:r>
      <w:r>
        <w:t>of</w:t>
      </w:r>
      <w:r w:rsidR="006C6F09">
        <w:t xml:space="preserve"> </w:t>
      </w:r>
      <w:r>
        <w:t>collecting</w:t>
      </w:r>
      <w:r w:rsidR="006C6F09">
        <w:t xml:space="preserve"> </w:t>
      </w:r>
      <w:r>
        <w:t>public</w:t>
      </w:r>
      <w:r w:rsidR="006C6F09">
        <w:t xml:space="preserve"> </w:t>
      </w:r>
      <w:r>
        <w:t>input</w:t>
      </w:r>
      <w:r w:rsidR="006C6F09">
        <w:t xml:space="preserve"> </w:t>
      </w:r>
      <w:r>
        <w:t>in</w:t>
      </w:r>
      <w:r w:rsidR="006C6F09">
        <w:t xml:space="preserve"> </w:t>
      </w:r>
      <w:r>
        <w:t>connection</w:t>
      </w:r>
      <w:r w:rsidR="006C6F09">
        <w:t xml:space="preserve"> </w:t>
      </w:r>
      <w:r>
        <w:t>with</w:t>
      </w:r>
      <w:r w:rsidR="006C6F09">
        <w:t xml:space="preserve"> </w:t>
      </w:r>
      <w:r>
        <w:t>a</w:t>
      </w:r>
      <w:r w:rsidR="006C6F09">
        <w:t xml:space="preserve"> </w:t>
      </w:r>
      <w:r>
        <w:t>formal</w:t>
      </w:r>
      <w:r w:rsidR="006C6F09">
        <w:t xml:space="preserve"> </w:t>
      </w:r>
      <w:r>
        <w:t>public</w:t>
      </w:r>
      <w:r w:rsidR="006C6F09">
        <w:t xml:space="preserve"> </w:t>
      </w:r>
      <w:r>
        <w:t>involvement</w:t>
      </w:r>
      <w:r w:rsidR="006C6F09">
        <w:t xml:space="preserve"> </w:t>
      </w:r>
      <w:r>
        <w:t>event</w:t>
      </w:r>
      <w:r w:rsidR="006C6F09">
        <w:t xml:space="preserve"> </w:t>
      </w:r>
      <w:r>
        <w:t>(in</w:t>
      </w:r>
      <w:r w:rsidR="006C6F09">
        <w:t xml:space="preserve"> </w:t>
      </w:r>
      <w:r>
        <w:t>other</w:t>
      </w:r>
      <w:r w:rsidR="006C6F09">
        <w:t xml:space="preserve"> </w:t>
      </w:r>
      <w:r>
        <w:t>words,</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public</w:t>
      </w:r>
      <w:r w:rsidR="006C6F09">
        <w:t xml:space="preserve"> </w:t>
      </w:r>
      <w:r>
        <w:t>meeting,</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r>
        <w:t>or</w:t>
      </w:r>
      <w:r w:rsidR="006C6F09">
        <w:t xml:space="preserve"> </w:t>
      </w:r>
      <w:r>
        <w:t>public</w:t>
      </w:r>
      <w:r w:rsidR="006C6F09">
        <w:t xml:space="preserve"> </w:t>
      </w:r>
      <w:r>
        <w:t>hearing),</w:t>
      </w:r>
      <w:r w:rsidR="006C6F09">
        <w:t xml:space="preserve"> </w:t>
      </w:r>
      <w:r>
        <w:t>then</w:t>
      </w:r>
      <w:r w:rsidR="006C6F09">
        <w:t xml:space="preserve"> </w:t>
      </w:r>
      <w:r>
        <w:t>the</w:t>
      </w:r>
      <w:r w:rsidR="006C6F09">
        <w:t xml:space="preserve"> </w:t>
      </w:r>
      <w:r>
        <w:t>comments</w:t>
      </w:r>
      <w:r w:rsidR="006C6F09">
        <w:t xml:space="preserve"> </w:t>
      </w:r>
      <w:r>
        <w:t>that</w:t>
      </w:r>
      <w:r w:rsidR="006C6F09">
        <w:t xml:space="preserve"> </w:t>
      </w:r>
      <w:r>
        <w:t>are</w:t>
      </w:r>
      <w:r w:rsidR="006C6F09">
        <w:t xml:space="preserve"> </w:t>
      </w:r>
      <w:r>
        <w:t>received</w:t>
      </w:r>
      <w:r w:rsidR="006C6F09">
        <w:t xml:space="preserve"> </w:t>
      </w:r>
      <w:r>
        <w:t>via</w:t>
      </w:r>
      <w:r w:rsidR="006C6F09">
        <w:t xml:space="preserve"> </w:t>
      </w:r>
      <w:r>
        <w:t>the</w:t>
      </w:r>
      <w:r w:rsidR="006C6F09">
        <w:t xml:space="preserve"> </w:t>
      </w:r>
      <w:r>
        <w:t>online</w:t>
      </w:r>
      <w:r w:rsidR="006C6F09">
        <w:t xml:space="preserve"> </w:t>
      </w:r>
      <w:r>
        <w:t>tool</w:t>
      </w:r>
      <w:r w:rsidR="006C6F09">
        <w:t xml:space="preserve"> </w:t>
      </w:r>
      <w:r>
        <w:t>by</w:t>
      </w:r>
      <w:r w:rsidR="006C6F09">
        <w:t xml:space="preserve"> </w:t>
      </w:r>
      <w:r>
        <w:t>the</w:t>
      </w:r>
      <w:r w:rsidR="006C6F09">
        <w:t xml:space="preserve"> </w:t>
      </w:r>
      <w:r>
        <w:t>established</w:t>
      </w:r>
      <w:r w:rsidR="006C6F09">
        <w:t xml:space="preserve"> </w:t>
      </w:r>
      <w:r>
        <w:t>comment</w:t>
      </w:r>
      <w:r w:rsidR="006C6F09">
        <w:t xml:space="preserve"> </w:t>
      </w:r>
      <w:r>
        <w:t>period</w:t>
      </w:r>
      <w:r w:rsidR="006C6F09">
        <w:t xml:space="preserve"> </w:t>
      </w:r>
      <w:r>
        <w:t>deadline</w:t>
      </w:r>
      <w:r w:rsidR="006C6F09">
        <w:t xml:space="preserve"> </w:t>
      </w:r>
      <w:r>
        <w:t>must</w:t>
      </w:r>
      <w:r w:rsidR="006C6F09">
        <w:t xml:space="preserve"> </w:t>
      </w:r>
      <w:r>
        <w:t>be</w:t>
      </w:r>
      <w:r w:rsidR="006C6F09">
        <w:t xml:space="preserve"> </w:t>
      </w:r>
      <w:r>
        <w:t>included</w:t>
      </w:r>
      <w:r w:rsidR="006C6F09">
        <w:t xml:space="preserve"> </w:t>
      </w:r>
      <w:r>
        <w:t>with</w:t>
      </w:r>
      <w:r w:rsidR="006C6F09">
        <w:t xml:space="preserve"> </w:t>
      </w:r>
      <w:r>
        <w:t>the</w:t>
      </w:r>
      <w:r w:rsidR="006C6F09">
        <w:t xml:space="preserve"> </w:t>
      </w:r>
      <w:r>
        <w:t>rest</w:t>
      </w:r>
      <w:r w:rsidR="006C6F09">
        <w:t xml:space="preserve"> </w:t>
      </w:r>
      <w:r>
        <w:t>of</w:t>
      </w:r>
      <w:r w:rsidR="006C6F09">
        <w:t xml:space="preserve"> </w:t>
      </w:r>
      <w:r>
        <w:t>the</w:t>
      </w:r>
      <w:r w:rsidR="006C6F09">
        <w:t xml:space="preserve"> </w:t>
      </w:r>
      <w:r>
        <w:t>comments</w:t>
      </w:r>
      <w:r w:rsidR="006C6F09">
        <w:t xml:space="preserve"> </w:t>
      </w:r>
      <w:r>
        <w:t>received</w:t>
      </w:r>
      <w:r w:rsidR="006C6F09">
        <w:t xml:space="preserve"> </w:t>
      </w:r>
      <w:r>
        <w:t>in</w:t>
      </w:r>
      <w:r w:rsidR="006C6F09">
        <w:t xml:space="preserve"> </w:t>
      </w:r>
      <w:r>
        <w:t>the</w:t>
      </w:r>
      <w:r w:rsidR="006C6F09">
        <w:t xml:space="preserve"> </w:t>
      </w:r>
      <w:r>
        <w:t>comment</w:t>
      </w:r>
      <w:r w:rsidR="006C6F09">
        <w:t xml:space="preserve"> </w:t>
      </w:r>
      <w:r>
        <w:t>and</w:t>
      </w:r>
      <w:r w:rsidR="006C6F09">
        <w:t xml:space="preserve"> </w:t>
      </w:r>
      <w:r>
        <w:t>response</w:t>
      </w:r>
      <w:r w:rsidR="006C6F09">
        <w:t xml:space="preserve"> </w:t>
      </w:r>
      <w:r>
        <w:t>matrix</w:t>
      </w:r>
      <w:r w:rsidR="006C6F09">
        <w:t xml:space="preserve"> </w:t>
      </w:r>
      <w:r>
        <w:t>for</w:t>
      </w:r>
      <w:r w:rsidR="006C6F09">
        <w:t xml:space="preserve"> </w:t>
      </w:r>
      <w:r>
        <w:t>the</w:t>
      </w:r>
      <w:r w:rsidR="006C6F09">
        <w:t xml:space="preserve"> </w:t>
      </w:r>
      <w:r>
        <w:t>formal</w:t>
      </w:r>
      <w:r w:rsidR="006C6F09">
        <w:t xml:space="preserve"> </w:t>
      </w:r>
      <w:r>
        <w:t>public</w:t>
      </w:r>
      <w:r w:rsidR="006C6F09">
        <w:t xml:space="preserve"> </w:t>
      </w:r>
      <w:r>
        <w:t>involvement</w:t>
      </w:r>
      <w:r w:rsidR="006C6F09">
        <w:t xml:space="preserve"> </w:t>
      </w:r>
      <w:r>
        <w:t>event.</w:t>
      </w:r>
      <w:r w:rsidR="006C6F09">
        <w:t xml:space="preserve"> </w:t>
      </w:r>
    </w:p>
    <w:p w14:paraId="13201975" w14:textId="2437E05B" w:rsidR="00457754" w:rsidRDefault="00457754" w:rsidP="00457754">
      <w:r>
        <w:t>If</w:t>
      </w:r>
      <w:r w:rsidR="006C6F09">
        <w:t xml:space="preserve"> </w:t>
      </w:r>
      <w:r>
        <w:t>TxDOT</w:t>
      </w:r>
      <w:r w:rsidR="006C6F09">
        <w:t xml:space="preserve"> </w:t>
      </w:r>
      <w:r>
        <w:t>uses</w:t>
      </w:r>
      <w:r w:rsidR="006C6F09">
        <w:t xml:space="preserve"> </w:t>
      </w:r>
      <w:r>
        <w:t>a</w:t>
      </w:r>
      <w:r w:rsidR="00135456">
        <w:t xml:space="preserve"> </w:t>
      </w:r>
      <w:r>
        <w:t>web-based</w:t>
      </w:r>
      <w:r w:rsidR="006C6F09">
        <w:t xml:space="preserve"> </w:t>
      </w:r>
      <w:r>
        <w:t>public</w:t>
      </w:r>
      <w:r w:rsidR="006C6F09">
        <w:t xml:space="preserve"> </w:t>
      </w:r>
      <w:r>
        <w:t>engagement</w:t>
      </w:r>
      <w:r w:rsidR="006C6F09">
        <w:t xml:space="preserve"> </w:t>
      </w:r>
      <w:r>
        <w:t>tool</w:t>
      </w:r>
      <w:r w:rsidR="006C6F09">
        <w:t xml:space="preserve"> </w:t>
      </w:r>
      <w:r w:rsidRPr="00604138">
        <w:rPr>
          <w:b/>
          <w:bCs/>
        </w:rPr>
        <w:t>not</w:t>
      </w:r>
      <w:r w:rsidR="006C6F09">
        <w:t xml:space="preserve"> </w:t>
      </w:r>
      <w:r>
        <w:t>in</w:t>
      </w:r>
      <w:r w:rsidR="006C6F09">
        <w:t xml:space="preserve"> </w:t>
      </w:r>
      <w:r>
        <w:t>connection</w:t>
      </w:r>
      <w:r w:rsidR="006C6F09">
        <w:t xml:space="preserve"> </w:t>
      </w:r>
      <w:r>
        <w:t>with</w:t>
      </w:r>
      <w:r w:rsidR="006C6F09">
        <w:t xml:space="preserve"> </w:t>
      </w:r>
      <w:r>
        <w:t>one</w:t>
      </w:r>
      <w:r w:rsidR="006C6F09">
        <w:t xml:space="preserve"> </w:t>
      </w:r>
      <w:r>
        <w:t>of</w:t>
      </w:r>
      <w:r w:rsidR="006C6F09">
        <w:t xml:space="preserve"> </w:t>
      </w:r>
      <w:r>
        <w:t>these</w:t>
      </w:r>
      <w:r w:rsidR="006C6F09">
        <w:t xml:space="preserve"> </w:t>
      </w:r>
      <w:r>
        <w:t>formal</w:t>
      </w:r>
      <w:r w:rsidR="006C6F09">
        <w:t xml:space="preserve"> </w:t>
      </w:r>
      <w:r>
        <w:t>public</w:t>
      </w:r>
      <w:r w:rsidR="006C6F09">
        <w:t xml:space="preserve"> </w:t>
      </w:r>
      <w:r>
        <w:t>involvement</w:t>
      </w:r>
      <w:r w:rsidR="006C6F09">
        <w:t xml:space="preserve"> </w:t>
      </w:r>
      <w:r>
        <w:t>events</w:t>
      </w:r>
      <w:r w:rsidR="006C6F09">
        <w:t xml:space="preserve"> </w:t>
      </w:r>
      <w:r>
        <w:t>(in</w:t>
      </w:r>
      <w:r w:rsidR="006C6F09">
        <w:t xml:space="preserve"> </w:t>
      </w:r>
      <w:r>
        <w:t>other</w:t>
      </w:r>
      <w:r w:rsidR="006C6F09">
        <w:t xml:space="preserve"> </w:t>
      </w:r>
      <w:r>
        <w:t>words,</w:t>
      </w:r>
      <w:r w:rsidR="006C6F09">
        <w:t xml:space="preserve"> </w:t>
      </w:r>
      <w:r w:rsidRPr="00604138">
        <w:rPr>
          <w:b/>
          <w:bCs/>
        </w:rPr>
        <w:t>not</w:t>
      </w:r>
      <w:r w:rsidR="006C6F09">
        <w:t xml:space="preserve"> </w:t>
      </w:r>
      <w:r>
        <w:t>during</w:t>
      </w:r>
      <w:r w:rsidR="006C6F09">
        <w:t xml:space="preserve"> </w:t>
      </w:r>
      <w:r>
        <w:t>the</w:t>
      </w:r>
      <w:r w:rsidR="006C6F09">
        <w:t xml:space="preserve"> </w:t>
      </w:r>
      <w:r>
        <w:t>comment</w:t>
      </w:r>
      <w:r w:rsidR="006C6F09">
        <w:t xml:space="preserve"> </w:t>
      </w:r>
      <w:r>
        <w:t>period</w:t>
      </w:r>
      <w:r w:rsidR="006C6F09">
        <w:t xml:space="preserve"> </w:t>
      </w:r>
      <w:r>
        <w:t>for</w:t>
      </w:r>
      <w:r w:rsidR="006C6F09">
        <w:t xml:space="preserve"> </w:t>
      </w:r>
      <w:r>
        <w:t>the</w:t>
      </w:r>
      <w:r w:rsidR="006C6F09">
        <w:t xml:space="preserve"> </w:t>
      </w:r>
      <w:r>
        <w:t>public</w:t>
      </w:r>
      <w:r w:rsidR="006C6F09">
        <w:t xml:space="preserve"> </w:t>
      </w:r>
      <w:r>
        <w:t>meeting</w:t>
      </w:r>
      <w:r w:rsidR="006C6F09">
        <w:t xml:space="preserve"> </w:t>
      </w:r>
      <w:r>
        <w:t>or</w:t>
      </w:r>
      <w:r w:rsidR="006C6F09">
        <w:t xml:space="preserve"> </w:t>
      </w:r>
      <w:r>
        <w:t>hearing),</w:t>
      </w:r>
      <w:r w:rsidR="006C6F09">
        <w:t xml:space="preserve"> </w:t>
      </w:r>
      <w:r>
        <w:t>but</w:t>
      </w:r>
      <w:r w:rsidR="006C6F09">
        <w:t xml:space="preserve"> </w:t>
      </w:r>
      <w:r>
        <w:t>as</w:t>
      </w:r>
      <w:r w:rsidR="006C6F09">
        <w:t xml:space="preserve"> </w:t>
      </w:r>
      <w:r>
        <w:t>a</w:t>
      </w:r>
      <w:r w:rsidR="006C6F09">
        <w:t xml:space="preserve"> </w:t>
      </w:r>
      <w:r>
        <w:t>standalone,</w:t>
      </w:r>
      <w:r w:rsidR="006C6F09">
        <w:t xml:space="preserve"> </w:t>
      </w:r>
      <w:r>
        <w:t>voluntary,</w:t>
      </w:r>
      <w:r w:rsidR="006C6F09">
        <w:t xml:space="preserve"> </w:t>
      </w:r>
      <w:r>
        <w:t>informal</w:t>
      </w:r>
      <w:r w:rsidR="006C6F09">
        <w:t xml:space="preserve"> </w:t>
      </w:r>
      <w:r>
        <w:t>form</w:t>
      </w:r>
      <w:r w:rsidR="006C6F09">
        <w:t xml:space="preserve"> </w:t>
      </w:r>
      <w:r>
        <w:t>of</w:t>
      </w:r>
      <w:r w:rsidR="006C6F09">
        <w:t xml:space="preserve"> </w:t>
      </w:r>
      <w:r>
        <w:t>public</w:t>
      </w:r>
      <w:r w:rsidR="006C6F09">
        <w:t xml:space="preserve"> </w:t>
      </w:r>
      <w:r>
        <w:t>outreach,</w:t>
      </w:r>
      <w:r w:rsidR="006C6F09">
        <w:t xml:space="preserve"> </w:t>
      </w:r>
      <w:r>
        <w:t>then</w:t>
      </w:r>
      <w:r w:rsidR="006C6F09">
        <w:t xml:space="preserve"> </w:t>
      </w:r>
      <w:r>
        <w:t>this</w:t>
      </w:r>
      <w:r w:rsidR="006C6F09">
        <w:t xml:space="preserve"> </w:t>
      </w:r>
      <w:r>
        <w:t>counts</w:t>
      </w:r>
      <w:r w:rsidR="006C6F09">
        <w:t xml:space="preserve"> </w:t>
      </w:r>
      <w:r>
        <w:t>as</w:t>
      </w:r>
      <w:r w:rsidR="006C6F09">
        <w:t xml:space="preserve"> </w:t>
      </w:r>
      <w:r>
        <w:t>“additional</w:t>
      </w:r>
      <w:r w:rsidR="006C6F09">
        <w:t xml:space="preserve"> </w:t>
      </w:r>
      <w:r>
        <w:t>public</w:t>
      </w:r>
      <w:r w:rsidR="006C6F09">
        <w:t xml:space="preserve"> </w:t>
      </w:r>
      <w:r>
        <w:t>outreach”</w:t>
      </w:r>
      <w:r w:rsidR="006C6F09">
        <w:t xml:space="preserve"> </w:t>
      </w:r>
      <w:r>
        <w:t>(see</w:t>
      </w:r>
      <w:r w:rsidR="006C6F09">
        <w:t xml:space="preserve"> </w:t>
      </w:r>
      <w:r w:rsidRPr="00263E76">
        <w:rPr>
          <w:u w:val="single"/>
        </w:rPr>
        <w:fldChar w:fldCharType="begin"/>
      </w:r>
      <w:r w:rsidRPr="00263E76">
        <w:rPr>
          <w:u w:val="single"/>
        </w:rPr>
        <w:instrText xml:space="preserve"> REF _Ref219789402 \h  \* MERGEFORMAT </w:instrText>
      </w:r>
      <w:r w:rsidRPr="00263E76">
        <w:rPr>
          <w:u w:val="single"/>
        </w:rPr>
      </w:r>
      <w:r w:rsidRPr="00263E76">
        <w:rPr>
          <w:u w:val="single"/>
        </w:rPr>
        <w:fldChar w:fldCharType="separate"/>
      </w:r>
      <w:r w:rsidRPr="00263E76">
        <w:rPr>
          <w:color w:val="0056A9"/>
          <w:u w:val="single"/>
        </w:rPr>
        <w:t>2.1</w:t>
      </w:r>
      <w:r w:rsidRPr="00263E76">
        <w:rPr>
          <w:u w:val="single"/>
        </w:rPr>
        <w:fldChar w:fldCharType="end"/>
      </w:r>
      <w:r w:rsidR="006C6F09">
        <w:t xml:space="preserve"> </w:t>
      </w:r>
      <w:r>
        <w:t>above),</w:t>
      </w:r>
      <w:r w:rsidR="006C6F09">
        <w:t xml:space="preserve"> </w:t>
      </w:r>
      <w:r>
        <w:t>and</w:t>
      </w:r>
      <w:r w:rsidR="006C6F09">
        <w:t xml:space="preserve"> </w:t>
      </w:r>
      <w:r>
        <w:t>the</w:t>
      </w:r>
      <w:r w:rsidR="006C6F09">
        <w:t xml:space="preserve"> </w:t>
      </w:r>
      <w:r>
        <w:t>district</w:t>
      </w:r>
      <w:r w:rsidR="006C6F09">
        <w:t xml:space="preserve"> </w:t>
      </w:r>
      <w:r>
        <w:t>can</w:t>
      </w:r>
      <w:r w:rsidR="006C6F09">
        <w:t xml:space="preserve"> </w:t>
      </w:r>
      <w:r>
        <w:t>document</w:t>
      </w:r>
      <w:r w:rsidR="006C6F09">
        <w:t xml:space="preserve"> </w:t>
      </w:r>
      <w:r>
        <w:t>that</w:t>
      </w:r>
      <w:r w:rsidR="006C6F09">
        <w:t xml:space="preserve"> </w:t>
      </w:r>
      <w:r>
        <w:t>outreach</w:t>
      </w:r>
      <w:r w:rsidR="006C6F09">
        <w:t xml:space="preserve"> </w:t>
      </w:r>
      <w:r>
        <w:t>however</w:t>
      </w:r>
      <w:r w:rsidR="006C6F09">
        <w:t xml:space="preserve"> </w:t>
      </w:r>
      <w:r>
        <w:t>they</w:t>
      </w:r>
      <w:r w:rsidR="006C6F09">
        <w:t xml:space="preserve"> </w:t>
      </w:r>
      <w:r>
        <w:t>like</w:t>
      </w:r>
      <w:r w:rsidR="006C6F09">
        <w:t xml:space="preserve"> </w:t>
      </w:r>
      <w:r>
        <w:t>(in</w:t>
      </w:r>
      <w:r w:rsidR="006C6F09">
        <w:t xml:space="preserve"> </w:t>
      </w:r>
      <w:r>
        <w:t>other</w:t>
      </w:r>
      <w:r w:rsidR="006C6F09">
        <w:t xml:space="preserve"> </w:t>
      </w:r>
      <w:r>
        <w:t>words,</w:t>
      </w:r>
      <w:r w:rsidR="006C6F09">
        <w:t xml:space="preserve"> </w:t>
      </w:r>
      <w:r>
        <w:t>comment</w:t>
      </w:r>
      <w:r w:rsidR="006C6F09">
        <w:t xml:space="preserve"> </w:t>
      </w:r>
      <w:r>
        <w:t>and</w:t>
      </w:r>
      <w:r w:rsidR="006C6F09">
        <w:t xml:space="preserve"> </w:t>
      </w:r>
      <w:r>
        <w:t>response</w:t>
      </w:r>
      <w:r w:rsidR="006C6F09">
        <w:t xml:space="preserve"> </w:t>
      </w:r>
      <w:r>
        <w:t>matrix</w:t>
      </w:r>
      <w:r w:rsidR="006C6F09">
        <w:t xml:space="preserve"> </w:t>
      </w:r>
      <w:r>
        <w:t>or</w:t>
      </w:r>
      <w:r w:rsidR="006C6F09">
        <w:t xml:space="preserve"> </w:t>
      </w:r>
      <w:r>
        <w:t>no</w:t>
      </w:r>
      <w:r w:rsidR="006C6F09">
        <w:t xml:space="preserve"> </w:t>
      </w:r>
      <w:r>
        <w:t>comment</w:t>
      </w:r>
      <w:r w:rsidR="006C6F09">
        <w:t xml:space="preserve"> </w:t>
      </w:r>
      <w:r>
        <w:t>and</w:t>
      </w:r>
      <w:r w:rsidR="006C6F09">
        <w:t xml:space="preserve"> </w:t>
      </w:r>
      <w:r>
        <w:t>response</w:t>
      </w:r>
      <w:r w:rsidR="006C6F09">
        <w:t xml:space="preserve"> </w:t>
      </w:r>
      <w:r>
        <w:t>matrix).</w:t>
      </w:r>
    </w:p>
    <w:p w14:paraId="517D5D6B" w14:textId="3E9983A2" w:rsidR="00457754" w:rsidRPr="00D903F0" w:rsidRDefault="00457754" w:rsidP="00457754">
      <w:pPr>
        <w:pStyle w:val="Heading2"/>
      </w:pPr>
      <w:bookmarkStart w:id="22" w:name="_Ref219789859"/>
      <w:bookmarkStart w:id="23" w:name="_Ref219789926"/>
      <w:bookmarkStart w:id="24" w:name="_Hlk216846452"/>
      <w:bookmarkStart w:id="25" w:name="_Toc224026200"/>
      <w:r w:rsidRPr="00D903F0">
        <w:t>3.0</w:t>
      </w:r>
      <w:r w:rsidR="006C6F09">
        <w:t xml:space="preserve"> </w:t>
      </w:r>
      <w:r>
        <w:t>N</w:t>
      </w:r>
      <w:r w:rsidRPr="00D903F0">
        <w:t>otice</w:t>
      </w:r>
      <w:r w:rsidR="006C6F09">
        <w:t xml:space="preserve"> </w:t>
      </w:r>
      <w:r w:rsidRPr="00D903F0">
        <w:t>and</w:t>
      </w:r>
      <w:r w:rsidR="006C6F09">
        <w:t xml:space="preserve"> </w:t>
      </w:r>
      <w:r w:rsidRPr="00D903F0">
        <w:t>Opportunity</w:t>
      </w:r>
      <w:r w:rsidR="006C6F09">
        <w:t xml:space="preserve"> </w:t>
      </w:r>
      <w:r w:rsidRPr="00D903F0">
        <w:t>to</w:t>
      </w:r>
      <w:r w:rsidR="006C6F09">
        <w:t xml:space="preserve"> </w:t>
      </w:r>
      <w:r w:rsidRPr="00D903F0">
        <w:t>Comment</w:t>
      </w:r>
      <w:bookmarkEnd w:id="22"/>
      <w:bookmarkEnd w:id="23"/>
      <w:bookmarkEnd w:id="25"/>
      <w:r w:rsidR="006C6F09">
        <w:t xml:space="preserve"> </w:t>
      </w:r>
    </w:p>
    <w:bookmarkEnd w:id="24"/>
    <w:p w14:paraId="5175A963" w14:textId="397B07F5" w:rsidR="00457754" w:rsidRDefault="00457754" w:rsidP="00457754">
      <w:r w:rsidRPr="009D738D">
        <w:t>A</w:t>
      </w:r>
      <w:r w:rsidR="006C6F09">
        <w:t xml:space="preserve"> </w:t>
      </w:r>
      <w:r w:rsidRPr="009D738D">
        <w:t>notice</w:t>
      </w:r>
      <w:r w:rsidR="006C6F09">
        <w:t xml:space="preserve"> </w:t>
      </w:r>
      <w:r w:rsidRPr="009D738D">
        <w:t>and</w:t>
      </w:r>
      <w:r w:rsidR="006C6F09">
        <w:t xml:space="preserve"> </w:t>
      </w:r>
      <w:r w:rsidRPr="009D738D">
        <w:t>opportunity</w:t>
      </w:r>
      <w:r w:rsidR="006C6F09">
        <w:t xml:space="preserve"> </w:t>
      </w:r>
      <w:r w:rsidRPr="009D738D">
        <w:t>to</w:t>
      </w:r>
      <w:r w:rsidR="006C6F09">
        <w:t xml:space="preserve"> </w:t>
      </w:r>
      <w:r w:rsidRPr="009D738D">
        <w:t>comment</w:t>
      </w:r>
      <w:r w:rsidR="006C6F09">
        <w:t xml:space="preserve"> </w:t>
      </w:r>
      <w:r w:rsidRPr="009D738D">
        <w:t>is</w:t>
      </w:r>
      <w:r w:rsidR="006C6F09">
        <w:t xml:space="preserve"> </w:t>
      </w:r>
      <w:r w:rsidRPr="009D738D">
        <w:t>mailed</w:t>
      </w:r>
      <w:r w:rsidR="006C6F09">
        <w:t xml:space="preserve"> </w:t>
      </w:r>
      <w:r w:rsidRPr="009D738D">
        <w:t>or</w:t>
      </w:r>
      <w:r w:rsidR="006C6F09">
        <w:t xml:space="preserve"> </w:t>
      </w:r>
      <w:r w:rsidRPr="009D738D">
        <w:t>emailed</w:t>
      </w:r>
      <w:r w:rsidR="006C6F09">
        <w:t xml:space="preserve"> </w:t>
      </w:r>
      <w:r w:rsidRPr="009D738D">
        <w:t>directly</w:t>
      </w:r>
      <w:r w:rsidR="006C6F09">
        <w:t xml:space="preserve"> </w:t>
      </w:r>
      <w:r w:rsidRPr="009D738D">
        <w:t>to</w:t>
      </w:r>
      <w:r w:rsidR="006C6F09">
        <w:t xml:space="preserve"> </w:t>
      </w:r>
      <w:r w:rsidRPr="009D738D">
        <w:t>the</w:t>
      </w:r>
      <w:r w:rsidR="006C6F09">
        <w:t xml:space="preserve"> </w:t>
      </w:r>
      <w:r w:rsidRPr="009D738D">
        <w:t>required</w:t>
      </w:r>
      <w:r w:rsidR="006C6F09">
        <w:t xml:space="preserve"> </w:t>
      </w:r>
      <w:r w:rsidRPr="009D738D">
        <w:t>recipients</w:t>
      </w:r>
      <w:r w:rsidR="006C6F09">
        <w:t xml:space="preserve"> </w:t>
      </w:r>
      <w:r w:rsidRPr="009D738D">
        <w:t>(see</w:t>
      </w:r>
      <w:r w:rsidR="006C6F09">
        <w:t xml:space="preserve"> </w:t>
      </w:r>
      <w:r w:rsidRPr="00263E76">
        <w:rPr>
          <w:u w:val="single"/>
        </w:rPr>
        <w:fldChar w:fldCharType="begin"/>
      </w:r>
      <w:r w:rsidRPr="00263E76">
        <w:rPr>
          <w:u w:val="single"/>
        </w:rPr>
        <w:instrText xml:space="preserve"> REF _Ref219789464 \h  \* MERGEFORMAT </w:instrText>
      </w:r>
      <w:r w:rsidRPr="00263E76">
        <w:rPr>
          <w:u w:val="single"/>
        </w:rPr>
      </w:r>
      <w:r w:rsidRPr="00263E76">
        <w:rPr>
          <w:u w:val="single"/>
        </w:rPr>
        <w:fldChar w:fldCharType="separate"/>
      </w:r>
      <w:r w:rsidRPr="00263E76">
        <w:rPr>
          <w:color w:val="0056A9"/>
          <w:u w:val="single"/>
        </w:rPr>
        <w:t>3.3</w:t>
      </w:r>
      <w:r w:rsidRPr="00263E76">
        <w:rPr>
          <w:u w:val="single"/>
        </w:rPr>
        <w:fldChar w:fldCharType="end"/>
      </w:r>
      <w:r w:rsidR="006C6F09">
        <w:t xml:space="preserve"> </w:t>
      </w:r>
      <w:r w:rsidRPr="009D738D">
        <w:t>below).</w:t>
      </w:r>
      <w:r w:rsidR="006C6F09">
        <w:t xml:space="preserve"> </w:t>
      </w:r>
      <w:r w:rsidRPr="009D738D">
        <w:t>It</w:t>
      </w:r>
      <w:r w:rsidR="006C6F09">
        <w:t xml:space="preserve"> </w:t>
      </w:r>
      <w:r w:rsidRPr="009D738D">
        <w:t>is</w:t>
      </w:r>
      <w:r w:rsidR="006C6F09">
        <w:t xml:space="preserve"> </w:t>
      </w:r>
      <w:r w:rsidRPr="009D738D">
        <w:t>not</w:t>
      </w:r>
      <w:r w:rsidR="006C6F09">
        <w:t xml:space="preserve"> </w:t>
      </w:r>
      <w:r w:rsidRPr="009D738D">
        <w:t>publicly</w:t>
      </w:r>
      <w:r w:rsidR="006C6F09">
        <w:t xml:space="preserve"> </w:t>
      </w:r>
      <w:r w:rsidRPr="009D738D">
        <w:t>noticed</w:t>
      </w:r>
      <w:r w:rsidR="006C6F09">
        <w:t xml:space="preserve"> </w:t>
      </w:r>
      <w:r w:rsidRPr="009D738D">
        <w:t>like</w:t>
      </w:r>
      <w:r w:rsidR="006C6F09">
        <w:t xml:space="preserve"> </w:t>
      </w:r>
      <w:r w:rsidRPr="009D738D">
        <w:t>a</w:t>
      </w:r>
      <w:r w:rsidR="006C6F09">
        <w:t xml:space="preserve"> </w:t>
      </w:r>
      <w:r w:rsidRPr="009D738D">
        <w:t>public</w:t>
      </w:r>
      <w:r w:rsidR="006C6F09">
        <w:t xml:space="preserve"> </w:t>
      </w:r>
      <w:r w:rsidRPr="009D738D">
        <w:lastRenderedPageBreak/>
        <w:t>meeting,</w:t>
      </w:r>
      <w:r w:rsidR="006C6F09">
        <w:t xml:space="preserve"> </w:t>
      </w:r>
      <w:r w:rsidRPr="009D738D">
        <w:t>opportunity</w:t>
      </w:r>
      <w:r w:rsidR="006C6F09">
        <w:t xml:space="preserve"> </w:t>
      </w:r>
      <w:r w:rsidRPr="009D738D">
        <w:t>for</w:t>
      </w:r>
      <w:r w:rsidR="006C6F09">
        <w:t xml:space="preserve"> </w:t>
      </w:r>
      <w:r w:rsidRPr="009D738D">
        <w:t>public</w:t>
      </w:r>
      <w:r w:rsidR="006C6F09">
        <w:t xml:space="preserve"> </w:t>
      </w:r>
      <w:r w:rsidRPr="009D738D">
        <w:t>hearing,</w:t>
      </w:r>
      <w:r w:rsidR="006C6F09">
        <w:t xml:space="preserve"> </w:t>
      </w:r>
      <w:r w:rsidRPr="009D738D">
        <w:t>or</w:t>
      </w:r>
      <w:r w:rsidR="006C6F09">
        <w:t xml:space="preserve"> </w:t>
      </w:r>
      <w:r w:rsidRPr="009D738D">
        <w:t>public</w:t>
      </w:r>
      <w:r w:rsidR="006C6F09">
        <w:t xml:space="preserve"> </w:t>
      </w:r>
      <w:r w:rsidRPr="009D738D">
        <w:t>hearing.</w:t>
      </w:r>
      <w:r w:rsidR="006C6F09">
        <w:t xml:space="preserve"> </w:t>
      </w:r>
      <w:r w:rsidRPr="009D738D">
        <w:t>The</w:t>
      </w:r>
      <w:r w:rsidR="006C6F09">
        <w:t xml:space="preserve"> </w:t>
      </w:r>
      <w:r w:rsidRPr="009D738D">
        <w:t>purpose</w:t>
      </w:r>
      <w:r w:rsidR="006C6F09">
        <w:t xml:space="preserve"> </w:t>
      </w:r>
      <w:r w:rsidRPr="009D738D">
        <w:t>of</w:t>
      </w:r>
      <w:r w:rsidR="006C6F09">
        <w:t xml:space="preserve"> </w:t>
      </w:r>
      <w:r w:rsidRPr="009D738D">
        <w:t>a</w:t>
      </w:r>
      <w:r w:rsidR="006C6F09">
        <w:t xml:space="preserve"> </w:t>
      </w:r>
      <w:r w:rsidRPr="009D738D">
        <w:t>notice</w:t>
      </w:r>
      <w:r w:rsidR="006C6F09">
        <w:t xml:space="preserve"> </w:t>
      </w:r>
      <w:r w:rsidRPr="009D738D">
        <w:t>and</w:t>
      </w:r>
      <w:r w:rsidR="006C6F09">
        <w:t xml:space="preserve"> </w:t>
      </w:r>
      <w:r w:rsidRPr="009D738D">
        <w:t>opportunity</w:t>
      </w:r>
      <w:r w:rsidR="006C6F09">
        <w:t xml:space="preserve"> </w:t>
      </w:r>
      <w:r w:rsidRPr="009D738D">
        <w:t>to</w:t>
      </w:r>
      <w:r w:rsidR="006C6F09">
        <w:t xml:space="preserve"> </w:t>
      </w:r>
      <w:r w:rsidRPr="009D738D">
        <w:t>comment</w:t>
      </w:r>
      <w:r w:rsidR="006C6F09">
        <w:t xml:space="preserve"> </w:t>
      </w:r>
      <w:r w:rsidRPr="009D738D">
        <w:t>is</w:t>
      </w:r>
      <w:r w:rsidR="006C6F09">
        <w:t xml:space="preserve"> </w:t>
      </w:r>
      <w:r w:rsidRPr="009D738D">
        <w:t>to</w:t>
      </w:r>
      <w:r w:rsidR="006C6F09">
        <w:t xml:space="preserve"> </w:t>
      </w:r>
      <w:r w:rsidRPr="009D738D">
        <w:t>inform</w:t>
      </w:r>
      <w:r w:rsidR="006C6F09">
        <w:t xml:space="preserve"> </w:t>
      </w:r>
      <w:r w:rsidRPr="009D738D">
        <w:t>real</w:t>
      </w:r>
      <w:r w:rsidR="006C6F09">
        <w:t xml:space="preserve"> </w:t>
      </w:r>
      <w:r w:rsidRPr="009D738D">
        <w:t>property</w:t>
      </w:r>
      <w:r w:rsidR="006C6F09">
        <w:t xml:space="preserve"> </w:t>
      </w:r>
      <w:r w:rsidRPr="009D738D">
        <w:t>owners</w:t>
      </w:r>
      <w:r w:rsidR="006C6F09">
        <w:t xml:space="preserve"> </w:t>
      </w:r>
      <w:r w:rsidRPr="009D738D">
        <w:t>and</w:t>
      </w:r>
      <w:r w:rsidR="006C6F09">
        <w:t xml:space="preserve"> </w:t>
      </w:r>
      <w:r w:rsidRPr="009D738D">
        <w:t>affected</w:t>
      </w:r>
      <w:r w:rsidR="006C6F09">
        <w:t xml:space="preserve"> </w:t>
      </w:r>
      <w:r w:rsidRPr="009D738D">
        <w:t>local</w:t>
      </w:r>
      <w:r w:rsidR="006C6F09">
        <w:t xml:space="preserve"> </w:t>
      </w:r>
      <w:r w:rsidRPr="009D738D">
        <w:t>governments</w:t>
      </w:r>
      <w:r w:rsidR="006C6F09">
        <w:t xml:space="preserve"> </w:t>
      </w:r>
      <w:r w:rsidRPr="009D738D">
        <w:t>and</w:t>
      </w:r>
      <w:r w:rsidR="006C6F09">
        <w:t xml:space="preserve"> </w:t>
      </w:r>
      <w:r w:rsidRPr="009D738D">
        <w:t>public</w:t>
      </w:r>
      <w:r w:rsidR="006C6F09">
        <w:t xml:space="preserve"> </w:t>
      </w:r>
      <w:r w:rsidRPr="009D738D">
        <w:t>officials</w:t>
      </w:r>
      <w:r w:rsidR="006C6F09">
        <w:t xml:space="preserve"> </w:t>
      </w:r>
      <w:r w:rsidRPr="009D738D">
        <w:t>of</w:t>
      </w:r>
      <w:r w:rsidR="006C6F09">
        <w:t xml:space="preserve"> </w:t>
      </w:r>
      <w:r w:rsidRPr="009D738D">
        <w:t>the</w:t>
      </w:r>
      <w:r w:rsidR="006C6F09">
        <w:t xml:space="preserve"> </w:t>
      </w:r>
      <w:r w:rsidRPr="009D738D">
        <w:t>project</w:t>
      </w:r>
      <w:r w:rsidR="006C6F09">
        <w:t xml:space="preserve"> </w:t>
      </w:r>
      <w:r w:rsidRPr="009D738D">
        <w:t>and</w:t>
      </w:r>
      <w:r w:rsidR="006C6F09">
        <w:t xml:space="preserve"> </w:t>
      </w:r>
      <w:r w:rsidRPr="009D738D">
        <w:t>allow</w:t>
      </w:r>
      <w:r w:rsidR="006C6F09">
        <w:t xml:space="preserve"> </w:t>
      </w:r>
      <w:r w:rsidRPr="009D738D">
        <w:t>them</w:t>
      </w:r>
      <w:r w:rsidR="006C6F09">
        <w:t xml:space="preserve"> </w:t>
      </w:r>
      <w:r w:rsidRPr="009D738D">
        <w:t>an</w:t>
      </w:r>
      <w:r w:rsidR="006C6F09">
        <w:t xml:space="preserve"> </w:t>
      </w:r>
      <w:r w:rsidRPr="009D738D">
        <w:t>opportunity</w:t>
      </w:r>
      <w:r w:rsidR="006C6F09">
        <w:t xml:space="preserve"> </w:t>
      </w:r>
      <w:r w:rsidRPr="009D738D">
        <w:t>to</w:t>
      </w:r>
      <w:r w:rsidR="006C6F09">
        <w:t xml:space="preserve"> </w:t>
      </w:r>
      <w:r w:rsidRPr="009D738D">
        <w:t>submit</w:t>
      </w:r>
      <w:r w:rsidR="006C6F09">
        <w:t xml:space="preserve"> </w:t>
      </w:r>
      <w:r w:rsidRPr="009D738D">
        <w:t>comments</w:t>
      </w:r>
      <w:r w:rsidR="006C6F09">
        <w:t xml:space="preserve"> </w:t>
      </w:r>
      <w:r w:rsidRPr="009D738D">
        <w:t>prior</w:t>
      </w:r>
      <w:r w:rsidR="006C6F09">
        <w:t xml:space="preserve"> </w:t>
      </w:r>
      <w:r w:rsidRPr="009D738D">
        <w:t>to</w:t>
      </w:r>
      <w:r w:rsidR="006C6F09">
        <w:t xml:space="preserve"> </w:t>
      </w:r>
      <w:r w:rsidRPr="009D738D">
        <w:t>the</w:t>
      </w:r>
      <w:r w:rsidR="006C6F09">
        <w:t xml:space="preserve"> </w:t>
      </w:r>
      <w:r w:rsidRPr="009D738D">
        <w:t>environmental</w:t>
      </w:r>
      <w:r w:rsidR="006C6F09">
        <w:t xml:space="preserve"> </w:t>
      </w:r>
      <w:r w:rsidRPr="009D738D">
        <w:t>decision</w:t>
      </w:r>
      <w:r w:rsidR="006C6F09">
        <w:t xml:space="preserve"> </w:t>
      </w:r>
      <w:r w:rsidRPr="009D738D">
        <w:t>on</w:t>
      </w:r>
      <w:r w:rsidR="006C6F09">
        <w:t xml:space="preserve"> </w:t>
      </w:r>
      <w:r w:rsidRPr="009D738D">
        <w:t>the</w:t>
      </w:r>
      <w:r w:rsidR="006C6F09">
        <w:t xml:space="preserve"> </w:t>
      </w:r>
      <w:r w:rsidRPr="009D738D">
        <w:t>project</w:t>
      </w:r>
      <w:r w:rsidR="006C6F09">
        <w:t xml:space="preserve"> </w:t>
      </w:r>
      <w:r w:rsidRPr="009D738D">
        <w:t>(</w:t>
      </w:r>
      <w:r w:rsidRPr="0032400B">
        <w:t>43</w:t>
      </w:r>
      <w:r w:rsidR="006C6F09">
        <w:t xml:space="preserve"> </w:t>
      </w:r>
      <w:r w:rsidRPr="0032400B">
        <w:t>TAC</w:t>
      </w:r>
      <w:r w:rsidR="006C6F09">
        <w:t xml:space="preserve"> </w:t>
      </w:r>
      <w:r w:rsidRPr="0032400B">
        <w:t>2.104</w:t>
      </w:r>
      <w:r w:rsidRPr="00263E76">
        <w:rPr>
          <w:i/>
          <w:iCs/>
        </w:rPr>
        <w:t>)</w:t>
      </w:r>
      <w:r w:rsidRPr="009D738D">
        <w:t>.</w:t>
      </w:r>
    </w:p>
    <w:p w14:paraId="29F01ACD" w14:textId="003562DA" w:rsidR="00457754" w:rsidRPr="00D903F0" w:rsidRDefault="00457754" w:rsidP="00457754">
      <w:pPr>
        <w:pStyle w:val="Heading3"/>
      </w:pPr>
      <w:bookmarkStart w:id="26" w:name="_Ref219789603"/>
      <w:bookmarkStart w:id="27" w:name="_Ref219791827"/>
      <w:bookmarkStart w:id="28" w:name="_Ref219792119"/>
      <w:bookmarkStart w:id="29" w:name="_Toc224026201"/>
      <w:r w:rsidRPr="00B23AD6">
        <w:t>3.1</w:t>
      </w:r>
      <w:r w:rsidR="006C6F09" w:rsidRPr="00B23AD6">
        <w:t xml:space="preserve"> </w:t>
      </w:r>
      <w:r w:rsidRPr="00B23AD6">
        <w:t>Situations</w:t>
      </w:r>
      <w:r w:rsidR="006C6F09" w:rsidRPr="00B23AD6">
        <w:t xml:space="preserve"> </w:t>
      </w:r>
      <w:r w:rsidRPr="00B23AD6">
        <w:t>Requiring</w:t>
      </w:r>
      <w:r w:rsidR="006C6F09" w:rsidRPr="00B23AD6">
        <w:t xml:space="preserve"> </w:t>
      </w:r>
      <w:r w:rsidRPr="00B23AD6">
        <w:t>a</w:t>
      </w:r>
      <w:r w:rsidR="006C6F09" w:rsidRPr="00B23AD6">
        <w:t xml:space="preserve"> </w:t>
      </w:r>
      <w:r w:rsidRPr="00B23AD6">
        <w:t>Notice</w:t>
      </w:r>
      <w:r w:rsidR="006C6F09" w:rsidRPr="00B23AD6">
        <w:t xml:space="preserve"> </w:t>
      </w:r>
      <w:r w:rsidRPr="00B23AD6">
        <w:t>and</w:t>
      </w:r>
      <w:r w:rsidR="006C6F09" w:rsidRPr="00B23AD6">
        <w:t xml:space="preserve"> </w:t>
      </w:r>
      <w:r w:rsidRPr="00B23AD6">
        <w:t>Opportunity</w:t>
      </w:r>
      <w:r w:rsidR="006C6F09" w:rsidRPr="00B23AD6">
        <w:t xml:space="preserve"> </w:t>
      </w:r>
      <w:r w:rsidRPr="00B23AD6">
        <w:t>to</w:t>
      </w:r>
      <w:r w:rsidR="006C6F09" w:rsidRPr="00B23AD6">
        <w:t xml:space="preserve"> </w:t>
      </w:r>
      <w:r w:rsidRPr="00B23AD6">
        <w:t>Comment</w:t>
      </w:r>
      <w:r w:rsidR="006C6F09" w:rsidRPr="00B23AD6">
        <w:t xml:space="preserve"> </w:t>
      </w:r>
      <w:r w:rsidRPr="00B23AD6">
        <w:t>Pre-Environmental</w:t>
      </w:r>
      <w:r w:rsidR="006C6F09" w:rsidRPr="00B23AD6">
        <w:t xml:space="preserve"> </w:t>
      </w:r>
      <w:r w:rsidRPr="00B23AD6">
        <w:t>Clearance</w:t>
      </w:r>
      <w:bookmarkEnd w:id="26"/>
      <w:bookmarkEnd w:id="27"/>
      <w:bookmarkEnd w:id="28"/>
      <w:bookmarkEnd w:id="29"/>
      <w:r w:rsidR="006C6F09">
        <w:t xml:space="preserve"> </w:t>
      </w:r>
    </w:p>
    <w:p w14:paraId="7B40EA29" w14:textId="4A1491B5" w:rsidR="00457754" w:rsidRDefault="00457754" w:rsidP="00457754">
      <w:pPr>
        <w:spacing w:after="0"/>
      </w:pPr>
      <w:proofErr w:type="gramStart"/>
      <w:r>
        <w:t>A</w:t>
      </w:r>
      <w:r w:rsidR="006C6F09">
        <w:t xml:space="preserve"> </w:t>
      </w:r>
      <w:r>
        <w:t>notice</w:t>
      </w:r>
      <w:proofErr w:type="gramEnd"/>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is</w:t>
      </w:r>
      <w:r w:rsidR="006C6F09">
        <w:t xml:space="preserve"> </w:t>
      </w:r>
      <w:r>
        <w:t>required</w:t>
      </w:r>
      <w:r w:rsidR="006C6F09">
        <w:t xml:space="preserve"> </w:t>
      </w:r>
      <w:r>
        <w:t>in</w:t>
      </w:r>
      <w:r w:rsidR="006C6F09">
        <w:t xml:space="preserve"> </w:t>
      </w:r>
      <w:r>
        <w:t>the</w:t>
      </w:r>
      <w:r w:rsidR="006C6F09">
        <w:t xml:space="preserve"> </w:t>
      </w:r>
      <w:r>
        <w:t>following</w:t>
      </w:r>
      <w:r w:rsidR="006C6F09">
        <w:t xml:space="preserve"> </w:t>
      </w:r>
      <w:r>
        <w:t>situations:</w:t>
      </w:r>
    </w:p>
    <w:p w14:paraId="04640FDF" w14:textId="067C53C7" w:rsidR="00457754" w:rsidRDefault="00457754" w:rsidP="00457754">
      <w:pPr>
        <w:pStyle w:val="ListBullet"/>
      </w:pPr>
      <w:r w:rsidRPr="00A22A80">
        <w:t>Acquisition</w:t>
      </w:r>
      <w:r w:rsidR="006C6F09">
        <w:t xml:space="preserve"> </w:t>
      </w:r>
      <w:r w:rsidRPr="00A22A80">
        <w:t>of</w:t>
      </w:r>
      <w:r w:rsidR="006C6F09">
        <w:t xml:space="preserve"> </w:t>
      </w:r>
      <w:r w:rsidRPr="00A22A80">
        <w:t>new</w:t>
      </w:r>
      <w:r w:rsidR="006C6F09">
        <w:t xml:space="preserve"> </w:t>
      </w:r>
      <w:r w:rsidRPr="00A22A80">
        <w:t>right-of-way</w:t>
      </w:r>
      <w:r w:rsidR="006C6F09">
        <w:t xml:space="preserve"> </w:t>
      </w:r>
      <w:r w:rsidRPr="00A22A80">
        <w:t>(including</w:t>
      </w:r>
      <w:r w:rsidR="006C6F09">
        <w:t xml:space="preserve"> </w:t>
      </w:r>
      <w:r w:rsidRPr="00A22A80">
        <w:t>a</w:t>
      </w:r>
      <w:r w:rsidR="006C6F09">
        <w:t xml:space="preserve"> </w:t>
      </w:r>
      <w:r w:rsidRPr="00A22A80">
        <w:t>temporary</w:t>
      </w:r>
      <w:r w:rsidR="006C6F09">
        <w:t xml:space="preserve"> </w:t>
      </w:r>
      <w:r w:rsidRPr="00A22A80">
        <w:t>or</w:t>
      </w:r>
      <w:r w:rsidR="006C6F09">
        <w:t xml:space="preserve"> </w:t>
      </w:r>
      <w:r w:rsidRPr="00A22A80">
        <w:t>permanent</w:t>
      </w:r>
      <w:r w:rsidR="006C6F09">
        <w:t xml:space="preserve"> </w:t>
      </w:r>
      <w:r w:rsidRPr="00A22A80">
        <w:t>easement)</w:t>
      </w:r>
    </w:p>
    <w:p w14:paraId="0DC1A3EC" w14:textId="6AA6B276" w:rsidR="00457754" w:rsidRDefault="00457754" w:rsidP="00457754">
      <w:pPr>
        <w:pStyle w:val="ListBullet"/>
      </w:pPr>
      <w:r w:rsidRPr="00A22A80">
        <w:t>Added</w:t>
      </w:r>
      <w:r w:rsidR="006C6F09">
        <w:t xml:space="preserve"> </w:t>
      </w:r>
      <w:r w:rsidRPr="00A22A80">
        <w:t>capacity</w:t>
      </w:r>
    </w:p>
    <w:p w14:paraId="58BA5A44" w14:textId="41147ACC" w:rsidR="00457754" w:rsidRDefault="00457754" w:rsidP="00457754">
      <w:pPr>
        <w:pStyle w:val="ListBullet"/>
      </w:pPr>
      <w:r w:rsidRPr="00A22A80">
        <w:t>Construction</w:t>
      </w:r>
      <w:r w:rsidR="006C6F09">
        <w:t xml:space="preserve"> </w:t>
      </w:r>
      <w:r>
        <w:t>of</w:t>
      </w:r>
      <w:r w:rsidR="006C6F09">
        <w:t xml:space="preserve"> </w:t>
      </w:r>
      <w:r>
        <w:t>a</w:t>
      </w:r>
      <w:r w:rsidR="006C6F09">
        <w:t xml:space="preserve"> </w:t>
      </w:r>
      <w:r>
        <w:t>highway</w:t>
      </w:r>
      <w:r w:rsidR="006C6F09">
        <w:t xml:space="preserve"> </w:t>
      </w:r>
      <w:r>
        <w:t>at</w:t>
      </w:r>
      <w:r w:rsidR="006C6F09">
        <w:t xml:space="preserve"> </w:t>
      </w:r>
      <w:r>
        <w:t>a</w:t>
      </w:r>
      <w:r w:rsidR="006C6F09">
        <w:t xml:space="preserve"> </w:t>
      </w:r>
      <w:r>
        <w:t>new</w:t>
      </w:r>
      <w:r w:rsidR="006C6F09">
        <w:t xml:space="preserve"> </w:t>
      </w:r>
      <w:r>
        <w:t>location</w:t>
      </w:r>
      <w:r>
        <w:rPr>
          <w:rStyle w:val="FootnoteReference"/>
        </w:rPr>
        <w:footnoteReference w:id="1"/>
      </w:r>
    </w:p>
    <w:p w14:paraId="0025D220" w14:textId="0BF83B39" w:rsidR="00457754" w:rsidRDefault="00457754" w:rsidP="00457754">
      <w:r>
        <w:t>The</w:t>
      </w:r>
      <w:r w:rsidR="006C6F09">
        <w:t xml:space="preserve"> </w:t>
      </w:r>
      <w:r>
        <w:t>latter</w:t>
      </w:r>
      <w:r w:rsidR="006C6F09">
        <w:t xml:space="preserve"> </w:t>
      </w:r>
      <w:r>
        <w:t>two</w:t>
      </w:r>
      <w:r w:rsidR="006C6F09">
        <w:t xml:space="preserve"> </w:t>
      </w:r>
      <w:r>
        <w:t>triggers,</w:t>
      </w:r>
      <w:r w:rsidR="006C6F09">
        <w:t xml:space="preserve"> </w:t>
      </w:r>
      <w:r>
        <w:t>added</w:t>
      </w:r>
      <w:r w:rsidR="006C6F09">
        <w:t xml:space="preserve"> </w:t>
      </w:r>
      <w:r>
        <w:t>capacity</w:t>
      </w:r>
      <w:r w:rsidR="006C6F09">
        <w:t xml:space="preserve"> </w:t>
      </w:r>
      <w:r>
        <w:t>and</w:t>
      </w:r>
      <w:r w:rsidR="006C6F09">
        <w:t xml:space="preserve"> </w:t>
      </w:r>
      <w:r>
        <w:t>construction</w:t>
      </w:r>
      <w:r w:rsidR="006C6F09">
        <w:t xml:space="preserve"> </w:t>
      </w:r>
      <w:r>
        <w:t>of</w:t>
      </w:r>
      <w:r w:rsidR="006C6F09">
        <w:t xml:space="preserve"> </w:t>
      </w:r>
      <w:r>
        <w:t>a</w:t>
      </w:r>
      <w:r w:rsidR="006C6F09">
        <w:t xml:space="preserve"> </w:t>
      </w:r>
      <w:r>
        <w:t>highway</w:t>
      </w:r>
      <w:r w:rsidR="006C6F09">
        <w:t xml:space="preserve"> </w:t>
      </w:r>
      <w:r>
        <w:t>at</w:t>
      </w:r>
      <w:r w:rsidR="006C6F09">
        <w:t xml:space="preserve"> </w:t>
      </w:r>
      <w:r>
        <w:t>a</w:t>
      </w:r>
      <w:r w:rsidR="006C6F09">
        <w:t xml:space="preserve"> </w:t>
      </w:r>
      <w:r>
        <w:t>new</w:t>
      </w:r>
      <w:r w:rsidR="006C6F09">
        <w:t xml:space="preserve"> </w:t>
      </w:r>
      <w:r>
        <w:t>location,</w:t>
      </w:r>
      <w:r w:rsidR="006C6F09">
        <w:t xml:space="preserve"> </w:t>
      </w:r>
      <w:r>
        <w:t>are</w:t>
      </w:r>
      <w:r w:rsidR="006C6F09">
        <w:t xml:space="preserve"> </w:t>
      </w:r>
      <w:r>
        <w:t>statutory</w:t>
      </w:r>
      <w:r w:rsidR="006C6F09">
        <w:t xml:space="preserve"> </w:t>
      </w:r>
      <w:r>
        <w:t>triggers</w:t>
      </w:r>
      <w:r w:rsidR="006C6F09">
        <w:t xml:space="preserve"> </w:t>
      </w:r>
      <w:r>
        <w:t>for</w:t>
      </w:r>
      <w:r w:rsidR="006C6F09">
        <w:t xml:space="preserve"> </w:t>
      </w:r>
      <w:r>
        <w:t>a</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under</w:t>
      </w:r>
      <w:r w:rsidR="006C6F09">
        <w:t xml:space="preserve"> </w:t>
      </w:r>
      <w:r w:rsidRPr="0032400B">
        <w:t>Transportation</w:t>
      </w:r>
      <w:r w:rsidR="006C6F09">
        <w:t xml:space="preserve"> </w:t>
      </w:r>
      <w:r w:rsidRPr="0032400B">
        <w:t>Code,</w:t>
      </w:r>
      <w:r w:rsidR="006C6F09">
        <w:t xml:space="preserve"> </w:t>
      </w:r>
      <w:r>
        <w:t>§203.022(a).</w:t>
      </w:r>
      <w:r w:rsidR="006C6F09">
        <w:t xml:space="preserve"> </w:t>
      </w:r>
      <w:r>
        <w:t>The</w:t>
      </w:r>
      <w:r w:rsidR="006C6F09">
        <w:t xml:space="preserve"> </w:t>
      </w:r>
      <w:r>
        <w:t>first</w:t>
      </w:r>
      <w:r w:rsidR="006C6F09">
        <w:t xml:space="preserve"> </w:t>
      </w:r>
      <w:r>
        <w:t>trigger,</w:t>
      </w:r>
      <w:r w:rsidR="006C6F09">
        <w:t xml:space="preserve"> </w:t>
      </w:r>
      <w:r>
        <w:t>acquisition</w:t>
      </w:r>
      <w:r w:rsidR="006C6F09">
        <w:t xml:space="preserve"> </w:t>
      </w:r>
      <w:r>
        <w:t>of</w:t>
      </w:r>
      <w:r w:rsidR="006C6F09">
        <w:t xml:space="preserve"> </w:t>
      </w:r>
      <w:r>
        <w:t>new</w:t>
      </w:r>
      <w:r w:rsidR="006C6F09">
        <w:t xml:space="preserve"> </w:t>
      </w:r>
      <w:r>
        <w:lastRenderedPageBreak/>
        <w:t>right-of-way,</w:t>
      </w:r>
      <w:r w:rsidR="006C6F09">
        <w:t xml:space="preserve"> </w:t>
      </w:r>
      <w:r>
        <w:t>is</w:t>
      </w:r>
      <w:r w:rsidR="006C6F09">
        <w:t xml:space="preserve"> </w:t>
      </w:r>
      <w:r>
        <w:t>not</w:t>
      </w:r>
      <w:r w:rsidR="006C6F09">
        <w:t xml:space="preserve"> </w:t>
      </w:r>
      <w:r>
        <w:t>statutorily</w:t>
      </w:r>
      <w:r w:rsidR="006C6F09">
        <w:t xml:space="preserve"> </w:t>
      </w:r>
      <w:r>
        <w:t>required;</w:t>
      </w:r>
      <w:r w:rsidR="006C6F09">
        <w:t xml:space="preserve"> </w:t>
      </w:r>
      <w:r>
        <w:t>however,</w:t>
      </w:r>
      <w:r w:rsidR="006C6F09">
        <w:t xml:space="preserve"> </w:t>
      </w:r>
      <w:r>
        <w:t>it</w:t>
      </w:r>
      <w:r w:rsidR="006C6F09">
        <w:t xml:space="preserve"> </w:t>
      </w:r>
      <w:r>
        <w:t>is</w:t>
      </w:r>
      <w:r w:rsidR="006C6F09">
        <w:t xml:space="preserve"> </w:t>
      </w:r>
      <w:r>
        <w:t>required</w:t>
      </w:r>
      <w:r w:rsidR="006C6F09">
        <w:t xml:space="preserve"> </w:t>
      </w:r>
      <w:r>
        <w:t>by</w:t>
      </w:r>
      <w:r w:rsidR="006C6F09">
        <w:t xml:space="preserve"> </w:t>
      </w:r>
      <w:r>
        <w:t>the</w:t>
      </w:r>
      <w:r w:rsidR="006C6F09">
        <w:t xml:space="preserve"> </w:t>
      </w:r>
      <w:r>
        <w:t>department’s</w:t>
      </w:r>
      <w:r w:rsidR="006C6F09">
        <w:t xml:space="preserve"> </w:t>
      </w:r>
      <w:r>
        <w:t>environmental</w:t>
      </w:r>
      <w:r w:rsidR="006C6F09">
        <w:t xml:space="preserve"> </w:t>
      </w:r>
      <w:r>
        <w:t>review</w:t>
      </w:r>
      <w:r w:rsidR="006C6F09">
        <w:t xml:space="preserve"> </w:t>
      </w:r>
      <w:r>
        <w:t>rules</w:t>
      </w:r>
      <w:r w:rsidR="006C6F09">
        <w:t xml:space="preserve"> </w:t>
      </w:r>
      <w:r>
        <w:t>(</w:t>
      </w:r>
      <w:r w:rsidRPr="0032400B">
        <w:t>43</w:t>
      </w:r>
      <w:r w:rsidR="006C6F09">
        <w:t xml:space="preserve"> </w:t>
      </w:r>
      <w:r w:rsidRPr="0032400B">
        <w:t>TAC</w:t>
      </w:r>
      <w:r w:rsidR="006C6F09">
        <w:t xml:space="preserve"> </w:t>
      </w:r>
      <w:r w:rsidRPr="0032400B">
        <w:t>2.104</w:t>
      </w:r>
      <w:r>
        <w:t>).</w:t>
      </w:r>
    </w:p>
    <w:p w14:paraId="45FACCEC" w14:textId="7861E4CF" w:rsidR="00457754" w:rsidRDefault="00457754" w:rsidP="00457754">
      <w:r>
        <w:t>If</w:t>
      </w:r>
      <w:r w:rsidR="006C6F09">
        <w:t xml:space="preserve"> </w:t>
      </w:r>
      <w:r>
        <w:t>a</w:t>
      </w:r>
      <w:r w:rsidR="006C6F09">
        <w:t xml:space="preserve"> </w:t>
      </w:r>
      <w:r>
        <w:t>public</w:t>
      </w:r>
      <w:r w:rsidR="006C6F09">
        <w:t xml:space="preserve"> </w:t>
      </w:r>
      <w:r>
        <w:t>meeting,</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r>
        <w:t>or</w:t>
      </w:r>
      <w:r w:rsidR="006C6F09">
        <w:t xml:space="preserve"> </w:t>
      </w:r>
      <w:r>
        <w:t>public</w:t>
      </w:r>
      <w:r w:rsidR="006C6F09">
        <w:t xml:space="preserve"> </w:t>
      </w:r>
      <w:r>
        <w:t>hearing</w:t>
      </w:r>
      <w:r w:rsidR="006C6F09">
        <w:t xml:space="preserve"> </w:t>
      </w:r>
      <w:r>
        <w:t>is</w:t>
      </w:r>
      <w:r w:rsidR="006C6F09">
        <w:t xml:space="preserve"> </w:t>
      </w:r>
      <w:r>
        <w:t>held</w:t>
      </w:r>
      <w:r w:rsidR="006C6F09">
        <w:t xml:space="preserve"> </w:t>
      </w:r>
      <w:r>
        <w:t>for</w:t>
      </w:r>
      <w:r w:rsidR="006C6F09">
        <w:t xml:space="preserve"> </w:t>
      </w:r>
      <w:r>
        <w:t>a</w:t>
      </w:r>
      <w:r w:rsidR="006C6F09">
        <w:t xml:space="preserve"> </w:t>
      </w:r>
      <w:r>
        <w:t>given</w:t>
      </w:r>
      <w:r w:rsidR="006C6F09">
        <w:t xml:space="preserve"> </w:t>
      </w:r>
      <w:r>
        <w:t>project,</w:t>
      </w:r>
      <w:r w:rsidR="006C6F09">
        <w:t xml:space="preserve"> </w:t>
      </w:r>
      <w:r>
        <w:t>then</w:t>
      </w:r>
      <w:r w:rsidR="006C6F09">
        <w:t xml:space="preserve"> </w:t>
      </w:r>
      <w:r>
        <w:t>it</w:t>
      </w:r>
      <w:r w:rsidR="006C6F09">
        <w:t xml:space="preserve"> </w:t>
      </w:r>
      <w:r>
        <w:t>is</w:t>
      </w:r>
      <w:r w:rsidR="006C6F09">
        <w:t xml:space="preserve"> </w:t>
      </w:r>
      <w:r>
        <w:t>not</w:t>
      </w:r>
      <w:r w:rsidR="006C6F09">
        <w:t xml:space="preserve"> </w:t>
      </w:r>
      <w:r>
        <w:t>necessary</w:t>
      </w:r>
      <w:r w:rsidR="006C6F09">
        <w:t xml:space="preserve"> </w:t>
      </w:r>
      <w:r>
        <w:t>to</w:t>
      </w:r>
      <w:r w:rsidR="006C6F09">
        <w:t xml:space="preserve"> </w:t>
      </w:r>
      <w:r>
        <w:t>also</w:t>
      </w:r>
      <w:r w:rsidR="006C6F09">
        <w:t xml:space="preserve"> </w:t>
      </w:r>
      <w:r>
        <w:t>provide</w:t>
      </w:r>
      <w:r w:rsidR="006C6F09">
        <w:t xml:space="preserve"> </w:t>
      </w:r>
      <w:r>
        <w:t>a</w:t>
      </w:r>
      <w:r w:rsidR="006C6F09">
        <w:t xml:space="preserve"> </w:t>
      </w:r>
      <w:r>
        <w:t>separate</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so</w:t>
      </w:r>
      <w:r w:rsidR="006C6F09">
        <w:t xml:space="preserve"> </w:t>
      </w:r>
      <w:r>
        <w:t>long</w:t>
      </w:r>
      <w:r w:rsidR="006C6F09">
        <w:t xml:space="preserve"> </w:t>
      </w:r>
      <w:r>
        <w:t>as</w:t>
      </w:r>
      <w:r w:rsidR="006C6F09">
        <w:t xml:space="preserve"> </w:t>
      </w:r>
      <w:r>
        <w:t>the</w:t>
      </w:r>
      <w:r w:rsidR="006C6F09">
        <w:t xml:space="preserve"> </w:t>
      </w:r>
      <w:r>
        <w:t>notice</w:t>
      </w:r>
      <w:r w:rsidR="006C6F09">
        <w:t xml:space="preserve"> </w:t>
      </w:r>
      <w:r>
        <w:t>of</w:t>
      </w:r>
      <w:r w:rsidR="006C6F09">
        <w:t xml:space="preserve"> </w:t>
      </w:r>
      <w:r>
        <w:t>the</w:t>
      </w:r>
      <w:r w:rsidR="006C6F09">
        <w:t xml:space="preserve"> </w:t>
      </w:r>
      <w:r>
        <w:t>public</w:t>
      </w:r>
      <w:r w:rsidR="006C6F09">
        <w:t xml:space="preserve"> </w:t>
      </w:r>
      <w:r>
        <w:t>meeting,</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r>
        <w:t>or</w:t>
      </w:r>
      <w:r w:rsidR="006C6F09">
        <w:t xml:space="preserve"> </w:t>
      </w:r>
      <w:r>
        <w:t>public</w:t>
      </w:r>
      <w:r w:rsidR="006C6F09">
        <w:t xml:space="preserve"> </w:t>
      </w:r>
      <w:r>
        <w:t>hearing</w:t>
      </w:r>
      <w:r w:rsidR="006C6F09">
        <w:t xml:space="preserve"> </w:t>
      </w:r>
      <w:r>
        <w:t>is</w:t>
      </w:r>
      <w:r w:rsidR="006C6F09">
        <w:t xml:space="preserve"> </w:t>
      </w:r>
      <w:r>
        <w:t>provided</w:t>
      </w:r>
      <w:r w:rsidR="006C6F09">
        <w:t xml:space="preserve"> </w:t>
      </w:r>
      <w:r>
        <w:t>directly</w:t>
      </w:r>
      <w:r w:rsidR="006C6F09">
        <w:t xml:space="preserve"> </w:t>
      </w:r>
      <w:r>
        <w:t>(for</w:t>
      </w:r>
      <w:r w:rsidR="006C6F09">
        <w:t xml:space="preserve"> </w:t>
      </w:r>
      <w:r>
        <w:t>example,</w:t>
      </w:r>
      <w:r w:rsidR="006C6F09">
        <w:t xml:space="preserve"> </w:t>
      </w:r>
      <w:r>
        <w:t>email</w:t>
      </w:r>
      <w:r w:rsidR="006C6F09">
        <w:t xml:space="preserve"> </w:t>
      </w:r>
      <w:r>
        <w:t>or</w:t>
      </w:r>
      <w:r w:rsidR="006C6F09">
        <w:t xml:space="preserve"> </w:t>
      </w:r>
      <w:r>
        <w:t>mail</w:t>
      </w:r>
      <w:r w:rsidR="006C6F09">
        <w:t xml:space="preserve"> </w:t>
      </w:r>
      <w:r>
        <w:t>or</w:t>
      </w:r>
      <w:r w:rsidR="006C6F09">
        <w:t xml:space="preserve"> </w:t>
      </w:r>
      <w:r>
        <w:t>hand</w:t>
      </w:r>
      <w:r w:rsidR="006C6F09">
        <w:t xml:space="preserve"> </w:t>
      </w:r>
      <w:r>
        <w:t>delivery)</w:t>
      </w:r>
      <w:r w:rsidR="006C6F09">
        <w:t xml:space="preserve"> </w:t>
      </w:r>
      <w:r>
        <w:t>to</w:t>
      </w:r>
      <w:r w:rsidR="006C6F09">
        <w:t xml:space="preserve"> </w:t>
      </w:r>
      <w:r>
        <w:t>the</w:t>
      </w:r>
      <w:r w:rsidR="006C6F09">
        <w:t xml:space="preserve"> </w:t>
      </w:r>
      <w:r>
        <w:t>entities</w:t>
      </w:r>
      <w:r w:rsidR="006C6F09">
        <w:t xml:space="preserve"> </w:t>
      </w:r>
      <w:r>
        <w:t>that</w:t>
      </w:r>
      <w:r w:rsidR="006C6F09">
        <w:t xml:space="preserve"> </w:t>
      </w:r>
      <w:r>
        <w:t>would</w:t>
      </w:r>
      <w:r w:rsidR="006C6F09">
        <w:t xml:space="preserve"> </w:t>
      </w:r>
      <w:r>
        <w:t>otherwise</w:t>
      </w:r>
      <w:r w:rsidR="006C6F09">
        <w:t xml:space="preserve"> </w:t>
      </w:r>
      <w:r>
        <w:t>be</w:t>
      </w:r>
      <w:r w:rsidR="006C6F09">
        <w:t xml:space="preserve"> </w:t>
      </w:r>
      <w:r>
        <w:t>entitled</w:t>
      </w:r>
      <w:r w:rsidR="006C6F09">
        <w:t xml:space="preserve"> </w:t>
      </w:r>
      <w:r>
        <w:t>to</w:t>
      </w:r>
      <w:r w:rsidR="006C6F09">
        <w:t xml:space="preserve"> </w:t>
      </w:r>
      <w:r>
        <w:t>receive</w:t>
      </w:r>
      <w:r w:rsidR="006C6F09">
        <w:t xml:space="preserve"> </w:t>
      </w:r>
      <w:r>
        <w:t>a</w:t>
      </w:r>
      <w:r w:rsidR="006C6F09">
        <w:t xml:space="preserve"> </w:t>
      </w:r>
      <w:r>
        <w:t>notice</w:t>
      </w:r>
      <w:r w:rsidR="006C6F09">
        <w:t xml:space="preserve"> </w:t>
      </w:r>
      <w:r>
        <w:t>and</w:t>
      </w:r>
      <w:r w:rsidR="006C6F09">
        <w:t xml:space="preserve"> </w:t>
      </w:r>
      <w:r>
        <w:t>opportunity</w:t>
      </w:r>
      <w:r w:rsidR="006C6F09">
        <w:t xml:space="preserve"> </w:t>
      </w:r>
      <w:r>
        <w:t>comme</w:t>
      </w:r>
      <w:r w:rsidRPr="00377EB5">
        <w:rPr>
          <w:i/>
          <w:iCs/>
        </w:rPr>
        <w:t>nt</w:t>
      </w:r>
      <w:r w:rsidR="006C6F09">
        <w:rPr>
          <w:i/>
          <w:iCs/>
        </w:rPr>
        <w:t xml:space="preserve"> </w:t>
      </w:r>
      <w:r w:rsidRPr="00377EB5">
        <w:rPr>
          <w:i/>
          <w:iCs/>
        </w:rPr>
        <w:t>(</w:t>
      </w:r>
      <w:r w:rsidRPr="00263E76">
        <w:t>see</w:t>
      </w:r>
      <w:r w:rsidR="006C6F09">
        <w:rPr>
          <w:i/>
          <w:iCs/>
        </w:rPr>
        <w:t xml:space="preserve"> </w:t>
      </w:r>
      <w:r w:rsidRPr="00263E76">
        <w:rPr>
          <w:u w:val="single"/>
        </w:rPr>
        <w:fldChar w:fldCharType="begin"/>
      </w:r>
      <w:r w:rsidRPr="00263E76">
        <w:rPr>
          <w:u w:val="single"/>
        </w:rPr>
        <w:instrText xml:space="preserve"> REF _Ref219789548 \h  \* MERGEFORMAT </w:instrText>
      </w:r>
      <w:r w:rsidRPr="00263E76">
        <w:rPr>
          <w:u w:val="single"/>
        </w:rPr>
      </w:r>
      <w:r w:rsidRPr="00263E76">
        <w:rPr>
          <w:u w:val="single"/>
        </w:rPr>
        <w:fldChar w:fldCharType="separate"/>
      </w:r>
      <w:r w:rsidRPr="00263E76">
        <w:rPr>
          <w:color w:val="0056A9"/>
          <w:u w:val="single"/>
        </w:rPr>
        <w:t>3.2</w:t>
      </w:r>
      <w:r w:rsidRPr="00263E76">
        <w:rPr>
          <w:u w:val="single"/>
        </w:rPr>
        <w:fldChar w:fldCharType="end"/>
      </w:r>
      <w:r w:rsidR="006C6F09">
        <w:t xml:space="preserve"> </w:t>
      </w:r>
      <w:r>
        <w:t>below).</w:t>
      </w:r>
    </w:p>
    <w:p w14:paraId="41945586" w14:textId="2226BB6C" w:rsidR="00457754" w:rsidRPr="00B23AD6" w:rsidRDefault="00457754" w:rsidP="00457754">
      <w:pPr>
        <w:pStyle w:val="Heading3"/>
      </w:pPr>
      <w:bookmarkStart w:id="30" w:name="_Ref219789548"/>
      <w:bookmarkStart w:id="31" w:name="_Ref219789776"/>
      <w:bookmarkStart w:id="32" w:name="_Toc224026202"/>
      <w:r w:rsidRPr="00B23AD6">
        <w:t>3.2</w:t>
      </w:r>
      <w:r w:rsidR="006C6F09" w:rsidRPr="00B23AD6">
        <w:t xml:space="preserve"> </w:t>
      </w:r>
      <w:r w:rsidRPr="00B23AD6">
        <w:t>Situations</w:t>
      </w:r>
      <w:r w:rsidR="006C6F09" w:rsidRPr="00B23AD6">
        <w:t xml:space="preserve"> </w:t>
      </w:r>
      <w:r w:rsidRPr="00B23AD6">
        <w:t>Requiring</w:t>
      </w:r>
      <w:r w:rsidR="006C6F09" w:rsidRPr="00B23AD6">
        <w:t xml:space="preserve"> </w:t>
      </w:r>
      <w:proofErr w:type="gramStart"/>
      <w:r w:rsidRPr="00B23AD6">
        <w:t>a</w:t>
      </w:r>
      <w:r w:rsidR="006C6F09" w:rsidRPr="00B23AD6">
        <w:t xml:space="preserve"> </w:t>
      </w:r>
      <w:r w:rsidRPr="00B23AD6">
        <w:t>Notice</w:t>
      </w:r>
      <w:proofErr w:type="gramEnd"/>
      <w:r w:rsidR="006C6F09" w:rsidRPr="00B23AD6">
        <w:t xml:space="preserve"> </w:t>
      </w:r>
      <w:r w:rsidRPr="00B23AD6">
        <w:t>and</w:t>
      </w:r>
      <w:r w:rsidR="006C6F09" w:rsidRPr="00B23AD6">
        <w:t xml:space="preserve"> </w:t>
      </w:r>
      <w:r w:rsidRPr="00B23AD6">
        <w:t>Opportunity</w:t>
      </w:r>
      <w:r w:rsidR="006C6F09" w:rsidRPr="00B23AD6">
        <w:t xml:space="preserve"> </w:t>
      </w:r>
      <w:r w:rsidRPr="00B23AD6">
        <w:t>to</w:t>
      </w:r>
      <w:r w:rsidR="006C6F09" w:rsidRPr="00B23AD6">
        <w:t xml:space="preserve"> </w:t>
      </w:r>
      <w:r w:rsidRPr="00B23AD6">
        <w:t>Comment</w:t>
      </w:r>
      <w:r w:rsidR="006C6F09" w:rsidRPr="00B23AD6">
        <w:t xml:space="preserve"> </w:t>
      </w:r>
      <w:r w:rsidRPr="00B23AD6">
        <w:t>Post-Environmental</w:t>
      </w:r>
      <w:r w:rsidR="006C6F09" w:rsidRPr="00B23AD6">
        <w:t xml:space="preserve"> </w:t>
      </w:r>
      <w:r w:rsidRPr="00B23AD6">
        <w:t>Clearance</w:t>
      </w:r>
      <w:bookmarkEnd w:id="30"/>
      <w:bookmarkEnd w:id="31"/>
      <w:bookmarkEnd w:id="32"/>
      <w:r w:rsidR="006C6F09" w:rsidRPr="00B23AD6">
        <w:t xml:space="preserve"> </w:t>
      </w:r>
    </w:p>
    <w:p w14:paraId="72A1CB18" w14:textId="75F3F29A" w:rsidR="00457754" w:rsidRDefault="00457754" w:rsidP="00457754">
      <w:r>
        <w:t>There</w:t>
      </w:r>
      <w:r w:rsidR="006C6F09">
        <w:t xml:space="preserve"> </w:t>
      </w:r>
      <w:r>
        <w:t>are</w:t>
      </w:r>
      <w:r w:rsidR="006C6F09">
        <w:t xml:space="preserve"> </w:t>
      </w:r>
      <w:r>
        <w:t>two</w:t>
      </w:r>
      <w:r w:rsidR="006C6F09">
        <w:t xml:space="preserve"> </w:t>
      </w:r>
      <w:r>
        <w:t>situations</w:t>
      </w:r>
      <w:r w:rsidR="006C6F09">
        <w:t xml:space="preserve"> </w:t>
      </w:r>
      <w:r>
        <w:t>in</w:t>
      </w:r>
      <w:r w:rsidR="006C6F09">
        <w:t xml:space="preserve"> </w:t>
      </w:r>
      <w:r>
        <w:t>which</w:t>
      </w:r>
      <w:r w:rsidR="006C6F09">
        <w:t xml:space="preserve"> </w:t>
      </w:r>
      <w:r>
        <w:t>a</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may</w:t>
      </w:r>
      <w:r w:rsidR="006C6F09">
        <w:t xml:space="preserve"> </w:t>
      </w:r>
      <w:r>
        <w:t>need</w:t>
      </w:r>
      <w:r w:rsidR="006C6F09">
        <w:t xml:space="preserve"> </w:t>
      </w:r>
      <w:r>
        <w:t>to</w:t>
      </w:r>
      <w:r w:rsidR="006C6F09">
        <w:t xml:space="preserve"> </w:t>
      </w:r>
      <w:r>
        <w:t>be</w:t>
      </w:r>
      <w:r w:rsidR="006C6F09">
        <w:t xml:space="preserve"> </w:t>
      </w:r>
      <w:r>
        <w:t>provided</w:t>
      </w:r>
      <w:r w:rsidR="006C6F09">
        <w:t xml:space="preserve"> </w:t>
      </w:r>
      <w:r>
        <w:t>after</w:t>
      </w:r>
      <w:r w:rsidR="006C6F09">
        <w:t xml:space="preserve"> </w:t>
      </w:r>
      <w:r>
        <w:t>environmental</w:t>
      </w:r>
      <w:r w:rsidR="006C6F09">
        <w:t xml:space="preserve"> </w:t>
      </w:r>
      <w:r>
        <w:t>clearance</w:t>
      </w:r>
      <w:r w:rsidR="006C6F09">
        <w:t xml:space="preserve"> </w:t>
      </w:r>
      <w:r>
        <w:t>of</w:t>
      </w:r>
      <w:r w:rsidR="006C6F09">
        <w:t xml:space="preserve"> </w:t>
      </w:r>
      <w:r>
        <w:t>a</w:t>
      </w:r>
      <w:r w:rsidR="006C6F09">
        <w:t xml:space="preserve"> </w:t>
      </w:r>
      <w:r>
        <w:t>project.</w:t>
      </w:r>
      <w:r w:rsidR="006C6F09">
        <w:t xml:space="preserve"> </w:t>
      </w:r>
    </w:p>
    <w:p w14:paraId="43F95A9E" w14:textId="0C3D5C84" w:rsidR="00457754" w:rsidRDefault="00457754" w:rsidP="00457754">
      <w:r>
        <w:t>First,</w:t>
      </w:r>
      <w:r w:rsidR="006C6F09">
        <w:t xml:space="preserve"> </w:t>
      </w:r>
      <w:r>
        <w:t>if</w:t>
      </w:r>
      <w:r w:rsidR="006C6F09">
        <w:t xml:space="preserve"> </w:t>
      </w:r>
      <w:r>
        <w:t>TxDOT</w:t>
      </w:r>
      <w:r w:rsidR="006C6F09">
        <w:t xml:space="preserve"> </w:t>
      </w:r>
      <w:r>
        <w:t>is</w:t>
      </w:r>
      <w:r w:rsidR="006C6F09">
        <w:t xml:space="preserve"> </w:t>
      </w:r>
      <w:r>
        <w:t>undertaking</w:t>
      </w:r>
      <w:r w:rsidR="006C6F09">
        <w:t xml:space="preserve"> </w:t>
      </w:r>
      <w:r>
        <w:t>a</w:t>
      </w:r>
      <w:r w:rsidR="006C6F09">
        <w:t xml:space="preserve"> </w:t>
      </w:r>
      <w:r>
        <w:t>reevaluation</w:t>
      </w:r>
      <w:r w:rsidR="006C6F09">
        <w:t xml:space="preserve"> </w:t>
      </w:r>
      <w:r>
        <w:t>of</w:t>
      </w:r>
      <w:r w:rsidR="006C6F09">
        <w:t xml:space="preserve"> </w:t>
      </w:r>
      <w:r>
        <w:t>the</w:t>
      </w:r>
      <w:r w:rsidR="006C6F09">
        <w:t xml:space="preserve"> </w:t>
      </w:r>
      <w:r>
        <w:t>project</w:t>
      </w:r>
      <w:r w:rsidR="006C6F09">
        <w:t xml:space="preserve"> </w:t>
      </w:r>
      <w:r>
        <w:t>and</w:t>
      </w:r>
      <w:r w:rsidR="006C6F09">
        <w:t xml:space="preserve"> </w:t>
      </w:r>
      <w:r>
        <w:t>there</w:t>
      </w:r>
      <w:r w:rsidR="006C6F09">
        <w:t xml:space="preserve"> </w:t>
      </w:r>
      <w:r>
        <w:t>are</w:t>
      </w:r>
      <w:r w:rsidR="006C6F09">
        <w:t xml:space="preserve"> </w:t>
      </w:r>
      <w:r>
        <w:t>project</w:t>
      </w:r>
      <w:r w:rsidR="006C6F09">
        <w:t xml:space="preserve"> </w:t>
      </w:r>
      <w:r>
        <w:t>changes</w:t>
      </w:r>
      <w:r w:rsidR="006C6F09">
        <w:t xml:space="preserve"> </w:t>
      </w:r>
      <w:r>
        <w:t>that</w:t>
      </w:r>
      <w:r w:rsidR="006C6F09">
        <w:t xml:space="preserve"> </w:t>
      </w:r>
      <w:r>
        <w:t>result</w:t>
      </w:r>
      <w:r w:rsidR="006C6F09">
        <w:t xml:space="preserve"> </w:t>
      </w:r>
      <w:r>
        <w:t>in</w:t>
      </w:r>
      <w:r w:rsidR="006C6F09">
        <w:t xml:space="preserve"> </w:t>
      </w:r>
      <w:r>
        <w:t>new</w:t>
      </w:r>
      <w:r w:rsidR="006C6F09">
        <w:t xml:space="preserve"> </w:t>
      </w:r>
      <w:r>
        <w:t>parcels</w:t>
      </w:r>
      <w:r w:rsidR="006C6F09">
        <w:t xml:space="preserve"> </w:t>
      </w:r>
      <w:r>
        <w:t>that</w:t>
      </w:r>
      <w:r w:rsidR="006C6F09">
        <w:t xml:space="preserve"> </w:t>
      </w:r>
      <w:r>
        <w:t>need</w:t>
      </w:r>
      <w:r w:rsidR="006C6F09">
        <w:t xml:space="preserve"> </w:t>
      </w:r>
      <w:r>
        <w:t>to</w:t>
      </w:r>
      <w:r w:rsidR="006C6F09">
        <w:t xml:space="preserve"> </w:t>
      </w:r>
      <w:r>
        <w:t>be</w:t>
      </w:r>
      <w:r w:rsidR="006C6F09">
        <w:t xml:space="preserve"> </w:t>
      </w:r>
      <w:r>
        <w:t>acquired</w:t>
      </w:r>
      <w:r w:rsidR="006C6F09">
        <w:t xml:space="preserve"> </w:t>
      </w:r>
      <w:r>
        <w:t>(or</w:t>
      </w:r>
      <w:r w:rsidR="006C6F09">
        <w:t xml:space="preserve"> </w:t>
      </w:r>
      <w:r>
        <w:t>subject</w:t>
      </w:r>
      <w:r w:rsidR="006C6F09">
        <w:t xml:space="preserve"> </w:t>
      </w:r>
      <w:r>
        <w:t>to</w:t>
      </w:r>
      <w:r w:rsidR="006C6F09">
        <w:t xml:space="preserve"> </w:t>
      </w:r>
      <w:r>
        <w:t>a</w:t>
      </w:r>
      <w:r w:rsidR="006C6F09">
        <w:t xml:space="preserve"> </w:t>
      </w:r>
      <w:r>
        <w:t>temporary</w:t>
      </w:r>
      <w:r w:rsidR="006C6F09">
        <w:t xml:space="preserve"> </w:t>
      </w:r>
      <w:r>
        <w:t>or</w:t>
      </w:r>
      <w:r w:rsidR="006C6F09">
        <w:t xml:space="preserve"> </w:t>
      </w:r>
      <w:r>
        <w:t>permanent</w:t>
      </w:r>
      <w:r w:rsidR="006C6F09">
        <w:t xml:space="preserve"> </w:t>
      </w:r>
      <w:r>
        <w:t>easement)</w:t>
      </w:r>
      <w:r w:rsidR="006C6F09">
        <w:t xml:space="preserve"> </w:t>
      </w:r>
      <w:r>
        <w:t>that</w:t>
      </w:r>
      <w:r w:rsidR="006C6F09">
        <w:t xml:space="preserve"> </w:t>
      </w:r>
      <w:r>
        <w:t>were</w:t>
      </w:r>
      <w:r w:rsidR="006C6F09">
        <w:t xml:space="preserve"> </w:t>
      </w:r>
      <w:r>
        <w:t>not</w:t>
      </w:r>
      <w:r w:rsidR="006C6F09">
        <w:t xml:space="preserve"> </w:t>
      </w:r>
      <w:r>
        <w:t>identified</w:t>
      </w:r>
      <w:r w:rsidR="006C6F09">
        <w:t xml:space="preserve"> </w:t>
      </w:r>
      <w:r>
        <w:t>during</w:t>
      </w:r>
      <w:r w:rsidR="006C6F09">
        <w:t xml:space="preserve"> </w:t>
      </w:r>
      <w:r>
        <w:t>the</w:t>
      </w:r>
      <w:r w:rsidR="006C6F09">
        <w:t xml:space="preserve"> </w:t>
      </w:r>
      <w:r>
        <w:t>original</w:t>
      </w:r>
      <w:r w:rsidR="006C6F09">
        <w:t xml:space="preserve"> </w:t>
      </w:r>
      <w:r>
        <w:t>environmental</w:t>
      </w:r>
      <w:r w:rsidR="006C6F09">
        <w:t xml:space="preserve"> </w:t>
      </w:r>
      <w:r>
        <w:t>review,</w:t>
      </w:r>
      <w:r w:rsidR="006C6F09">
        <w:t xml:space="preserve"> </w:t>
      </w:r>
      <w:r>
        <w:t>then</w:t>
      </w:r>
      <w:r w:rsidR="006C6F09">
        <w:t xml:space="preserve"> </w:t>
      </w:r>
      <w:r>
        <w:t>a</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must</w:t>
      </w:r>
      <w:r w:rsidR="006C6F09">
        <w:t xml:space="preserve"> </w:t>
      </w:r>
      <w:r>
        <w:t>be</w:t>
      </w:r>
      <w:r w:rsidR="006C6F09">
        <w:t xml:space="preserve"> </w:t>
      </w:r>
      <w:r>
        <w:t>provided</w:t>
      </w:r>
      <w:r w:rsidR="006C6F09">
        <w:t xml:space="preserve"> </w:t>
      </w:r>
      <w:r>
        <w:t>to</w:t>
      </w:r>
      <w:r w:rsidR="006C6F09">
        <w:t xml:space="preserve"> </w:t>
      </w:r>
      <w:r>
        <w:t>the</w:t>
      </w:r>
      <w:r w:rsidR="006C6F09">
        <w:t xml:space="preserve"> </w:t>
      </w:r>
      <w:r>
        <w:t>owners</w:t>
      </w:r>
      <w:r w:rsidR="006C6F09">
        <w:t xml:space="preserve"> </w:t>
      </w:r>
      <w:r>
        <w:t>of</w:t>
      </w:r>
      <w:r w:rsidR="006C6F09">
        <w:t xml:space="preserve"> </w:t>
      </w:r>
      <w:r>
        <w:t>those</w:t>
      </w:r>
      <w:r w:rsidR="006C6F09">
        <w:t xml:space="preserve"> </w:t>
      </w:r>
      <w:r>
        <w:t>parcels</w:t>
      </w:r>
      <w:r w:rsidR="006C6F09">
        <w:t xml:space="preserve"> </w:t>
      </w:r>
      <w:r>
        <w:t>in</w:t>
      </w:r>
      <w:r w:rsidR="006C6F09">
        <w:t xml:space="preserve"> </w:t>
      </w:r>
      <w:r>
        <w:t>connection</w:t>
      </w:r>
      <w:r w:rsidR="006C6F09">
        <w:t xml:space="preserve"> </w:t>
      </w:r>
      <w:r>
        <w:t>with</w:t>
      </w:r>
      <w:r w:rsidR="006C6F09">
        <w:t xml:space="preserve"> </w:t>
      </w:r>
      <w:r>
        <w:t>the</w:t>
      </w:r>
      <w:r w:rsidR="006C6F09">
        <w:t xml:space="preserve"> </w:t>
      </w:r>
      <w:r>
        <w:t>reevaluation</w:t>
      </w:r>
      <w:r w:rsidR="006C6F09">
        <w:t xml:space="preserve"> </w:t>
      </w:r>
      <w:r>
        <w:t>(unless</w:t>
      </w:r>
      <w:r w:rsidR="006C6F09">
        <w:t xml:space="preserve"> </w:t>
      </w:r>
      <w:r>
        <w:t>such</w:t>
      </w:r>
      <w:r w:rsidR="006C6F09">
        <w:t xml:space="preserve"> </w:t>
      </w:r>
      <w:r>
        <w:t>owners</w:t>
      </w:r>
      <w:r w:rsidR="006C6F09">
        <w:t xml:space="preserve"> </w:t>
      </w:r>
      <w:r>
        <w:t>will</w:t>
      </w:r>
      <w:r w:rsidR="006C6F09">
        <w:t xml:space="preserve"> </w:t>
      </w:r>
      <w:r>
        <w:t>receive</w:t>
      </w:r>
      <w:r w:rsidR="006C6F09">
        <w:t xml:space="preserve"> </w:t>
      </w:r>
      <w:r>
        <w:t>notice</w:t>
      </w:r>
      <w:r w:rsidR="006C6F09">
        <w:t xml:space="preserve"> </w:t>
      </w:r>
      <w:r>
        <w:t>of</w:t>
      </w:r>
      <w:r w:rsidR="006C6F09">
        <w:t xml:space="preserve"> </w:t>
      </w:r>
      <w:r>
        <w:t>a</w:t>
      </w:r>
      <w:r w:rsidR="006C6F09">
        <w:t xml:space="preserve"> </w:t>
      </w:r>
      <w:r>
        <w:t>public</w:t>
      </w:r>
      <w:r w:rsidR="006C6F09">
        <w:t xml:space="preserve"> </w:t>
      </w:r>
      <w:r>
        <w:t>meeting,</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r>
        <w:t>or</w:t>
      </w:r>
      <w:r w:rsidR="006C6F09">
        <w:t xml:space="preserve"> </w:t>
      </w:r>
      <w:r>
        <w:t>public</w:t>
      </w:r>
      <w:r w:rsidR="006C6F09">
        <w:t xml:space="preserve"> </w:t>
      </w:r>
      <w:r>
        <w:t>hearing</w:t>
      </w:r>
      <w:r w:rsidR="006C6F09">
        <w:t xml:space="preserve"> </w:t>
      </w:r>
      <w:r>
        <w:t>in</w:t>
      </w:r>
      <w:r w:rsidR="006C6F09">
        <w:t xml:space="preserve"> </w:t>
      </w:r>
      <w:r>
        <w:t>connection</w:t>
      </w:r>
      <w:r w:rsidR="006C6F09">
        <w:t xml:space="preserve"> </w:t>
      </w:r>
      <w:r>
        <w:t>with</w:t>
      </w:r>
      <w:r w:rsidR="006C6F09">
        <w:t xml:space="preserve"> </w:t>
      </w:r>
      <w:r>
        <w:t>the</w:t>
      </w:r>
      <w:r w:rsidR="006C6F09">
        <w:t xml:space="preserve"> </w:t>
      </w:r>
      <w:r>
        <w:t>reevaluation).</w:t>
      </w:r>
    </w:p>
    <w:p w14:paraId="501645D3" w14:textId="0ADBC662" w:rsidR="00457754" w:rsidRDefault="00457754" w:rsidP="00457754">
      <w:pPr>
        <w:spacing w:after="0"/>
      </w:pPr>
      <w:r>
        <w:t>Second,</w:t>
      </w:r>
      <w:r w:rsidR="006C6F09">
        <w:t xml:space="preserve"> </w:t>
      </w:r>
      <w:r>
        <w:t>as</w:t>
      </w:r>
      <w:r w:rsidR="006C6F09">
        <w:t xml:space="preserve"> </w:t>
      </w:r>
      <w:r>
        <w:t>required</w:t>
      </w:r>
      <w:r w:rsidR="006C6F09">
        <w:t xml:space="preserve"> </w:t>
      </w:r>
      <w:r>
        <w:t>by</w:t>
      </w:r>
      <w:r w:rsidR="006C6F09">
        <w:t xml:space="preserve"> </w:t>
      </w:r>
      <w:r w:rsidRPr="007818B1">
        <w:t>Transportation</w:t>
      </w:r>
      <w:r w:rsidR="006C6F09">
        <w:t xml:space="preserve"> </w:t>
      </w:r>
      <w:r w:rsidRPr="007818B1">
        <w:t>Code</w:t>
      </w:r>
      <w:r>
        <w:t>,</w:t>
      </w:r>
      <w:r w:rsidR="006C6F09">
        <w:t xml:space="preserve"> </w:t>
      </w:r>
      <w:r>
        <w:t>§203.022(b),</w:t>
      </w:r>
      <w:r w:rsidR="006C6F09">
        <w:t xml:space="preserve"> </w:t>
      </w:r>
      <w:r>
        <w:t>following</w:t>
      </w:r>
      <w:r w:rsidR="006C6F09">
        <w:t xml:space="preserve"> </w:t>
      </w:r>
      <w:r>
        <w:t>environmental</w:t>
      </w:r>
      <w:r w:rsidR="006C6F09">
        <w:t xml:space="preserve"> </w:t>
      </w:r>
      <w:r>
        <w:t>clearance</w:t>
      </w:r>
      <w:r w:rsidR="006C6F09">
        <w:t xml:space="preserve"> </w:t>
      </w:r>
      <w:r>
        <w:t>of</w:t>
      </w:r>
      <w:r w:rsidR="006C6F09">
        <w:t xml:space="preserve"> </w:t>
      </w:r>
      <w:r>
        <w:t>a</w:t>
      </w:r>
      <w:r w:rsidR="006C6F09">
        <w:t xml:space="preserve"> </w:t>
      </w:r>
      <w:r>
        <w:t>project</w:t>
      </w:r>
      <w:r w:rsidR="006C6F09">
        <w:t xml:space="preserve"> </w:t>
      </w:r>
      <w:r>
        <w:t>(in</w:t>
      </w:r>
      <w:r w:rsidR="006C6F09">
        <w:t xml:space="preserve"> </w:t>
      </w:r>
      <w:r>
        <w:t>other</w:t>
      </w:r>
      <w:r w:rsidR="006C6F09">
        <w:t xml:space="preserve"> </w:t>
      </w:r>
      <w:r>
        <w:t>words,</w:t>
      </w:r>
      <w:r w:rsidR="006C6F09">
        <w:t xml:space="preserve"> </w:t>
      </w:r>
      <w:r>
        <w:t>a</w:t>
      </w:r>
      <w:r w:rsidR="006C6F09">
        <w:t xml:space="preserve"> </w:t>
      </w:r>
      <w:r>
        <w:t>CE</w:t>
      </w:r>
      <w:r w:rsidR="006C6F09">
        <w:t xml:space="preserve"> </w:t>
      </w:r>
      <w:r>
        <w:t>(Categorical</w:t>
      </w:r>
      <w:r w:rsidR="006C6F09">
        <w:t xml:space="preserve"> </w:t>
      </w:r>
      <w:r>
        <w:t>Exclusion)</w:t>
      </w:r>
      <w:r w:rsidR="006C6F09">
        <w:t xml:space="preserve"> </w:t>
      </w:r>
      <w:r>
        <w:t>determination,</w:t>
      </w:r>
      <w:r w:rsidR="006C6F09">
        <w:t xml:space="preserve"> </w:t>
      </w:r>
      <w:r>
        <w:t>FONSI</w:t>
      </w:r>
      <w:r w:rsidR="006C6F09">
        <w:t xml:space="preserve"> </w:t>
      </w:r>
      <w:r>
        <w:t>(Finding</w:t>
      </w:r>
      <w:r w:rsidR="006C6F09">
        <w:t xml:space="preserve"> </w:t>
      </w:r>
      <w:r>
        <w:t>of</w:t>
      </w:r>
      <w:r w:rsidR="006C6F09">
        <w:t xml:space="preserve"> </w:t>
      </w:r>
      <w:r>
        <w:t>No</w:t>
      </w:r>
      <w:r w:rsidR="006C6F09">
        <w:t xml:space="preserve"> </w:t>
      </w:r>
      <w:r>
        <w:t>Significant</w:t>
      </w:r>
      <w:r w:rsidR="006C6F09">
        <w:t xml:space="preserve"> </w:t>
      </w:r>
      <w:r>
        <w:t>Impact),</w:t>
      </w:r>
      <w:r w:rsidR="006C6F09">
        <w:t xml:space="preserve"> </w:t>
      </w:r>
      <w:r>
        <w:t>or</w:t>
      </w:r>
      <w:r w:rsidR="006C6F09">
        <w:t xml:space="preserve"> </w:t>
      </w:r>
      <w:r>
        <w:t>ROD</w:t>
      </w:r>
      <w:r w:rsidR="006C6F09">
        <w:t xml:space="preserve"> </w:t>
      </w:r>
      <w:r>
        <w:t>(Record</w:t>
      </w:r>
      <w:r w:rsidR="006C6F09">
        <w:t xml:space="preserve"> </w:t>
      </w:r>
      <w:r>
        <w:t>of</w:t>
      </w:r>
      <w:r w:rsidR="006C6F09">
        <w:t xml:space="preserve"> </w:t>
      </w:r>
      <w:r>
        <w:t>Decision))</w:t>
      </w:r>
      <w:r w:rsidR="006C6F09">
        <w:t xml:space="preserve"> </w:t>
      </w:r>
      <w:r>
        <w:t>additional</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must</w:t>
      </w:r>
      <w:r w:rsidR="006C6F09">
        <w:t xml:space="preserve"> </w:t>
      </w:r>
      <w:r>
        <w:t>be</w:t>
      </w:r>
      <w:r w:rsidR="006C6F09">
        <w:t xml:space="preserve"> </w:t>
      </w:r>
      <w:r>
        <w:t>provided</w:t>
      </w:r>
      <w:r w:rsidR="006C6F09">
        <w:t xml:space="preserve"> </w:t>
      </w:r>
      <w:r>
        <w:t>if</w:t>
      </w:r>
      <w:r w:rsidR="006C6F09">
        <w:t xml:space="preserve"> </w:t>
      </w:r>
      <w:r w:rsidRPr="001938CF">
        <w:rPr>
          <w:b/>
          <w:bCs/>
        </w:rPr>
        <w:t>all</w:t>
      </w:r>
      <w:r w:rsidR="006C6F09">
        <w:t xml:space="preserve"> </w:t>
      </w:r>
      <w:r>
        <w:t>the</w:t>
      </w:r>
      <w:r w:rsidR="006C6F09">
        <w:t xml:space="preserve"> </w:t>
      </w:r>
      <w:r>
        <w:t>following</w:t>
      </w:r>
      <w:r w:rsidR="006C6F09">
        <w:t xml:space="preserve"> </w:t>
      </w:r>
      <w:r>
        <w:t>conditions</w:t>
      </w:r>
      <w:r w:rsidR="006C6F09">
        <w:t xml:space="preserve"> </w:t>
      </w:r>
      <w:r>
        <w:t>apply:</w:t>
      </w:r>
    </w:p>
    <w:p w14:paraId="0181951C" w14:textId="23C3795F" w:rsidR="00457754" w:rsidRDefault="00457754" w:rsidP="00457754">
      <w:pPr>
        <w:pStyle w:val="ListBullet"/>
      </w:pPr>
      <w:r w:rsidRPr="00A22A80">
        <w:t>the</w:t>
      </w:r>
      <w:r w:rsidR="006C6F09">
        <w:t xml:space="preserve"> </w:t>
      </w:r>
      <w:r w:rsidRPr="00A22A80">
        <w:t>project</w:t>
      </w:r>
      <w:r w:rsidR="006C6F09">
        <w:t xml:space="preserve"> </w:t>
      </w:r>
      <w:r w:rsidRPr="00A22A80">
        <w:t>adds</w:t>
      </w:r>
      <w:r w:rsidR="006C6F09">
        <w:t xml:space="preserve"> </w:t>
      </w:r>
      <w:r w:rsidRPr="00A22A80">
        <w:t>capacity</w:t>
      </w:r>
      <w:r w:rsidR="006C6F09">
        <w:t xml:space="preserve"> </w:t>
      </w:r>
      <w:r w:rsidRPr="00A22A80">
        <w:t>or</w:t>
      </w:r>
      <w:r w:rsidR="006C6F09">
        <w:t xml:space="preserve"> </w:t>
      </w:r>
      <w:r w:rsidRPr="00A22A80">
        <w:t>involves</w:t>
      </w:r>
      <w:r w:rsidR="006C6F09">
        <w:t xml:space="preserve"> </w:t>
      </w:r>
      <w:r w:rsidRPr="00A22A80">
        <w:t>the</w:t>
      </w:r>
      <w:r w:rsidR="006C6F09">
        <w:t xml:space="preserve"> </w:t>
      </w:r>
      <w:r w:rsidRPr="00A22A80">
        <w:t>construction</w:t>
      </w:r>
      <w:r w:rsidR="006C6F09">
        <w:t xml:space="preserve"> </w:t>
      </w:r>
      <w:r w:rsidRPr="00A22A80">
        <w:t>of</w:t>
      </w:r>
      <w:r w:rsidR="006C6F09">
        <w:t xml:space="preserve"> </w:t>
      </w:r>
      <w:r w:rsidRPr="00A22A80">
        <w:t>a</w:t>
      </w:r>
      <w:r w:rsidR="006C6F09">
        <w:t xml:space="preserve"> </w:t>
      </w:r>
      <w:r w:rsidRPr="00A22A80">
        <w:t>highway</w:t>
      </w:r>
      <w:r w:rsidR="006C6F09">
        <w:t xml:space="preserve"> </w:t>
      </w:r>
      <w:r w:rsidRPr="00A22A80">
        <w:t>at</w:t>
      </w:r>
      <w:r w:rsidR="006C6F09">
        <w:t xml:space="preserve"> </w:t>
      </w:r>
      <w:r w:rsidRPr="00A22A80">
        <w:t>a</w:t>
      </w:r>
      <w:r w:rsidR="006C6F09">
        <w:t xml:space="preserve"> </w:t>
      </w:r>
      <w:r w:rsidRPr="00A22A80">
        <w:t>new</w:t>
      </w:r>
      <w:r w:rsidR="006C6F09">
        <w:t xml:space="preserve"> </w:t>
      </w:r>
      <w:r w:rsidRPr="00A22A80">
        <w:t>location</w:t>
      </w:r>
      <w:r w:rsidR="006C6F09">
        <w:t xml:space="preserve"> </w:t>
      </w:r>
      <w:r w:rsidRPr="00A22A80">
        <w:t>(see</w:t>
      </w:r>
      <w:r w:rsidR="006C6F09">
        <w:t xml:space="preserve"> </w:t>
      </w:r>
      <w:r w:rsidRPr="00263E76">
        <w:rPr>
          <w:u w:val="single"/>
        </w:rPr>
        <w:fldChar w:fldCharType="begin"/>
      </w:r>
      <w:r w:rsidRPr="00263E76">
        <w:rPr>
          <w:u w:val="single"/>
        </w:rPr>
        <w:instrText xml:space="preserve"> REF _Ref219789603 \h  \* MERGEFORMAT </w:instrText>
      </w:r>
      <w:r w:rsidRPr="00263E76">
        <w:rPr>
          <w:u w:val="single"/>
        </w:rPr>
      </w:r>
      <w:r w:rsidRPr="00263E76">
        <w:rPr>
          <w:u w:val="single"/>
        </w:rPr>
        <w:fldChar w:fldCharType="separate"/>
      </w:r>
      <w:r w:rsidRPr="00263E76">
        <w:rPr>
          <w:color w:val="0056A9"/>
          <w:u w:val="single"/>
        </w:rPr>
        <w:t>3.1</w:t>
      </w:r>
      <w:r w:rsidRPr="00263E76">
        <w:rPr>
          <w:u w:val="single"/>
        </w:rPr>
        <w:fldChar w:fldCharType="end"/>
      </w:r>
      <w:r w:rsidR="006C6F09">
        <w:t xml:space="preserve"> </w:t>
      </w:r>
      <w:r w:rsidRPr="00A22A80">
        <w:t>above</w:t>
      </w:r>
      <w:r w:rsidR="006C6F09">
        <w:t xml:space="preserve"> </w:t>
      </w:r>
      <w:r w:rsidRPr="00A22A80">
        <w:t>for</w:t>
      </w:r>
      <w:r w:rsidR="006C6F09">
        <w:t xml:space="preserve"> </w:t>
      </w:r>
      <w:r w:rsidRPr="00A22A80">
        <w:t>an</w:t>
      </w:r>
      <w:r w:rsidR="006C6F09">
        <w:t xml:space="preserve"> </w:t>
      </w:r>
      <w:r w:rsidRPr="00A22A80">
        <w:t>explanation</w:t>
      </w:r>
      <w:r w:rsidR="006C6F09">
        <w:t xml:space="preserve"> </w:t>
      </w:r>
      <w:r w:rsidRPr="00A22A80">
        <w:t>of</w:t>
      </w:r>
      <w:r w:rsidR="006C6F09">
        <w:t xml:space="preserve"> </w:t>
      </w:r>
      <w:r w:rsidRPr="00A22A80">
        <w:t>“new</w:t>
      </w:r>
      <w:r w:rsidR="006C6F09">
        <w:t xml:space="preserve"> </w:t>
      </w:r>
      <w:r w:rsidRPr="00A22A80">
        <w:t>location”</w:t>
      </w:r>
      <w:proofErr w:type="gramStart"/>
      <w:r w:rsidRPr="00A22A80">
        <w:t>);</w:t>
      </w:r>
      <w:proofErr w:type="gramEnd"/>
    </w:p>
    <w:p w14:paraId="63420466" w14:textId="68D04F08" w:rsidR="00457754" w:rsidRDefault="00457754" w:rsidP="00457754">
      <w:pPr>
        <w:pStyle w:val="ListBullet"/>
      </w:pPr>
      <w:r w:rsidRPr="00A22A80">
        <w:t>construction</w:t>
      </w:r>
      <w:r w:rsidR="006C6F09">
        <w:t xml:space="preserve"> </w:t>
      </w:r>
      <w:r w:rsidRPr="00A22A80">
        <w:t>has</w:t>
      </w:r>
      <w:r w:rsidR="006C6F09">
        <w:t xml:space="preserve"> </w:t>
      </w:r>
      <w:r w:rsidRPr="00A22A80">
        <w:t>not</w:t>
      </w:r>
      <w:r w:rsidR="006C6F09">
        <w:t xml:space="preserve"> </w:t>
      </w:r>
      <w:r w:rsidRPr="00A22A80">
        <w:t>yet</w:t>
      </w:r>
      <w:r w:rsidR="006C6F09">
        <w:t xml:space="preserve"> </w:t>
      </w:r>
      <w:r w:rsidRPr="00A22A80">
        <w:t>begun;</w:t>
      </w:r>
      <w:r w:rsidR="006C6F09">
        <w:t xml:space="preserve"> </w:t>
      </w:r>
      <w:r w:rsidRPr="001938CF">
        <w:rPr>
          <w:b/>
          <w:bCs/>
        </w:rPr>
        <w:t>and</w:t>
      </w:r>
    </w:p>
    <w:p w14:paraId="76AFA3DB" w14:textId="479A8425" w:rsidR="00457754" w:rsidRPr="00A22A80" w:rsidRDefault="00457754" w:rsidP="00457754">
      <w:pPr>
        <w:pStyle w:val="ListBullet"/>
      </w:pPr>
      <w:r w:rsidRPr="00A22A80">
        <w:lastRenderedPageBreak/>
        <w:t>conditions</w:t>
      </w:r>
      <w:r w:rsidR="006C6F09">
        <w:t xml:space="preserve"> </w:t>
      </w:r>
      <w:r w:rsidRPr="00A22A80">
        <w:t>relating</w:t>
      </w:r>
      <w:r w:rsidR="006C6F09">
        <w:t xml:space="preserve"> </w:t>
      </w:r>
      <w:r w:rsidRPr="00A22A80">
        <w:t>to</w:t>
      </w:r>
      <w:r w:rsidR="006C6F09">
        <w:t xml:space="preserve"> </w:t>
      </w:r>
      <w:r w:rsidRPr="00A22A80">
        <w:t>land</w:t>
      </w:r>
      <w:r w:rsidR="006C6F09">
        <w:t xml:space="preserve"> </w:t>
      </w:r>
      <w:r w:rsidRPr="00A22A80">
        <w:t>use,</w:t>
      </w:r>
      <w:r w:rsidR="006C6F09">
        <w:t xml:space="preserve"> </w:t>
      </w:r>
      <w:r w:rsidRPr="00A22A80">
        <w:t>traffic</w:t>
      </w:r>
      <w:r w:rsidR="006C6F09">
        <w:t xml:space="preserve"> </w:t>
      </w:r>
      <w:r w:rsidRPr="00A22A80">
        <w:t>volumes,</w:t>
      </w:r>
      <w:r w:rsidR="006C6F09">
        <w:t xml:space="preserve"> </w:t>
      </w:r>
      <w:r w:rsidRPr="00A22A80">
        <w:t>and</w:t>
      </w:r>
      <w:r w:rsidR="006C6F09">
        <w:t xml:space="preserve"> </w:t>
      </w:r>
      <w:r w:rsidRPr="00A22A80">
        <w:t>traffic</w:t>
      </w:r>
      <w:r w:rsidR="006C6F09">
        <w:t xml:space="preserve"> </w:t>
      </w:r>
      <w:r w:rsidRPr="00A22A80">
        <w:t>patterns</w:t>
      </w:r>
      <w:r w:rsidR="006C6F09">
        <w:t xml:space="preserve"> </w:t>
      </w:r>
      <w:r w:rsidRPr="00A22A80">
        <w:t>have</w:t>
      </w:r>
      <w:r w:rsidR="006C6F09">
        <w:t xml:space="preserve"> </w:t>
      </w:r>
      <w:r w:rsidRPr="00A22A80">
        <w:t>changed</w:t>
      </w:r>
      <w:r w:rsidR="006C6F09">
        <w:t xml:space="preserve"> </w:t>
      </w:r>
      <w:r w:rsidRPr="00A22A80">
        <w:t>significantly</w:t>
      </w:r>
      <w:r w:rsidR="006C6F09">
        <w:t xml:space="preserve"> </w:t>
      </w:r>
      <w:r w:rsidRPr="00A22A80">
        <w:t>since</w:t>
      </w:r>
      <w:r w:rsidR="006C6F09">
        <w:t xml:space="preserve"> </w:t>
      </w:r>
      <w:r w:rsidRPr="00A22A80">
        <w:t>the</w:t>
      </w:r>
      <w:r w:rsidR="006C6F09">
        <w:t xml:space="preserve"> </w:t>
      </w:r>
      <w:r w:rsidRPr="00A22A80">
        <w:t>project</w:t>
      </w:r>
      <w:r w:rsidR="006C6F09">
        <w:t xml:space="preserve"> </w:t>
      </w:r>
      <w:r w:rsidRPr="00A22A80">
        <w:t>was</w:t>
      </w:r>
      <w:r w:rsidR="006C6F09">
        <w:t xml:space="preserve"> </w:t>
      </w:r>
      <w:r w:rsidRPr="00A22A80">
        <w:t>originally</w:t>
      </w:r>
      <w:r w:rsidR="006C6F09">
        <w:t xml:space="preserve"> </w:t>
      </w:r>
      <w:r w:rsidRPr="00A22A80">
        <w:t>subject</w:t>
      </w:r>
      <w:r w:rsidR="006C6F09">
        <w:t xml:space="preserve"> </w:t>
      </w:r>
      <w:r w:rsidRPr="00A22A80">
        <w:t>to</w:t>
      </w:r>
      <w:r w:rsidR="006C6F09">
        <w:t xml:space="preserve"> </w:t>
      </w:r>
      <w:r w:rsidRPr="00A22A80">
        <w:t>public</w:t>
      </w:r>
      <w:r w:rsidR="006C6F09">
        <w:t xml:space="preserve"> </w:t>
      </w:r>
      <w:r w:rsidRPr="00A22A80">
        <w:t>review</w:t>
      </w:r>
      <w:r w:rsidR="006C6F09">
        <w:t xml:space="preserve"> </w:t>
      </w:r>
      <w:r w:rsidRPr="00A22A80">
        <w:t>and</w:t>
      </w:r>
      <w:r w:rsidR="006C6F09">
        <w:t xml:space="preserve"> </w:t>
      </w:r>
      <w:r w:rsidRPr="00A22A80">
        <w:t>comment.</w:t>
      </w:r>
    </w:p>
    <w:p w14:paraId="4B2DF5F4" w14:textId="718B7971" w:rsidR="00457754" w:rsidRDefault="00457754" w:rsidP="00457754">
      <w:r>
        <w:t>Regarding</w:t>
      </w:r>
      <w:r w:rsidR="006C6F09">
        <w:t xml:space="preserve"> </w:t>
      </w:r>
      <w:r>
        <w:t>the</w:t>
      </w:r>
      <w:r w:rsidR="006C6F09">
        <w:t xml:space="preserve"> </w:t>
      </w:r>
      <w:r>
        <w:t>third</w:t>
      </w:r>
      <w:r w:rsidR="006C6F09">
        <w:t xml:space="preserve"> </w:t>
      </w:r>
      <w:r>
        <w:t>bullet</w:t>
      </w:r>
      <w:r w:rsidR="006C6F09">
        <w:t xml:space="preserve"> </w:t>
      </w:r>
      <w:r>
        <w:t>point</w:t>
      </w:r>
      <w:r w:rsidR="006C6F09">
        <w:t xml:space="preserve"> </w:t>
      </w:r>
      <w:r>
        <w:t>above,</w:t>
      </w:r>
      <w:r w:rsidR="006C6F09">
        <w:t xml:space="preserve"> </w:t>
      </w:r>
      <w:r>
        <w:t>notice</w:t>
      </w:r>
      <w:r w:rsidR="006C6F09">
        <w:t xml:space="preserve"> </w:t>
      </w:r>
      <w:r>
        <w:t>that</w:t>
      </w:r>
      <w:r w:rsidR="006C6F09">
        <w:t xml:space="preserve"> </w:t>
      </w:r>
      <w:r>
        <w:t>for</w:t>
      </w:r>
      <w:r w:rsidR="006C6F09">
        <w:t xml:space="preserve"> </w:t>
      </w:r>
      <w:r>
        <w:t>this</w:t>
      </w:r>
      <w:r w:rsidR="006C6F09">
        <w:t xml:space="preserve"> </w:t>
      </w:r>
      <w:r>
        <w:t>trigger</w:t>
      </w:r>
      <w:r w:rsidR="006C6F09">
        <w:t xml:space="preserve"> </w:t>
      </w:r>
      <w:r>
        <w:t>to</w:t>
      </w:r>
      <w:r w:rsidR="006C6F09">
        <w:t xml:space="preserve"> </w:t>
      </w:r>
      <w:r>
        <w:t>apply,</w:t>
      </w:r>
      <w:r w:rsidR="006C6F09">
        <w:t xml:space="preserve"> </w:t>
      </w:r>
      <w:r>
        <w:t>land</w:t>
      </w:r>
      <w:r w:rsidR="006C6F09">
        <w:t xml:space="preserve"> </w:t>
      </w:r>
      <w:r>
        <w:t>use,</w:t>
      </w:r>
      <w:r w:rsidR="006C6F09">
        <w:t xml:space="preserve"> </w:t>
      </w:r>
      <w:r>
        <w:t>traffic</w:t>
      </w:r>
      <w:r w:rsidR="006C6F09">
        <w:t xml:space="preserve"> </w:t>
      </w:r>
      <w:r>
        <w:t>volumes,</w:t>
      </w:r>
      <w:r w:rsidR="006C6F09">
        <w:t xml:space="preserve"> </w:t>
      </w:r>
      <w:r w:rsidRPr="00BF1692">
        <w:rPr>
          <w:b/>
          <w:bCs/>
        </w:rPr>
        <w:t>and</w:t>
      </w:r>
      <w:r w:rsidR="006C6F09">
        <w:t xml:space="preserve"> </w:t>
      </w:r>
      <w:r>
        <w:t>traffic</w:t>
      </w:r>
      <w:r w:rsidR="006C6F09">
        <w:t xml:space="preserve"> </w:t>
      </w:r>
      <w:r>
        <w:t>patterns</w:t>
      </w:r>
      <w:r w:rsidR="006C6F09">
        <w:t xml:space="preserve"> </w:t>
      </w:r>
      <w:r>
        <w:t>(all</w:t>
      </w:r>
      <w:r w:rsidR="006C6F09">
        <w:t xml:space="preserve"> </w:t>
      </w:r>
      <w:r>
        <w:t>three)</w:t>
      </w:r>
      <w:r w:rsidR="006C6F09">
        <w:t xml:space="preserve"> </w:t>
      </w:r>
      <w:r>
        <w:t>must</w:t>
      </w:r>
      <w:r w:rsidR="006C6F09">
        <w:t xml:space="preserve"> </w:t>
      </w:r>
      <w:r>
        <w:t>have</w:t>
      </w:r>
      <w:r w:rsidR="006C6F09">
        <w:t xml:space="preserve"> </w:t>
      </w:r>
      <w:r>
        <w:t>changed</w:t>
      </w:r>
      <w:r w:rsidR="006C6F09">
        <w:t xml:space="preserve"> </w:t>
      </w:r>
      <w:r>
        <w:t>“significantly,”</w:t>
      </w:r>
      <w:r w:rsidR="006C6F09">
        <w:t xml:space="preserve"> </w:t>
      </w:r>
      <w:r>
        <w:t>which</w:t>
      </w:r>
      <w:r w:rsidR="006C6F09">
        <w:t xml:space="preserve"> </w:t>
      </w:r>
      <w:r>
        <w:t>is</w:t>
      </w:r>
      <w:r w:rsidR="006C6F09">
        <w:t xml:space="preserve"> </w:t>
      </w:r>
      <w:r>
        <w:t>a</w:t>
      </w:r>
      <w:r w:rsidR="006C6F09">
        <w:t xml:space="preserve"> </w:t>
      </w:r>
      <w:r>
        <w:t>subjective</w:t>
      </w:r>
      <w:r w:rsidR="006C6F09">
        <w:t xml:space="preserve"> </w:t>
      </w:r>
      <w:r>
        <w:t>determination</w:t>
      </w:r>
      <w:r w:rsidR="006C6F09">
        <w:t xml:space="preserve"> </w:t>
      </w:r>
      <w:r>
        <w:t>that</w:t>
      </w:r>
      <w:r w:rsidR="006C6F09">
        <w:t xml:space="preserve"> </w:t>
      </w:r>
      <w:r>
        <w:t>includes</w:t>
      </w:r>
      <w:r w:rsidR="006C6F09">
        <w:t xml:space="preserve"> </w:t>
      </w:r>
      <w:r>
        <w:t>considerations</w:t>
      </w:r>
      <w:r w:rsidR="006C6F09">
        <w:t xml:space="preserve"> </w:t>
      </w:r>
      <w:r>
        <w:t>of</w:t>
      </w:r>
      <w:r w:rsidR="006C6F09">
        <w:t xml:space="preserve"> </w:t>
      </w:r>
      <w:r>
        <w:t>both</w:t>
      </w:r>
      <w:r w:rsidR="006C6F09">
        <w:t xml:space="preserve"> </w:t>
      </w:r>
      <w:r>
        <w:t>context</w:t>
      </w:r>
      <w:r w:rsidR="006C6F09">
        <w:t xml:space="preserve"> </w:t>
      </w:r>
      <w:r>
        <w:t>and</w:t>
      </w:r>
      <w:r w:rsidR="006C6F09">
        <w:t xml:space="preserve"> </w:t>
      </w:r>
      <w:r>
        <w:t>intensity.</w:t>
      </w:r>
    </w:p>
    <w:p w14:paraId="3D4172F9" w14:textId="4CA91EF6" w:rsidR="00457754" w:rsidRPr="00B23AD6" w:rsidRDefault="00457754" w:rsidP="00457754">
      <w:pPr>
        <w:pStyle w:val="Heading3"/>
      </w:pPr>
      <w:bookmarkStart w:id="33" w:name="_Ref219789464"/>
      <w:bookmarkStart w:id="34" w:name="_Ref219789958"/>
      <w:bookmarkStart w:id="35" w:name="_Hlk216846709"/>
      <w:bookmarkStart w:id="36" w:name="_Toc224026203"/>
      <w:r w:rsidRPr="00B23AD6">
        <w:t>3.3</w:t>
      </w:r>
      <w:r w:rsidR="006C6F09" w:rsidRPr="00B23AD6">
        <w:t xml:space="preserve"> </w:t>
      </w:r>
      <w:r w:rsidRPr="00B23AD6">
        <w:t>Notification</w:t>
      </w:r>
      <w:bookmarkEnd w:id="33"/>
      <w:bookmarkEnd w:id="34"/>
      <w:bookmarkEnd w:id="36"/>
      <w:r w:rsidR="006C6F09" w:rsidRPr="00B23AD6">
        <w:t xml:space="preserve"> </w:t>
      </w:r>
    </w:p>
    <w:bookmarkEnd w:id="35"/>
    <w:p w14:paraId="12E4926D" w14:textId="65F1D7AE" w:rsidR="00457754" w:rsidRDefault="00457754" w:rsidP="00457754">
      <w:pPr>
        <w:spacing w:after="0"/>
      </w:pPr>
      <w:r>
        <w:t>A</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is</w:t>
      </w:r>
      <w:r w:rsidR="006C6F09">
        <w:t xml:space="preserve"> </w:t>
      </w:r>
      <w:r>
        <w:t>provided</w:t>
      </w:r>
      <w:r w:rsidR="006C6F09">
        <w:t xml:space="preserve"> </w:t>
      </w:r>
      <w:r>
        <w:t>to</w:t>
      </w:r>
      <w:r w:rsidR="006C6F09">
        <w:t xml:space="preserve"> </w:t>
      </w:r>
      <w:r>
        <w:t>the</w:t>
      </w:r>
      <w:r w:rsidR="006C6F09">
        <w:t xml:space="preserve"> </w:t>
      </w:r>
      <w:r>
        <w:t>following</w:t>
      </w:r>
      <w:r w:rsidR="006C6F09">
        <w:t xml:space="preserve"> </w:t>
      </w:r>
      <w:r>
        <w:t>recipients:</w:t>
      </w:r>
    </w:p>
    <w:p w14:paraId="65D21C83" w14:textId="195260B1" w:rsidR="00457754" w:rsidRPr="00E74AC1" w:rsidRDefault="00457754" w:rsidP="00457754">
      <w:pPr>
        <w:pStyle w:val="ListBullet"/>
      </w:pPr>
      <w:r w:rsidRPr="00E74AC1">
        <w:t>Owners</w:t>
      </w:r>
      <w:r w:rsidR="006C6F09">
        <w:t xml:space="preserve"> </w:t>
      </w:r>
      <w:r w:rsidRPr="00E74AC1">
        <w:t>of</w:t>
      </w:r>
      <w:r w:rsidR="006C6F09">
        <w:t xml:space="preserve"> </w:t>
      </w:r>
      <w:r w:rsidRPr="00E74AC1">
        <w:t>real</w:t>
      </w:r>
      <w:r w:rsidR="006C6F09">
        <w:t xml:space="preserve"> </w:t>
      </w:r>
      <w:r w:rsidRPr="00E74AC1">
        <w:t>property</w:t>
      </w:r>
      <w:r w:rsidR="006C6F09">
        <w:t xml:space="preserve"> </w:t>
      </w:r>
      <w:r w:rsidRPr="00E74AC1">
        <w:t>that</w:t>
      </w:r>
      <w:r w:rsidR="006C6F09">
        <w:t xml:space="preserve"> </w:t>
      </w:r>
      <w:r w:rsidRPr="00E74AC1">
        <w:t>would</w:t>
      </w:r>
      <w:r w:rsidR="006C6F09">
        <w:t xml:space="preserve"> </w:t>
      </w:r>
      <w:r w:rsidRPr="00E74AC1">
        <w:t>be</w:t>
      </w:r>
      <w:r w:rsidR="006C6F09">
        <w:t xml:space="preserve"> </w:t>
      </w:r>
      <w:r w:rsidRPr="00E74AC1">
        <w:t>acquired</w:t>
      </w:r>
    </w:p>
    <w:p w14:paraId="489CC147" w14:textId="3231060D" w:rsidR="00457754" w:rsidRPr="00E74AC1" w:rsidRDefault="00457754" w:rsidP="00457754">
      <w:pPr>
        <w:pStyle w:val="ListBullet"/>
      </w:pPr>
      <w:r w:rsidRPr="00E74AC1">
        <w:t>Owners</w:t>
      </w:r>
      <w:r w:rsidR="006C6F09">
        <w:t xml:space="preserve"> </w:t>
      </w:r>
      <w:r w:rsidRPr="00E74AC1">
        <w:t>of</w:t>
      </w:r>
      <w:r w:rsidR="006C6F09">
        <w:t xml:space="preserve"> </w:t>
      </w:r>
      <w:r w:rsidRPr="00E74AC1">
        <w:t>real</w:t>
      </w:r>
      <w:r w:rsidR="006C6F09">
        <w:t xml:space="preserve"> </w:t>
      </w:r>
      <w:r w:rsidRPr="00E74AC1">
        <w:t>property</w:t>
      </w:r>
      <w:r w:rsidR="006C6F09">
        <w:t xml:space="preserve"> </w:t>
      </w:r>
      <w:r w:rsidRPr="00E74AC1">
        <w:t>that</w:t>
      </w:r>
      <w:r w:rsidR="006C6F09">
        <w:t xml:space="preserve"> </w:t>
      </w:r>
      <w:r w:rsidRPr="00E74AC1">
        <w:t>is</w:t>
      </w:r>
      <w:r w:rsidR="006C6F09">
        <w:t xml:space="preserve"> </w:t>
      </w:r>
      <w:r w:rsidRPr="00E74AC1">
        <w:t>adjacent</w:t>
      </w:r>
      <w:r w:rsidR="006C6F09">
        <w:t xml:space="preserve"> </w:t>
      </w:r>
      <w:r w:rsidRPr="00E74AC1">
        <w:t>to</w:t>
      </w:r>
      <w:r w:rsidR="006C6F09">
        <w:t xml:space="preserve"> </w:t>
      </w:r>
      <w:r w:rsidRPr="00E74AC1">
        <w:t>the</w:t>
      </w:r>
      <w:r w:rsidR="006C6F09">
        <w:t xml:space="preserve"> </w:t>
      </w:r>
      <w:r w:rsidRPr="00E74AC1">
        <w:t>project</w:t>
      </w:r>
      <w:r w:rsidR="006C6F09">
        <w:t xml:space="preserve"> </w:t>
      </w:r>
      <w:r w:rsidRPr="00E74AC1">
        <w:t>(only</w:t>
      </w:r>
      <w:r w:rsidR="006C6F09">
        <w:t xml:space="preserve"> </w:t>
      </w:r>
      <w:r w:rsidRPr="00E74AC1">
        <w:t>for</w:t>
      </w:r>
      <w:r w:rsidR="006C6F09">
        <w:t xml:space="preserve"> </w:t>
      </w:r>
      <w:r w:rsidRPr="00E74AC1">
        <w:t>projects</w:t>
      </w:r>
      <w:r w:rsidR="006C6F09">
        <w:t xml:space="preserve"> </w:t>
      </w:r>
      <w:r w:rsidRPr="00E74AC1">
        <w:t>that</w:t>
      </w:r>
      <w:r w:rsidR="006C6F09">
        <w:t xml:space="preserve"> </w:t>
      </w:r>
      <w:r w:rsidRPr="00E74AC1">
        <w:t>add</w:t>
      </w:r>
      <w:r w:rsidR="006C6F09">
        <w:t xml:space="preserve"> </w:t>
      </w:r>
      <w:r w:rsidRPr="00E74AC1">
        <w:t>capacity</w:t>
      </w:r>
      <w:r w:rsidR="006C6F09">
        <w:t xml:space="preserve"> </w:t>
      </w:r>
      <w:r w:rsidRPr="00E74AC1">
        <w:t>or</w:t>
      </w:r>
      <w:r w:rsidR="006C6F09">
        <w:t xml:space="preserve"> </w:t>
      </w:r>
      <w:r w:rsidRPr="00E74AC1">
        <w:t>construct</w:t>
      </w:r>
      <w:r w:rsidR="006C6F09">
        <w:t xml:space="preserve"> </w:t>
      </w:r>
      <w:r w:rsidRPr="00E74AC1">
        <w:t>a</w:t>
      </w:r>
      <w:r w:rsidR="006C6F09">
        <w:t xml:space="preserve"> </w:t>
      </w:r>
      <w:r w:rsidRPr="00E74AC1">
        <w:t>highway</w:t>
      </w:r>
      <w:r w:rsidR="006C6F09">
        <w:t xml:space="preserve"> </w:t>
      </w:r>
      <w:r w:rsidRPr="00E74AC1">
        <w:t>at</w:t>
      </w:r>
      <w:r w:rsidR="006C6F09">
        <w:t xml:space="preserve"> </w:t>
      </w:r>
      <w:r w:rsidRPr="00E74AC1">
        <w:t>a</w:t>
      </w:r>
      <w:r w:rsidR="006C6F09">
        <w:t xml:space="preserve"> </w:t>
      </w:r>
      <w:r w:rsidRPr="00E74AC1">
        <w:t>new</w:t>
      </w:r>
      <w:r w:rsidR="006C6F09">
        <w:t xml:space="preserve"> </w:t>
      </w:r>
      <w:r w:rsidRPr="00E74AC1">
        <w:t>location)</w:t>
      </w:r>
    </w:p>
    <w:p w14:paraId="40AFAC04" w14:textId="0C060167" w:rsidR="00457754" w:rsidRPr="00E74AC1" w:rsidRDefault="00457754" w:rsidP="00457754">
      <w:pPr>
        <w:pStyle w:val="ListBullet"/>
      </w:pPr>
      <w:r w:rsidRPr="00E74AC1">
        <w:t>Affected</w:t>
      </w:r>
      <w:r w:rsidR="006C6F09">
        <w:t xml:space="preserve"> </w:t>
      </w:r>
      <w:r w:rsidRPr="00E74AC1">
        <w:t>local</w:t>
      </w:r>
      <w:r w:rsidR="006C6F09">
        <w:t xml:space="preserve"> </w:t>
      </w:r>
      <w:r w:rsidRPr="00E74AC1">
        <w:t>governments</w:t>
      </w:r>
      <w:r w:rsidR="006C6F09">
        <w:t xml:space="preserve"> </w:t>
      </w:r>
      <w:r w:rsidRPr="00E74AC1">
        <w:t>and</w:t>
      </w:r>
      <w:r w:rsidR="006C6F09">
        <w:t xml:space="preserve"> </w:t>
      </w:r>
      <w:r w:rsidRPr="00E74AC1">
        <w:t>public</w:t>
      </w:r>
      <w:r w:rsidR="006C6F09">
        <w:t xml:space="preserve"> </w:t>
      </w:r>
      <w:r w:rsidRPr="00E74AC1">
        <w:t>officials</w:t>
      </w:r>
      <w:r w:rsidR="006C6F09">
        <w:t xml:space="preserve"> </w:t>
      </w:r>
      <w:r w:rsidRPr="00E74AC1">
        <w:t>(only</w:t>
      </w:r>
      <w:r w:rsidR="006C6F09">
        <w:t xml:space="preserve"> </w:t>
      </w:r>
      <w:r w:rsidRPr="00E74AC1">
        <w:t>for</w:t>
      </w:r>
      <w:r w:rsidR="006C6F09">
        <w:t xml:space="preserve"> </w:t>
      </w:r>
      <w:r w:rsidRPr="00E74AC1">
        <w:t>projects</w:t>
      </w:r>
      <w:r w:rsidR="006C6F09">
        <w:t xml:space="preserve"> </w:t>
      </w:r>
      <w:r w:rsidRPr="00E74AC1">
        <w:t>that</w:t>
      </w:r>
      <w:r w:rsidR="006C6F09">
        <w:t xml:space="preserve"> </w:t>
      </w:r>
      <w:r w:rsidRPr="00E74AC1">
        <w:t>add</w:t>
      </w:r>
      <w:r w:rsidR="006C6F09">
        <w:t xml:space="preserve"> </w:t>
      </w:r>
      <w:r w:rsidRPr="00E74AC1">
        <w:t>capacity</w:t>
      </w:r>
      <w:r w:rsidR="006C6F09">
        <w:t xml:space="preserve"> </w:t>
      </w:r>
      <w:r w:rsidRPr="00E74AC1">
        <w:t>or</w:t>
      </w:r>
      <w:r w:rsidR="006C6F09">
        <w:t xml:space="preserve"> </w:t>
      </w:r>
      <w:r w:rsidRPr="00E74AC1">
        <w:t>construct</w:t>
      </w:r>
      <w:r w:rsidR="006C6F09">
        <w:t xml:space="preserve"> </w:t>
      </w:r>
      <w:r w:rsidRPr="00E74AC1">
        <w:t>a</w:t>
      </w:r>
      <w:r w:rsidR="006C6F09">
        <w:t xml:space="preserve"> </w:t>
      </w:r>
      <w:r w:rsidRPr="00E74AC1">
        <w:t>highway</w:t>
      </w:r>
      <w:r w:rsidR="006C6F09">
        <w:t xml:space="preserve"> </w:t>
      </w:r>
      <w:r w:rsidRPr="00E74AC1">
        <w:t>at</w:t>
      </w:r>
      <w:r w:rsidR="006C6F09">
        <w:t xml:space="preserve"> </w:t>
      </w:r>
      <w:r w:rsidRPr="00E74AC1">
        <w:t>a</w:t>
      </w:r>
      <w:r w:rsidR="006C6F09">
        <w:t xml:space="preserve"> </w:t>
      </w:r>
      <w:r w:rsidRPr="00E74AC1">
        <w:t>new</w:t>
      </w:r>
      <w:r w:rsidR="006C6F09">
        <w:t xml:space="preserve"> </w:t>
      </w:r>
      <w:r w:rsidRPr="00E74AC1">
        <w:t>location)</w:t>
      </w:r>
    </w:p>
    <w:p w14:paraId="2E66EC85" w14:textId="316141A5" w:rsidR="00457754" w:rsidRDefault="00457754" w:rsidP="00457754">
      <w:r>
        <w:t>As</w:t>
      </w:r>
      <w:r w:rsidR="006C6F09">
        <w:t xml:space="preserve"> </w:t>
      </w:r>
      <w:r>
        <w:t>indicated</w:t>
      </w:r>
      <w:r w:rsidR="006C6F09">
        <w:t xml:space="preserve"> </w:t>
      </w:r>
      <w:r>
        <w:t>above,</w:t>
      </w:r>
      <w:r w:rsidR="006C6F09">
        <w:t xml:space="preserve"> </w:t>
      </w:r>
      <w:r>
        <w:t>consistent</w:t>
      </w:r>
      <w:r w:rsidR="006C6F09">
        <w:t xml:space="preserve"> </w:t>
      </w:r>
      <w:r>
        <w:t>with</w:t>
      </w:r>
      <w:r w:rsidR="006C6F09">
        <w:t xml:space="preserve"> </w:t>
      </w:r>
      <w:r w:rsidRPr="007818B1">
        <w:t>Transportation</w:t>
      </w:r>
      <w:r w:rsidR="006C6F09">
        <w:t xml:space="preserve"> </w:t>
      </w:r>
      <w:r w:rsidRPr="007818B1">
        <w:t>Code</w:t>
      </w:r>
      <w:r>
        <w:t>,</w:t>
      </w:r>
      <w:r w:rsidR="006C6F09">
        <w:t xml:space="preserve"> </w:t>
      </w:r>
      <w:r>
        <w:t>§203.022(a),</w:t>
      </w:r>
      <w:r w:rsidR="006C6F09">
        <w:t xml:space="preserve"> </w:t>
      </w:r>
      <w:r>
        <w:t>owners</w:t>
      </w:r>
      <w:r w:rsidR="006C6F09">
        <w:t xml:space="preserve"> </w:t>
      </w:r>
      <w:r>
        <w:t>of</w:t>
      </w:r>
      <w:r w:rsidR="006C6F09">
        <w:t xml:space="preserve"> </w:t>
      </w:r>
      <w:r>
        <w:t>real</w:t>
      </w:r>
      <w:r w:rsidR="006C6F09">
        <w:t xml:space="preserve"> </w:t>
      </w:r>
      <w:r>
        <w:t>property</w:t>
      </w:r>
      <w:r w:rsidR="006C6F09">
        <w:t xml:space="preserve"> </w:t>
      </w:r>
      <w:r>
        <w:t>that</w:t>
      </w:r>
      <w:r w:rsidR="006C6F09">
        <w:t xml:space="preserve"> </w:t>
      </w:r>
      <w:r>
        <w:t>is</w:t>
      </w:r>
      <w:r w:rsidR="006C6F09">
        <w:t xml:space="preserve"> </w:t>
      </w:r>
      <w:r>
        <w:t>adjacent</w:t>
      </w:r>
      <w:r w:rsidR="006C6F09">
        <w:t xml:space="preserve"> </w:t>
      </w:r>
      <w:r>
        <w:t>to</w:t>
      </w:r>
      <w:r w:rsidR="006C6F09">
        <w:t xml:space="preserve"> </w:t>
      </w:r>
      <w:r>
        <w:t>the</w:t>
      </w:r>
      <w:r w:rsidR="006C6F09">
        <w:t xml:space="preserve"> </w:t>
      </w:r>
      <w:r>
        <w:t>project</w:t>
      </w:r>
      <w:r w:rsidR="006C6F09">
        <w:t xml:space="preserve"> </w:t>
      </w:r>
      <w:r>
        <w:t>and</w:t>
      </w:r>
      <w:r w:rsidR="006C6F09">
        <w:t xml:space="preserve"> </w:t>
      </w:r>
      <w:r>
        <w:t>affected</w:t>
      </w:r>
      <w:r w:rsidR="006C6F09">
        <w:t xml:space="preserve"> </w:t>
      </w:r>
      <w:r>
        <w:t>local</w:t>
      </w:r>
      <w:r w:rsidR="006C6F09">
        <w:t xml:space="preserve"> </w:t>
      </w:r>
      <w:r>
        <w:t>governments</w:t>
      </w:r>
      <w:r w:rsidR="006C6F09">
        <w:t xml:space="preserve"> </w:t>
      </w:r>
      <w:r>
        <w:t>and</w:t>
      </w:r>
      <w:r w:rsidR="006C6F09">
        <w:t xml:space="preserve"> </w:t>
      </w:r>
      <w:r>
        <w:t>public</w:t>
      </w:r>
      <w:r w:rsidR="006C6F09">
        <w:t xml:space="preserve"> </w:t>
      </w:r>
      <w:r>
        <w:t>officials</w:t>
      </w:r>
      <w:r w:rsidR="006C6F09">
        <w:t xml:space="preserve"> </w:t>
      </w:r>
      <w:r>
        <w:t>are</w:t>
      </w:r>
      <w:r w:rsidR="006C6F09">
        <w:t xml:space="preserve"> </w:t>
      </w:r>
      <w:r>
        <w:t>required</w:t>
      </w:r>
      <w:r w:rsidR="006C6F09">
        <w:t xml:space="preserve"> </w:t>
      </w:r>
      <w:r>
        <w:t>to</w:t>
      </w:r>
      <w:r w:rsidR="006C6F09">
        <w:t xml:space="preserve"> </w:t>
      </w:r>
      <w:r>
        <w:t>receive</w:t>
      </w:r>
      <w:r w:rsidR="006C6F09">
        <w:t xml:space="preserve"> </w:t>
      </w:r>
      <w:proofErr w:type="gramStart"/>
      <w:r>
        <w:t>a</w:t>
      </w:r>
      <w:r w:rsidR="006C6F09">
        <w:t xml:space="preserve"> </w:t>
      </w:r>
      <w:r>
        <w:t>notice</w:t>
      </w:r>
      <w:proofErr w:type="gramEnd"/>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only</w:t>
      </w:r>
      <w:r w:rsidR="006C6F09">
        <w:t xml:space="preserve"> </w:t>
      </w:r>
      <w:r>
        <w:t>for</w:t>
      </w:r>
      <w:r w:rsidR="006C6F09">
        <w:t xml:space="preserve"> </w:t>
      </w:r>
      <w:r>
        <w:t>projects</w:t>
      </w:r>
      <w:r w:rsidR="006C6F09">
        <w:t xml:space="preserve"> </w:t>
      </w:r>
      <w:r>
        <w:t>that</w:t>
      </w:r>
      <w:r w:rsidR="006C6F09">
        <w:t xml:space="preserve"> </w:t>
      </w:r>
      <w:r>
        <w:t>add</w:t>
      </w:r>
      <w:r w:rsidR="006C6F09">
        <w:t xml:space="preserve"> </w:t>
      </w:r>
      <w:r>
        <w:t>capacity</w:t>
      </w:r>
      <w:r w:rsidR="006C6F09">
        <w:t xml:space="preserve"> </w:t>
      </w:r>
      <w:r>
        <w:t>or</w:t>
      </w:r>
      <w:r w:rsidR="006C6F09">
        <w:t xml:space="preserve"> </w:t>
      </w:r>
      <w:r>
        <w:t>involve</w:t>
      </w:r>
      <w:r w:rsidR="006C6F09">
        <w:t xml:space="preserve"> </w:t>
      </w:r>
      <w:r>
        <w:t>construction</w:t>
      </w:r>
      <w:r w:rsidR="006C6F09">
        <w:t xml:space="preserve"> </w:t>
      </w:r>
      <w:r>
        <w:t>of</w:t>
      </w:r>
      <w:r w:rsidR="006C6F09">
        <w:t xml:space="preserve"> </w:t>
      </w:r>
      <w:r>
        <w:t>a</w:t>
      </w:r>
      <w:r w:rsidR="006C6F09">
        <w:t xml:space="preserve"> </w:t>
      </w:r>
      <w:r>
        <w:t>highway</w:t>
      </w:r>
      <w:r w:rsidR="006C6F09">
        <w:t xml:space="preserve"> </w:t>
      </w:r>
      <w:r>
        <w:t>at</w:t>
      </w:r>
      <w:r w:rsidR="006C6F09">
        <w:t xml:space="preserve"> </w:t>
      </w:r>
      <w:r>
        <w:t>a</w:t>
      </w:r>
      <w:r w:rsidR="006C6F09">
        <w:t xml:space="preserve"> </w:t>
      </w:r>
      <w:r>
        <w:t>new</w:t>
      </w:r>
      <w:r w:rsidR="006C6F09">
        <w:t xml:space="preserve"> </w:t>
      </w:r>
      <w:r>
        <w:t>location.</w:t>
      </w:r>
      <w:r w:rsidR="00135456">
        <w:t xml:space="preserve"> </w:t>
      </w:r>
    </w:p>
    <w:p w14:paraId="3D8C86B4" w14:textId="18F728A1" w:rsidR="00457754" w:rsidRDefault="00457754" w:rsidP="00457754">
      <w:r>
        <w:t>A</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is</w:t>
      </w:r>
      <w:r w:rsidR="006C6F09">
        <w:t xml:space="preserve"> </w:t>
      </w:r>
      <w:r>
        <w:t>typically</w:t>
      </w:r>
      <w:r w:rsidR="006C6F09">
        <w:t xml:space="preserve"> </w:t>
      </w:r>
      <w:r>
        <w:t>mailed</w:t>
      </w:r>
      <w:r w:rsidR="006C6F09">
        <w:t xml:space="preserve"> </w:t>
      </w:r>
      <w:r>
        <w:t>(non-certified)</w:t>
      </w:r>
      <w:r w:rsidR="006C6F09">
        <w:t xml:space="preserve"> </w:t>
      </w:r>
      <w:r>
        <w:t>to</w:t>
      </w:r>
      <w:r w:rsidR="006C6F09">
        <w:t xml:space="preserve"> </w:t>
      </w:r>
      <w:r>
        <w:t>the</w:t>
      </w:r>
      <w:r w:rsidR="006C6F09">
        <w:t xml:space="preserve"> </w:t>
      </w:r>
      <w:r w:rsidR="00A56414">
        <w:t>recipients required</w:t>
      </w:r>
      <w:r>
        <w:t>.</w:t>
      </w:r>
      <w:r w:rsidR="006C6F09">
        <w:t xml:space="preserve"> </w:t>
      </w:r>
      <w:r>
        <w:t>Mailing</w:t>
      </w:r>
      <w:r w:rsidR="006C6F09">
        <w:t xml:space="preserve"> </w:t>
      </w:r>
      <w:r>
        <w:t>the</w:t>
      </w:r>
      <w:r w:rsidR="006C6F09">
        <w:t xml:space="preserve"> </w:t>
      </w:r>
      <w:r>
        <w:t>notice</w:t>
      </w:r>
      <w:r w:rsidR="006C6F09">
        <w:t xml:space="preserve"> </w:t>
      </w:r>
      <w:r>
        <w:t>to</w:t>
      </w:r>
      <w:r w:rsidR="006C6F09">
        <w:t xml:space="preserve"> </w:t>
      </w:r>
      <w:r>
        <w:t>the</w:t>
      </w:r>
      <w:r w:rsidR="006C6F09">
        <w:t xml:space="preserve"> </w:t>
      </w:r>
      <w:r>
        <w:t>address</w:t>
      </w:r>
      <w:r w:rsidR="006C6F09">
        <w:t xml:space="preserve"> </w:t>
      </w:r>
      <w:r>
        <w:t>listed</w:t>
      </w:r>
      <w:r w:rsidR="006C6F09">
        <w:t xml:space="preserve"> </w:t>
      </w:r>
      <w:r>
        <w:t>for</w:t>
      </w:r>
      <w:r w:rsidR="006C6F09">
        <w:t xml:space="preserve"> </w:t>
      </w:r>
      <w:r>
        <w:t>the</w:t>
      </w:r>
      <w:r w:rsidR="006C6F09">
        <w:t xml:space="preserve"> </w:t>
      </w:r>
      <w:r>
        <w:t>property</w:t>
      </w:r>
      <w:r w:rsidR="006C6F09">
        <w:t xml:space="preserve"> </w:t>
      </w:r>
      <w:r>
        <w:t>owner</w:t>
      </w:r>
      <w:r w:rsidR="006C6F09">
        <w:t xml:space="preserve"> </w:t>
      </w:r>
      <w:r>
        <w:t>in</w:t>
      </w:r>
      <w:r w:rsidR="006C6F09">
        <w:t xml:space="preserve"> </w:t>
      </w:r>
      <w:r>
        <w:t>county</w:t>
      </w:r>
      <w:r w:rsidR="006C6F09">
        <w:t xml:space="preserve"> </w:t>
      </w:r>
      <w:r>
        <w:t>or</w:t>
      </w:r>
      <w:r w:rsidR="006C6F09">
        <w:t xml:space="preserve"> </w:t>
      </w:r>
      <w:r>
        <w:t>city</w:t>
      </w:r>
      <w:r w:rsidR="006C6F09">
        <w:t xml:space="preserve"> </w:t>
      </w:r>
      <w:r>
        <w:t>records</w:t>
      </w:r>
      <w:r w:rsidR="006C6F09">
        <w:t xml:space="preserve"> </w:t>
      </w:r>
      <w:r>
        <w:t>is</w:t>
      </w:r>
      <w:r w:rsidR="006C6F09">
        <w:t xml:space="preserve"> </w:t>
      </w:r>
      <w:r>
        <w:t>sufficient.</w:t>
      </w:r>
      <w:r w:rsidR="006C6F09">
        <w:t xml:space="preserve"> </w:t>
      </w:r>
      <w:r>
        <w:t>The</w:t>
      </w:r>
      <w:r w:rsidR="006C6F09">
        <w:t xml:space="preserve"> </w:t>
      </w:r>
      <w:r>
        <w:t>notice</w:t>
      </w:r>
      <w:r w:rsidR="006C6F09">
        <w:t xml:space="preserve"> </w:t>
      </w:r>
      <w:r>
        <w:t>may</w:t>
      </w:r>
      <w:r w:rsidR="006C6F09">
        <w:t xml:space="preserve"> </w:t>
      </w:r>
      <w:r>
        <w:t>also</w:t>
      </w:r>
      <w:r w:rsidR="006C6F09">
        <w:t xml:space="preserve"> </w:t>
      </w:r>
      <w:r>
        <w:t>be</w:t>
      </w:r>
      <w:r w:rsidR="006C6F09">
        <w:t xml:space="preserve"> </w:t>
      </w:r>
      <w:r>
        <w:t>emailed.</w:t>
      </w:r>
      <w:r w:rsidR="006C6F09">
        <w:t xml:space="preserve"> </w:t>
      </w:r>
      <w:r>
        <w:t>If</w:t>
      </w:r>
      <w:r w:rsidR="006C6F09">
        <w:t xml:space="preserve"> </w:t>
      </w:r>
      <w:r>
        <w:t>email</w:t>
      </w:r>
      <w:r w:rsidR="006C6F09">
        <w:t xml:space="preserve"> </w:t>
      </w:r>
      <w:r>
        <w:t>is</w:t>
      </w:r>
      <w:r w:rsidR="006C6F09">
        <w:t xml:space="preserve"> </w:t>
      </w:r>
      <w:r>
        <w:t>used,</w:t>
      </w:r>
      <w:r w:rsidR="006C6F09">
        <w:t xml:space="preserve"> </w:t>
      </w:r>
      <w:r>
        <w:t>make</w:t>
      </w:r>
      <w:r w:rsidR="006C6F09">
        <w:t xml:space="preserve"> </w:t>
      </w:r>
      <w:r>
        <w:t>sure</w:t>
      </w:r>
      <w:r w:rsidR="006C6F09">
        <w:t xml:space="preserve"> </w:t>
      </w:r>
      <w:r>
        <w:t>that</w:t>
      </w:r>
      <w:r w:rsidR="006C6F09">
        <w:t xml:space="preserve"> </w:t>
      </w:r>
      <w:r>
        <w:t>recipients</w:t>
      </w:r>
      <w:r w:rsidR="006C6F09">
        <w:t xml:space="preserve"> </w:t>
      </w:r>
      <w:r>
        <w:t>cannot</w:t>
      </w:r>
      <w:r w:rsidR="006C6F09">
        <w:t xml:space="preserve"> </w:t>
      </w:r>
      <w:r>
        <w:t>view</w:t>
      </w:r>
      <w:r w:rsidR="006C6F09">
        <w:t xml:space="preserve"> </w:t>
      </w:r>
      <w:r>
        <w:t>other</w:t>
      </w:r>
      <w:r w:rsidR="006C6F09">
        <w:t xml:space="preserve"> </w:t>
      </w:r>
      <w:r>
        <w:t>recipients’</w:t>
      </w:r>
      <w:r w:rsidR="006C6F09">
        <w:t xml:space="preserve"> </w:t>
      </w:r>
      <w:r>
        <w:t>email</w:t>
      </w:r>
      <w:r w:rsidR="006C6F09">
        <w:t xml:space="preserve"> </w:t>
      </w:r>
      <w:r>
        <w:t>addresses,</w:t>
      </w:r>
      <w:r w:rsidR="006C6F09">
        <w:t xml:space="preserve"> </w:t>
      </w:r>
      <w:r>
        <w:t>as</w:t>
      </w:r>
      <w:r w:rsidR="006C6F09">
        <w:t xml:space="preserve"> </w:t>
      </w:r>
      <w:r>
        <w:t>email</w:t>
      </w:r>
      <w:r w:rsidR="006C6F09">
        <w:t xml:space="preserve"> </w:t>
      </w:r>
      <w:r>
        <w:t>addresses</w:t>
      </w:r>
      <w:r w:rsidR="006C6F09">
        <w:t xml:space="preserve"> </w:t>
      </w:r>
      <w:r>
        <w:t>of</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must</w:t>
      </w:r>
      <w:r w:rsidR="006C6F09">
        <w:t xml:space="preserve"> </w:t>
      </w:r>
      <w:r>
        <w:t>be</w:t>
      </w:r>
      <w:r w:rsidR="006C6F09">
        <w:t xml:space="preserve"> </w:t>
      </w:r>
      <w:r>
        <w:t>withheld</w:t>
      </w:r>
      <w:r w:rsidR="006C6F09">
        <w:t xml:space="preserve"> </w:t>
      </w:r>
      <w:r>
        <w:t>from</w:t>
      </w:r>
      <w:r w:rsidR="006C6F09">
        <w:t xml:space="preserve"> </w:t>
      </w:r>
      <w:r>
        <w:t>public</w:t>
      </w:r>
      <w:r w:rsidR="006C6F09">
        <w:t xml:space="preserve"> </w:t>
      </w:r>
      <w:r>
        <w:t>disclosure</w:t>
      </w:r>
      <w:r w:rsidR="006C6F09">
        <w:t xml:space="preserve"> </w:t>
      </w:r>
      <w:r>
        <w:t>in</w:t>
      </w:r>
      <w:r w:rsidR="006C6F09">
        <w:t xml:space="preserve"> </w:t>
      </w:r>
      <w:r>
        <w:t>accordance</w:t>
      </w:r>
      <w:r w:rsidR="006C6F09">
        <w:t xml:space="preserve"> </w:t>
      </w:r>
      <w:r>
        <w:t>with</w:t>
      </w:r>
      <w:r w:rsidR="006C6F09">
        <w:t xml:space="preserve"> </w:t>
      </w:r>
      <w:hyperlink r:id="rId40" w:history="1">
        <w:r w:rsidRPr="00D665C7">
          <w:rPr>
            <w:rStyle w:val="Hyperlink"/>
          </w:rPr>
          <w:t>Texas</w:t>
        </w:r>
        <w:r w:rsidR="006C6F09">
          <w:rPr>
            <w:rStyle w:val="Hyperlink"/>
          </w:rPr>
          <w:t xml:space="preserve"> </w:t>
        </w:r>
        <w:r w:rsidRPr="00D665C7">
          <w:rPr>
            <w:rStyle w:val="Hyperlink"/>
          </w:rPr>
          <w:t>Government</w:t>
        </w:r>
        <w:r w:rsidR="006C6F09">
          <w:rPr>
            <w:rStyle w:val="Hyperlink"/>
          </w:rPr>
          <w:t xml:space="preserve"> </w:t>
        </w:r>
        <w:r w:rsidRPr="00D665C7">
          <w:rPr>
            <w:rStyle w:val="Hyperlink"/>
          </w:rPr>
          <w:t>Code</w:t>
        </w:r>
        <w:r w:rsidR="006C6F09">
          <w:rPr>
            <w:rStyle w:val="Hyperlink"/>
          </w:rPr>
          <w:t xml:space="preserve"> </w:t>
        </w:r>
        <w:r w:rsidRPr="00D665C7">
          <w:rPr>
            <w:rStyle w:val="Hyperlink"/>
          </w:rPr>
          <w:t>552.137(a)</w:t>
        </w:r>
      </w:hyperlink>
      <w:r w:rsidRPr="00D665C7">
        <w:t>.</w:t>
      </w:r>
      <w:r w:rsidR="00135456">
        <w:t xml:space="preserve"> </w:t>
      </w:r>
      <w:r w:rsidRPr="00D665C7">
        <w:t>The</w:t>
      </w:r>
      <w:r w:rsidR="006C6F09">
        <w:t xml:space="preserve"> </w:t>
      </w:r>
      <w:r w:rsidRPr="00D665C7">
        <w:t>notice</w:t>
      </w:r>
      <w:r w:rsidR="006C6F09">
        <w:t xml:space="preserve"> </w:t>
      </w:r>
      <w:r w:rsidRPr="00D665C7">
        <w:t>and</w:t>
      </w:r>
      <w:r w:rsidR="006C6F09">
        <w:t xml:space="preserve"> </w:t>
      </w:r>
      <w:r w:rsidRPr="00D665C7">
        <w:t>o</w:t>
      </w:r>
      <w:r>
        <w:t>pportunity</w:t>
      </w:r>
      <w:r w:rsidR="006C6F09">
        <w:t xml:space="preserve"> </w:t>
      </w:r>
      <w:r>
        <w:t>to</w:t>
      </w:r>
      <w:r w:rsidR="006C6F09">
        <w:t xml:space="preserve"> </w:t>
      </w:r>
      <w:r>
        <w:t>comment</w:t>
      </w:r>
      <w:r w:rsidR="006C6F09">
        <w:t xml:space="preserve"> </w:t>
      </w:r>
      <w:r>
        <w:t>must</w:t>
      </w:r>
      <w:r w:rsidR="006C6F09">
        <w:t xml:space="preserve"> </w:t>
      </w:r>
      <w:r>
        <w:t>be</w:t>
      </w:r>
      <w:r w:rsidR="006C6F09">
        <w:t xml:space="preserve"> </w:t>
      </w:r>
      <w:r>
        <w:t>in</w:t>
      </w:r>
      <w:r w:rsidR="006C6F09">
        <w:t xml:space="preserve"> </w:t>
      </w:r>
      <w:r>
        <w:t>English</w:t>
      </w:r>
      <w:r w:rsidR="006C6F09">
        <w:t xml:space="preserve"> </w:t>
      </w:r>
      <w:r>
        <w:t>and</w:t>
      </w:r>
      <w:r w:rsidR="006C6F09">
        <w:t xml:space="preserve"> </w:t>
      </w:r>
      <w:r>
        <w:t>any</w:t>
      </w:r>
      <w:r w:rsidR="006C6F09">
        <w:t xml:space="preserve"> </w:t>
      </w:r>
      <w:r>
        <w:t>other</w:t>
      </w:r>
      <w:r w:rsidR="006C6F09">
        <w:t xml:space="preserve"> </w:t>
      </w:r>
      <w:r>
        <w:t>language</w:t>
      </w:r>
      <w:r w:rsidR="006C6F09">
        <w:t xml:space="preserve"> </w:t>
      </w:r>
      <w:r>
        <w:t>identified</w:t>
      </w:r>
      <w:r w:rsidR="006C6F09">
        <w:t xml:space="preserve"> </w:t>
      </w:r>
      <w:r>
        <w:t>as</w:t>
      </w:r>
      <w:r w:rsidR="006C6F09">
        <w:t xml:space="preserve"> </w:t>
      </w:r>
      <w:r>
        <w:t>commonly</w:t>
      </w:r>
      <w:r w:rsidR="006C6F09">
        <w:t xml:space="preserve"> </w:t>
      </w:r>
      <w:r>
        <w:t>spoken</w:t>
      </w:r>
      <w:r w:rsidR="006C6F09">
        <w:t xml:space="preserve"> </w:t>
      </w:r>
      <w:r>
        <w:t>in</w:t>
      </w:r>
      <w:r w:rsidR="006C6F09">
        <w:t xml:space="preserve"> </w:t>
      </w:r>
      <w:r>
        <w:t>the</w:t>
      </w:r>
      <w:r w:rsidR="006C6F09">
        <w:t xml:space="preserve"> </w:t>
      </w:r>
      <w:r>
        <w:t>project</w:t>
      </w:r>
      <w:r w:rsidR="006C6F09">
        <w:t xml:space="preserve"> </w:t>
      </w:r>
      <w:r>
        <w:t>area.</w:t>
      </w:r>
    </w:p>
    <w:p w14:paraId="53187FCE" w14:textId="75F2C65A" w:rsidR="00457754" w:rsidRDefault="00457754" w:rsidP="00457754">
      <w:r>
        <w:lastRenderedPageBreak/>
        <w:t>A</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when</w:t>
      </w:r>
      <w:r w:rsidR="006C6F09">
        <w:t xml:space="preserve"> </w:t>
      </w:r>
      <w:r>
        <w:t>required,</w:t>
      </w:r>
      <w:r w:rsidR="006C6F09">
        <w:t xml:space="preserve"> </w:t>
      </w:r>
      <w:r>
        <w:t>can</w:t>
      </w:r>
      <w:r w:rsidR="006C6F09">
        <w:t xml:space="preserve"> </w:t>
      </w:r>
      <w:r>
        <w:t>be</w:t>
      </w:r>
      <w:r w:rsidR="006C6F09">
        <w:t xml:space="preserve"> </w:t>
      </w:r>
      <w:r>
        <w:t>provided</w:t>
      </w:r>
      <w:r w:rsidR="006C6F09">
        <w:t xml:space="preserve"> </w:t>
      </w:r>
      <w:r>
        <w:t>at</w:t>
      </w:r>
      <w:r w:rsidR="006C6F09">
        <w:t xml:space="preserve"> </w:t>
      </w:r>
      <w:r>
        <w:t>any</w:t>
      </w:r>
      <w:r w:rsidR="006C6F09">
        <w:t xml:space="preserve"> </w:t>
      </w:r>
      <w:r>
        <w:t>time</w:t>
      </w:r>
      <w:r w:rsidR="006C6F09">
        <w:t xml:space="preserve"> </w:t>
      </w:r>
      <w:r>
        <w:t>during</w:t>
      </w:r>
      <w:r w:rsidR="006C6F09">
        <w:t xml:space="preserve"> </w:t>
      </w:r>
      <w:r>
        <w:t>the</w:t>
      </w:r>
      <w:r w:rsidR="006C6F09">
        <w:t xml:space="preserve"> </w:t>
      </w:r>
      <w:r>
        <w:t>project</w:t>
      </w:r>
      <w:r w:rsidR="006C6F09">
        <w:t xml:space="preserve"> </w:t>
      </w:r>
      <w:r>
        <w:t>development</w:t>
      </w:r>
      <w:r w:rsidR="006C6F09">
        <w:t xml:space="preserve"> </w:t>
      </w:r>
      <w:r>
        <w:t>process</w:t>
      </w:r>
      <w:r w:rsidR="006C6F09">
        <w:t xml:space="preserve"> </w:t>
      </w:r>
      <w:r>
        <w:t>prior</w:t>
      </w:r>
      <w:r w:rsidR="006C6F09">
        <w:t xml:space="preserve"> </w:t>
      </w:r>
      <w:r>
        <w:t>to</w:t>
      </w:r>
      <w:r w:rsidR="006C6F09">
        <w:t xml:space="preserve"> </w:t>
      </w:r>
      <w:r>
        <w:t>the</w:t>
      </w:r>
      <w:r w:rsidR="006C6F09">
        <w:t xml:space="preserve"> </w:t>
      </w:r>
      <w:r>
        <w:t>environmental</w:t>
      </w:r>
      <w:r w:rsidR="006C6F09">
        <w:t xml:space="preserve"> </w:t>
      </w:r>
      <w:r>
        <w:t>decision</w:t>
      </w:r>
      <w:r w:rsidR="006C6F09">
        <w:t xml:space="preserve"> </w:t>
      </w:r>
      <w:r>
        <w:t>on</w:t>
      </w:r>
      <w:r w:rsidR="006C6F09">
        <w:t xml:space="preserve"> </w:t>
      </w:r>
      <w:r>
        <w:t>the</w:t>
      </w:r>
      <w:r w:rsidR="006C6F09">
        <w:t xml:space="preserve"> </w:t>
      </w:r>
      <w:r>
        <w:t>project</w:t>
      </w:r>
      <w:r w:rsidR="006C6F09">
        <w:t xml:space="preserve"> </w:t>
      </w:r>
      <w:r>
        <w:t>(in</w:t>
      </w:r>
      <w:r w:rsidR="006C6F09">
        <w:t xml:space="preserve"> </w:t>
      </w:r>
      <w:r>
        <w:t>other</w:t>
      </w:r>
      <w:r w:rsidR="006C6F09">
        <w:t xml:space="preserve"> </w:t>
      </w:r>
      <w:r>
        <w:t>words,</w:t>
      </w:r>
      <w:r w:rsidR="006C6F09">
        <w:t xml:space="preserve"> </w:t>
      </w:r>
      <w:r>
        <w:t>the</w:t>
      </w:r>
      <w:r w:rsidR="006C6F09">
        <w:t xml:space="preserve"> </w:t>
      </w:r>
      <w:r>
        <w:t>categorical</w:t>
      </w:r>
      <w:r w:rsidR="006C6F09">
        <w:t xml:space="preserve"> </w:t>
      </w:r>
      <w:r>
        <w:t>exclusion</w:t>
      </w:r>
      <w:r w:rsidR="006C6F09">
        <w:t xml:space="preserve"> </w:t>
      </w:r>
      <w:r>
        <w:t>determination).</w:t>
      </w:r>
      <w:r w:rsidR="006C6F09">
        <w:t xml:space="preserve"> </w:t>
      </w:r>
      <w:r>
        <w:t>However,</w:t>
      </w:r>
      <w:r w:rsidR="006C6F09">
        <w:t xml:space="preserve"> </w:t>
      </w:r>
      <w:r>
        <w:t>it</w:t>
      </w:r>
      <w:r w:rsidR="006C6F09">
        <w:t xml:space="preserve"> </w:t>
      </w:r>
      <w:r>
        <w:t>must</w:t>
      </w:r>
      <w:r w:rsidR="006C6F09">
        <w:t xml:space="preserve"> </w:t>
      </w:r>
      <w:r>
        <w:t>be</w:t>
      </w:r>
      <w:r w:rsidR="006C6F09">
        <w:t xml:space="preserve"> </w:t>
      </w:r>
      <w:r>
        <w:t>provided</w:t>
      </w:r>
      <w:r w:rsidR="006C6F09">
        <w:t xml:space="preserve"> </w:t>
      </w:r>
      <w:r>
        <w:t>in</w:t>
      </w:r>
      <w:r w:rsidR="006C6F09">
        <w:t xml:space="preserve"> </w:t>
      </w:r>
      <w:r>
        <w:t>time</w:t>
      </w:r>
      <w:r w:rsidR="006C6F09">
        <w:t xml:space="preserve"> </w:t>
      </w:r>
      <w:r>
        <w:t>to</w:t>
      </w:r>
      <w:r w:rsidR="006C6F09">
        <w:t xml:space="preserve"> </w:t>
      </w:r>
      <w:r>
        <w:t>allow</w:t>
      </w:r>
      <w:r w:rsidR="006C6F09">
        <w:t xml:space="preserve"> </w:t>
      </w:r>
      <w:r>
        <w:t>for</w:t>
      </w:r>
      <w:r w:rsidR="006C6F09">
        <w:t xml:space="preserve"> </w:t>
      </w:r>
      <w:r>
        <w:t>the</w:t>
      </w:r>
      <w:r w:rsidR="006C6F09">
        <w:t xml:space="preserve"> </w:t>
      </w:r>
      <w:r>
        <w:t>full</w:t>
      </w:r>
      <w:r w:rsidR="006C6F09">
        <w:t xml:space="preserve"> </w:t>
      </w:r>
      <w:r>
        <w:t>15-calendar-day</w:t>
      </w:r>
      <w:r w:rsidR="006C6F09">
        <w:t xml:space="preserve"> </w:t>
      </w:r>
      <w:r>
        <w:t>comment</w:t>
      </w:r>
      <w:r w:rsidR="006C6F09">
        <w:t xml:space="preserve"> </w:t>
      </w:r>
      <w:r>
        <w:t>period,</w:t>
      </w:r>
      <w:r w:rsidR="006C6F09">
        <w:t xml:space="preserve"> </w:t>
      </w:r>
      <w:r>
        <w:t>and</w:t>
      </w:r>
      <w:r w:rsidR="006C6F09">
        <w:t xml:space="preserve"> </w:t>
      </w:r>
      <w:r>
        <w:t>time</w:t>
      </w:r>
      <w:r w:rsidR="006C6F09">
        <w:t xml:space="preserve"> </w:t>
      </w:r>
      <w:r>
        <w:t>to</w:t>
      </w:r>
      <w:r w:rsidR="006C6F09">
        <w:t xml:space="preserve"> </w:t>
      </w:r>
      <w:r>
        <w:t>prepare</w:t>
      </w:r>
      <w:r w:rsidR="006C6F09">
        <w:t xml:space="preserve"> </w:t>
      </w:r>
      <w:r>
        <w:t>the</w:t>
      </w:r>
      <w:r w:rsidR="006C6F09">
        <w:t xml:space="preserve"> </w:t>
      </w:r>
      <w:r>
        <w:t>required</w:t>
      </w:r>
      <w:r w:rsidR="006C6F09">
        <w:t xml:space="preserve"> </w:t>
      </w:r>
      <w:r>
        <w:t>documentation</w:t>
      </w:r>
      <w:r w:rsidR="006C6F09">
        <w:t xml:space="preserve"> </w:t>
      </w:r>
      <w:r>
        <w:t>(see</w:t>
      </w:r>
      <w:r w:rsidR="006C6F09">
        <w:t xml:space="preserve"> </w:t>
      </w:r>
      <w:r>
        <w:t>section</w:t>
      </w:r>
      <w:r w:rsidR="006C6F09">
        <w:t xml:space="preserve"> </w:t>
      </w:r>
      <w:r w:rsidRPr="00263E76">
        <w:rPr>
          <w:u w:val="single"/>
        </w:rPr>
        <w:fldChar w:fldCharType="begin"/>
      </w:r>
      <w:r w:rsidRPr="00263E76">
        <w:rPr>
          <w:u w:val="single"/>
        </w:rPr>
        <w:instrText xml:space="preserve"> REF _Ref219785466 \h  \* MERGEFORMAT </w:instrText>
      </w:r>
      <w:r w:rsidRPr="00263E76">
        <w:rPr>
          <w:u w:val="single"/>
        </w:rPr>
      </w:r>
      <w:r w:rsidRPr="00263E76">
        <w:rPr>
          <w:u w:val="single"/>
        </w:rPr>
        <w:fldChar w:fldCharType="separate"/>
      </w:r>
      <w:r w:rsidRPr="00263E76">
        <w:rPr>
          <w:color w:val="0056A9"/>
          <w:u w:val="single"/>
        </w:rPr>
        <w:t>14.1</w:t>
      </w:r>
      <w:r w:rsidRPr="00263E76">
        <w:rPr>
          <w:u w:val="single"/>
        </w:rPr>
        <w:fldChar w:fldCharType="end"/>
      </w:r>
      <w:r w:rsidR="006C6F09">
        <w:t xml:space="preserve"> </w:t>
      </w:r>
      <w:r>
        <w:t>below)</w:t>
      </w:r>
      <w:r w:rsidR="006C6F09">
        <w:t xml:space="preserve"> </w:t>
      </w:r>
      <w:r>
        <w:t>prior</w:t>
      </w:r>
      <w:r w:rsidR="006C6F09">
        <w:t xml:space="preserve"> </w:t>
      </w:r>
      <w:r>
        <w:t>to</w:t>
      </w:r>
      <w:r w:rsidR="006C6F09">
        <w:t xml:space="preserve"> </w:t>
      </w:r>
      <w:r>
        <w:t>the</w:t>
      </w:r>
      <w:r w:rsidR="006C6F09">
        <w:t xml:space="preserve"> </w:t>
      </w:r>
      <w:r>
        <w:t>environmental</w:t>
      </w:r>
      <w:r w:rsidR="006C6F09">
        <w:t xml:space="preserve"> </w:t>
      </w:r>
      <w:r>
        <w:t>decision</w:t>
      </w:r>
      <w:r w:rsidR="006C6F09">
        <w:t xml:space="preserve"> </w:t>
      </w:r>
      <w:r>
        <w:t>on</w:t>
      </w:r>
      <w:r w:rsidR="006C6F09">
        <w:t xml:space="preserve"> </w:t>
      </w:r>
      <w:r>
        <w:t>the</w:t>
      </w:r>
      <w:r w:rsidR="006C6F09">
        <w:t xml:space="preserve"> </w:t>
      </w:r>
      <w:r>
        <w:t>project.</w:t>
      </w:r>
    </w:p>
    <w:p w14:paraId="6DEBE88F" w14:textId="2FAA9486" w:rsidR="00457754" w:rsidRPr="00B23AD6" w:rsidRDefault="00457754" w:rsidP="00457754">
      <w:pPr>
        <w:pStyle w:val="Heading3"/>
      </w:pPr>
      <w:bookmarkStart w:id="37" w:name="_Toc224026204"/>
      <w:r w:rsidRPr="00B23AD6">
        <w:t>3.4</w:t>
      </w:r>
      <w:r w:rsidR="006C6F09" w:rsidRPr="00B23AD6">
        <w:t xml:space="preserve"> </w:t>
      </w:r>
      <w:r w:rsidRPr="00B23AD6">
        <w:t>Notice</w:t>
      </w:r>
      <w:r w:rsidR="006C6F09" w:rsidRPr="00B23AD6">
        <w:t xml:space="preserve"> </w:t>
      </w:r>
      <w:r w:rsidRPr="00B23AD6">
        <w:t>Format</w:t>
      </w:r>
      <w:bookmarkEnd w:id="37"/>
      <w:r w:rsidR="006C6F09" w:rsidRPr="00B23AD6">
        <w:t xml:space="preserve"> </w:t>
      </w:r>
    </w:p>
    <w:p w14:paraId="0E45B747" w14:textId="71342042" w:rsidR="00457754" w:rsidRDefault="00457754" w:rsidP="00457754">
      <w:r w:rsidRPr="00FA7FDD">
        <w:t>See</w:t>
      </w:r>
      <w:r w:rsidR="006C6F09">
        <w:t xml:space="preserve"> </w:t>
      </w:r>
      <w:r w:rsidRPr="00FA7FDD">
        <w:t>ENV’s</w:t>
      </w:r>
      <w:r w:rsidR="006C6F09">
        <w:t xml:space="preserve"> </w:t>
      </w:r>
      <w:r w:rsidRPr="00FA7FDD">
        <w:t>Template:</w:t>
      </w:r>
      <w:r w:rsidR="006C6F09">
        <w:t xml:space="preserve"> </w:t>
      </w:r>
      <w:r w:rsidRPr="00FA7FDD">
        <w:t>Notice</w:t>
      </w:r>
      <w:r w:rsidR="006C6F09">
        <w:t xml:space="preserve"> </w:t>
      </w:r>
      <w:r w:rsidRPr="00FA7FDD">
        <w:t>and</w:t>
      </w:r>
      <w:r w:rsidR="006C6F09">
        <w:t xml:space="preserve"> </w:t>
      </w:r>
      <w:r w:rsidRPr="00FA7FDD">
        <w:t>Opportunity</w:t>
      </w:r>
      <w:r w:rsidR="006C6F09">
        <w:t xml:space="preserve"> </w:t>
      </w:r>
      <w:r w:rsidRPr="00FA7FDD">
        <w:t>to</w:t>
      </w:r>
      <w:r w:rsidR="006C6F09">
        <w:t xml:space="preserve"> </w:t>
      </w:r>
      <w:r w:rsidRPr="00FA7FDD">
        <w:t>Comment,</w:t>
      </w:r>
      <w:r w:rsidR="006C6F09">
        <w:t xml:space="preserve"> </w:t>
      </w:r>
      <w:r w:rsidRPr="00FA7FDD">
        <w:t>which</w:t>
      </w:r>
      <w:r w:rsidR="006C6F09">
        <w:t xml:space="preserve"> </w:t>
      </w:r>
      <w:r w:rsidRPr="00FA7FDD">
        <w:t>is</w:t>
      </w:r>
      <w:r w:rsidR="006C6F09">
        <w:t xml:space="preserve"> </w:t>
      </w:r>
      <w:r w:rsidRPr="00FA7FDD">
        <w:t>available</w:t>
      </w:r>
      <w:r w:rsidR="006C6F09">
        <w:t xml:space="preserve"> </w:t>
      </w:r>
      <w:r w:rsidRPr="00FA7FDD">
        <w:t>on</w:t>
      </w:r>
      <w:r w:rsidR="006C6F09">
        <w:t xml:space="preserve"> </w:t>
      </w:r>
      <w:r w:rsidRPr="00FA7FDD">
        <w:t>the</w:t>
      </w:r>
      <w:r w:rsidR="006C6F09">
        <w:t xml:space="preserve"> </w:t>
      </w:r>
      <w:hyperlink r:id="rId41" w:history="1">
        <w:r w:rsidRPr="00FA7FDD">
          <w:rPr>
            <w:rStyle w:val="Hyperlink"/>
          </w:rPr>
          <w:t>Public</w:t>
        </w:r>
        <w:r w:rsidR="006C6F09">
          <w:rPr>
            <w:rStyle w:val="Hyperlink"/>
          </w:rPr>
          <w:t xml:space="preserve"> </w:t>
        </w:r>
        <w:r w:rsidRPr="00FA7FDD">
          <w:rPr>
            <w:rStyle w:val="Hyperlink"/>
          </w:rPr>
          <w:t>Involvement</w:t>
        </w:r>
        <w:r w:rsidR="006C6F09">
          <w:rPr>
            <w:rStyle w:val="Hyperlink"/>
          </w:rPr>
          <w:t xml:space="preserve"> </w:t>
        </w:r>
        <w:r w:rsidRPr="00FA7FDD">
          <w:rPr>
            <w:rStyle w:val="Hyperlink"/>
          </w:rPr>
          <w:t>Toolkit</w:t>
        </w:r>
      </w:hyperlink>
      <w:r w:rsidRPr="00FA7FDD">
        <w:t>.</w:t>
      </w:r>
    </w:p>
    <w:p w14:paraId="2394E60D" w14:textId="141A7DDC" w:rsidR="00457754" w:rsidRPr="00B23AD6" w:rsidRDefault="00457754" w:rsidP="00457754">
      <w:pPr>
        <w:pStyle w:val="Heading3"/>
      </w:pPr>
      <w:bookmarkStart w:id="38" w:name="_Toc224026205"/>
      <w:r w:rsidRPr="00B23AD6">
        <w:t>3.5</w:t>
      </w:r>
      <w:r w:rsidR="006C6F09" w:rsidRPr="00B23AD6">
        <w:t xml:space="preserve"> </w:t>
      </w:r>
      <w:r w:rsidRPr="00B23AD6">
        <w:t>Comments</w:t>
      </w:r>
      <w:bookmarkEnd w:id="38"/>
      <w:r w:rsidR="006C6F09" w:rsidRPr="00B23AD6">
        <w:t xml:space="preserve"> </w:t>
      </w:r>
    </w:p>
    <w:p w14:paraId="224A5099" w14:textId="5C0A46EA" w:rsidR="00457754" w:rsidRDefault="00457754" w:rsidP="00457754">
      <w:r w:rsidRPr="009E3EC4">
        <w:t>For</w:t>
      </w:r>
      <w:r w:rsidR="006C6F09">
        <w:t xml:space="preserve"> </w:t>
      </w:r>
      <w:r w:rsidRPr="009E3EC4">
        <w:t>any</w:t>
      </w:r>
      <w:r w:rsidR="006C6F09">
        <w:t xml:space="preserve"> </w:t>
      </w:r>
      <w:r w:rsidRPr="009E3EC4">
        <w:t>given</w:t>
      </w:r>
      <w:r w:rsidR="006C6F09">
        <w:t xml:space="preserve"> </w:t>
      </w:r>
      <w:r w:rsidRPr="009E3EC4">
        <w:t>recipient</w:t>
      </w:r>
      <w:r w:rsidR="006C6F09">
        <w:t xml:space="preserve"> </w:t>
      </w:r>
      <w:r w:rsidRPr="009E3EC4">
        <w:t>of</w:t>
      </w:r>
      <w:r w:rsidR="006C6F09">
        <w:t xml:space="preserve"> </w:t>
      </w:r>
      <w:r w:rsidRPr="009E3EC4">
        <w:t>a</w:t>
      </w:r>
      <w:r w:rsidR="006C6F09">
        <w:t xml:space="preserve"> </w:t>
      </w:r>
      <w:r w:rsidRPr="009E3EC4">
        <w:t>notice</w:t>
      </w:r>
      <w:r w:rsidR="006C6F09">
        <w:t xml:space="preserve"> </w:t>
      </w:r>
      <w:r w:rsidRPr="009E3EC4">
        <w:t>and</w:t>
      </w:r>
      <w:r w:rsidR="006C6F09">
        <w:t xml:space="preserve"> </w:t>
      </w:r>
      <w:r w:rsidRPr="009E3EC4">
        <w:t>opportunity</w:t>
      </w:r>
      <w:r w:rsidR="006C6F09">
        <w:t xml:space="preserve"> </w:t>
      </w:r>
      <w:r w:rsidRPr="009E3EC4">
        <w:t>to</w:t>
      </w:r>
      <w:r w:rsidR="006C6F09">
        <w:t xml:space="preserve"> </w:t>
      </w:r>
      <w:r w:rsidRPr="009E3EC4">
        <w:t>comment,</w:t>
      </w:r>
      <w:r w:rsidR="006C6F09">
        <w:t xml:space="preserve"> </w:t>
      </w:r>
      <w:r w:rsidRPr="009E3EC4">
        <w:t>the</w:t>
      </w:r>
      <w:r w:rsidR="006C6F09">
        <w:t xml:space="preserve"> </w:t>
      </w:r>
      <w:r w:rsidRPr="009E3EC4">
        <w:t>minimum</w:t>
      </w:r>
      <w:r w:rsidR="006C6F09">
        <w:t xml:space="preserve"> </w:t>
      </w:r>
      <w:r w:rsidRPr="009E3EC4">
        <w:t>comment</w:t>
      </w:r>
      <w:r w:rsidR="006C6F09">
        <w:t xml:space="preserve"> </w:t>
      </w:r>
      <w:r w:rsidRPr="009E3EC4">
        <w:t>period</w:t>
      </w:r>
      <w:r w:rsidR="006C6F09">
        <w:t xml:space="preserve"> </w:t>
      </w:r>
      <w:r w:rsidRPr="009E3EC4">
        <w:t>is</w:t>
      </w:r>
      <w:r w:rsidR="006C6F09">
        <w:t xml:space="preserve"> </w:t>
      </w:r>
      <w:r w:rsidRPr="009E3EC4">
        <w:t>15</w:t>
      </w:r>
      <w:r w:rsidR="006C6F09">
        <w:t xml:space="preserve"> </w:t>
      </w:r>
      <w:r>
        <w:t>calendar</w:t>
      </w:r>
      <w:r w:rsidR="006C6F09">
        <w:t xml:space="preserve"> </w:t>
      </w:r>
      <w:r>
        <w:t>days</w:t>
      </w:r>
      <w:r w:rsidR="006C6F09">
        <w:t xml:space="preserve"> </w:t>
      </w:r>
      <w:r w:rsidRPr="009E3EC4">
        <w:t>after</w:t>
      </w:r>
      <w:r w:rsidR="006C6F09">
        <w:t xml:space="preserve"> </w:t>
      </w:r>
      <w:r w:rsidRPr="009E3EC4">
        <w:t>the</w:t>
      </w:r>
      <w:r w:rsidR="006C6F09">
        <w:t xml:space="preserve"> </w:t>
      </w:r>
      <w:r w:rsidRPr="009E3EC4">
        <w:t>date</w:t>
      </w:r>
      <w:r w:rsidR="006C6F09">
        <w:t xml:space="preserve"> </w:t>
      </w:r>
      <w:r w:rsidRPr="009E3EC4">
        <w:t>that</w:t>
      </w:r>
      <w:r w:rsidR="006C6F09">
        <w:t xml:space="preserve"> </w:t>
      </w:r>
      <w:r w:rsidRPr="009E3EC4">
        <w:t>the</w:t>
      </w:r>
      <w:r w:rsidR="006C6F09">
        <w:t xml:space="preserve"> </w:t>
      </w:r>
      <w:r w:rsidRPr="009E3EC4">
        <w:t>notice</w:t>
      </w:r>
      <w:r w:rsidR="006C6F09">
        <w:t xml:space="preserve"> </w:t>
      </w:r>
      <w:r w:rsidRPr="009E3EC4">
        <w:t>is</w:t>
      </w:r>
      <w:r w:rsidR="006C6F09">
        <w:t xml:space="preserve"> </w:t>
      </w:r>
      <w:r w:rsidRPr="009E3EC4">
        <w:t>provided</w:t>
      </w:r>
      <w:r w:rsidR="006C6F09">
        <w:t xml:space="preserve"> </w:t>
      </w:r>
      <w:r w:rsidRPr="009E3EC4">
        <w:t>to</w:t>
      </w:r>
      <w:r w:rsidR="006C6F09">
        <w:t xml:space="preserve"> </w:t>
      </w:r>
      <w:r w:rsidRPr="009E3EC4">
        <w:t>that</w:t>
      </w:r>
      <w:r w:rsidR="006C6F09">
        <w:t xml:space="preserve"> </w:t>
      </w:r>
      <w:r w:rsidRPr="009E3EC4">
        <w:t>recipient.</w:t>
      </w:r>
      <w:r w:rsidR="006C6F09">
        <w:t xml:space="preserve"> </w:t>
      </w:r>
      <w:r w:rsidRPr="009E3EC4">
        <w:t>For</w:t>
      </w:r>
      <w:r w:rsidR="006C6F09">
        <w:t xml:space="preserve"> </w:t>
      </w:r>
      <w:r w:rsidRPr="009E3EC4">
        <w:t>mailed</w:t>
      </w:r>
      <w:r w:rsidR="006C6F09">
        <w:t xml:space="preserve"> </w:t>
      </w:r>
      <w:r w:rsidRPr="009E3EC4">
        <w:t>notices,</w:t>
      </w:r>
      <w:r w:rsidR="006C6F09">
        <w:t xml:space="preserve"> </w:t>
      </w:r>
      <w:r w:rsidRPr="009E3EC4">
        <w:t>the</w:t>
      </w:r>
      <w:r w:rsidR="006C6F09">
        <w:t xml:space="preserve"> </w:t>
      </w:r>
      <w:r w:rsidRPr="009E3EC4">
        <w:t>15-calendar</w:t>
      </w:r>
      <w:r>
        <w:t>-</w:t>
      </w:r>
      <w:r w:rsidRPr="009E3EC4">
        <w:t>day</w:t>
      </w:r>
      <w:r w:rsidR="006C6F09">
        <w:t xml:space="preserve"> </w:t>
      </w:r>
      <w:r w:rsidRPr="009E3EC4">
        <w:t>comment</w:t>
      </w:r>
      <w:r w:rsidR="006C6F09">
        <w:t xml:space="preserve"> </w:t>
      </w:r>
      <w:r w:rsidRPr="009E3EC4">
        <w:t>period</w:t>
      </w:r>
      <w:r w:rsidR="006C6F09">
        <w:t xml:space="preserve"> </w:t>
      </w:r>
      <w:r w:rsidRPr="009E3EC4">
        <w:t>begins</w:t>
      </w:r>
      <w:r w:rsidR="006C6F09">
        <w:t xml:space="preserve"> </w:t>
      </w:r>
      <w:r w:rsidRPr="009E3EC4">
        <w:t>on</w:t>
      </w:r>
      <w:r w:rsidR="006C6F09">
        <w:t xml:space="preserve"> </w:t>
      </w:r>
      <w:r w:rsidRPr="009E3EC4">
        <w:t>the</w:t>
      </w:r>
      <w:r w:rsidR="006C6F09">
        <w:t xml:space="preserve"> </w:t>
      </w:r>
      <w:r w:rsidRPr="009E3EC4">
        <w:t>third</w:t>
      </w:r>
      <w:r w:rsidR="006C6F09">
        <w:t xml:space="preserve"> </w:t>
      </w:r>
      <w:r w:rsidRPr="009E3EC4">
        <w:t>date</w:t>
      </w:r>
      <w:r w:rsidR="006C6F09">
        <w:t xml:space="preserve"> </w:t>
      </w:r>
      <w:r w:rsidRPr="009E3EC4">
        <w:t>after</w:t>
      </w:r>
      <w:r w:rsidR="006C6F09">
        <w:t xml:space="preserve"> </w:t>
      </w:r>
      <w:r w:rsidRPr="009E3EC4">
        <w:t>the</w:t>
      </w:r>
      <w:r w:rsidR="006C6F09">
        <w:t xml:space="preserve"> </w:t>
      </w:r>
      <w:r w:rsidRPr="009E3EC4">
        <w:t>notice</w:t>
      </w:r>
      <w:r w:rsidR="006C6F09">
        <w:t xml:space="preserve"> </w:t>
      </w:r>
      <w:r w:rsidRPr="009E3EC4">
        <w:t>is</w:t>
      </w:r>
      <w:r w:rsidR="006C6F09">
        <w:t xml:space="preserve"> </w:t>
      </w:r>
      <w:r w:rsidRPr="009E3EC4">
        <w:t>mailed.</w:t>
      </w:r>
      <w:r w:rsidR="006C6F09">
        <w:t xml:space="preserve"> </w:t>
      </w:r>
      <w:r w:rsidRPr="009E3EC4">
        <w:t>(18</w:t>
      </w:r>
      <w:r w:rsidR="006C6F09">
        <w:t xml:space="preserve"> </w:t>
      </w:r>
      <w:r w:rsidRPr="009E3EC4">
        <w:t>days</w:t>
      </w:r>
      <w:r w:rsidR="006C6F09">
        <w:t xml:space="preserve"> </w:t>
      </w:r>
      <w:r w:rsidRPr="009E3EC4">
        <w:t>total).</w:t>
      </w:r>
      <w:r w:rsidR="006C6F09">
        <w:t xml:space="preserve"> </w:t>
      </w:r>
      <w:r w:rsidRPr="009E3EC4">
        <w:t>For</w:t>
      </w:r>
      <w:r w:rsidR="006C6F09">
        <w:t xml:space="preserve"> </w:t>
      </w:r>
      <w:r w:rsidRPr="009E3EC4">
        <w:t>emailed</w:t>
      </w:r>
      <w:r w:rsidR="006C6F09">
        <w:t xml:space="preserve"> </w:t>
      </w:r>
      <w:r w:rsidRPr="009E3EC4">
        <w:t>notices</w:t>
      </w:r>
      <w:r w:rsidR="006C6F09">
        <w:t xml:space="preserve"> </w:t>
      </w:r>
      <w:r w:rsidRPr="009E3EC4">
        <w:t>or</w:t>
      </w:r>
      <w:r w:rsidR="006C6F09">
        <w:t xml:space="preserve"> </w:t>
      </w:r>
      <w:r w:rsidRPr="009E3EC4">
        <w:t>notices</w:t>
      </w:r>
      <w:r w:rsidR="006C6F09">
        <w:t xml:space="preserve"> </w:t>
      </w:r>
      <w:r w:rsidRPr="009E3EC4">
        <w:t>provided</w:t>
      </w:r>
      <w:r w:rsidR="006C6F09">
        <w:t xml:space="preserve"> </w:t>
      </w:r>
      <w:r w:rsidRPr="009E3EC4">
        <w:t>in</w:t>
      </w:r>
      <w:r w:rsidR="006C6F09">
        <w:t xml:space="preserve"> </w:t>
      </w:r>
      <w:r w:rsidRPr="009E3EC4">
        <w:t>person,</w:t>
      </w:r>
      <w:r w:rsidR="006C6F09">
        <w:t xml:space="preserve"> </w:t>
      </w:r>
      <w:r w:rsidRPr="009E3EC4">
        <w:t>the</w:t>
      </w:r>
      <w:r w:rsidR="006C6F09">
        <w:t xml:space="preserve"> </w:t>
      </w:r>
      <w:r w:rsidRPr="009E3EC4">
        <w:t>15-calendar</w:t>
      </w:r>
      <w:r w:rsidR="006C6F09">
        <w:t xml:space="preserve"> </w:t>
      </w:r>
      <w:r w:rsidRPr="009E3EC4">
        <w:t>day</w:t>
      </w:r>
      <w:r w:rsidR="006C6F09">
        <w:t xml:space="preserve"> </w:t>
      </w:r>
      <w:r w:rsidRPr="009E3EC4">
        <w:t>comment</w:t>
      </w:r>
      <w:r w:rsidR="006C6F09">
        <w:t xml:space="preserve"> </w:t>
      </w:r>
      <w:r w:rsidRPr="009E3EC4">
        <w:t>period</w:t>
      </w:r>
      <w:r w:rsidR="006C6F09">
        <w:t xml:space="preserve"> </w:t>
      </w:r>
      <w:r w:rsidRPr="009E3EC4">
        <w:t>begins</w:t>
      </w:r>
      <w:r w:rsidR="006C6F09">
        <w:t xml:space="preserve"> </w:t>
      </w:r>
      <w:r w:rsidRPr="009E3EC4">
        <w:t>on</w:t>
      </w:r>
      <w:r w:rsidR="006C6F09">
        <w:t xml:space="preserve"> </w:t>
      </w:r>
      <w:r w:rsidRPr="009E3EC4">
        <w:t>the</w:t>
      </w:r>
      <w:r w:rsidR="006C6F09">
        <w:t xml:space="preserve"> </w:t>
      </w:r>
      <w:r w:rsidRPr="009E3EC4">
        <w:t>day</w:t>
      </w:r>
      <w:r w:rsidR="006C6F09">
        <w:t xml:space="preserve"> </w:t>
      </w:r>
      <w:r w:rsidRPr="009E3EC4">
        <w:t>the</w:t>
      </w:r>
      <w:r w:rsidR="006C6F09">
        <w:t xml:space="preserve"> </w:t>
      </w:r>
      <w:r w:rsidRPr="009E3EC4">
        <w:t>notice</w:t>
      </w:r>
      <w:r w:rsidR="006C6F09">
        <w:t xml:space="preserve"> </w:t>
      </w:r>
      <w:r w:rsidRPr="009E3EC4">
        <w:t>is</w:t>
      </w:r>
      <w:r w:rsidR="006C6F09">
        <w:t xml:space="preserve"> </w:t>
      </w:r>
      <w:r w:rsidRPr="009E3EC4">
        <w:t>provided.</w:t>
      </w:r>
      <w:r w:rsidR="006C6F09">
        <w:t xml:space="preserve"> </w:t>
      </w:r>
      <w:r w:rsidRPr="009E3EC4">
        <w:t>Any</w:t>
      </w:r>
      <w:r w:rsidR="006C6F09">
        <w:t xml:space="preserve"> </w:t>
      </w:r>
      <w:r w:rsidRPr="009E3EC4">
        <w:t>timely</w:t>
      </w:r>
      <w:r w:rsidR="006C6F09">
        <w:t xml:space="preserve"> </w:t>
      </w:r>
      <w:r w:rsidRPr="009E3EC4">
        <w:t>comments</w:t>
      </w:r>
      <w:r w:rsidR="006C6F09">
        <w:t xml:space="preserve"> </w:t>
      </w:r>
      <w:r w:rsidRPr="009E3EC4">
        <w:t>received</w:t>
      </w:r>
      <w:r w:rsidR="006C6F09">
        <w:t xml:space="preserve"> </w:t>
      </w:r>
      <w:r w:rsidRPr="009E3EC4">
        <w:t>in</w:t>
      </w:r>
      <w:r w:rsidR="006C6F09">
        <w:t xml:space="preserve"> </w:t>
      </w:r>
      <w:r w:rsidRPr="009E3EC4">
        <w:t>response</w:t>
      </w:r>
      <w:r w:rsidR="006C6F09">
        <w:t xml:space="preserve"> </w:t>
      </w:r>
      <w:r w:rsidRPr="009E3EC4">
        <w:t>to</w:t>
      </w:r>
      <w:r w:rsidR="006C6F09">
        <w:t xml:space="preserve"> </w:t>
      </w:r>
      <w:r w:rsidRPr="009E3EC4">
        <w:t>a</w:t>
      </w:r>
      <w:r w:rsidR="006C6F09">
        <w:t xml:space="preserve"> </w:t>
      </w:r>
      <w:r w:rsidRPr="009E3EC4">
        <w:t>notice</w:t>
      </w:r>
      <w:r w:rsidR="006C6F09">
        <w:t xml:space="preserve"> </w:t>
      </w:r>
      <w:r w:rsidRPr="009E3EC4">
        <w:t>and</w:t>
      </w:r>
      <w:r w:rsidR="006C6F09">
        <w:t xml:space="preserve"> </w:t>
      </w:r>
      <w:r w:rsidRPr="009E3EC4">
        <w:t>opportunity</w:t>
      </w:r>
      <w:r w:rsidR="006C6F09">
        <w:t xml:space="preserve"> </w:t>
      </w:r>
      <w:r w:rsidRPr="009E3EC4">
        <w:t>to</w:t>
      </w:r>
      <w:r w:rsidR="006C6F09">
        <w:t xml:space="preserve"> </w:t>
      </w:r>
      <w:r w:rsidRPr="009E3EC4">
        <w:t>comment</w:t>
      </w:r>
      <w:r w:rsidR="006C6F09">
        <w:t xml:space="preserve"> </w:t>
      </w:r>
      <w:r w:rsidRPr="009E3EC4">
        <w:t>must</w:t>
      </w:r>
      <w:r w:rsidR="006C6F09">
        <w:t xml:space="preserve"> </w:t>
      </w:r>
      <w:r w:rsidRPr="009E3EC4">
        <w:t>be</w:t>
      </w:r>
      <w:r w:rsidR="006C6F09">
        <w:t xml:space="preserve"> </w:t>
      </w:r>
      <w:r w:rsidRPr="009E3EC4">
        <w:t>addressed</w:t>
      </w:r>
      <w:r w:rsidR="006C6F09">
        <w:t xml:space="preserve"> </w:t>
      </w:r>
      <w:r w:rsidRPr="009E3EC4">
        <w:t>in</w:t>
      </w:r>
      <w:r w:rsidR="006C6F09">
        <w:t xml:space="preserve"> </w:t>
      </w:r>
      <w:r w:rsidRPr="009E3EC4">
        <w:t>a</w:t>
      </w:r>
      <w:r w:rsidR="006C6F09">
        <w:t xml:space="preserve"> </w:t>
      </w:r>
      <w:r w:rsidRPr="009E3EC4">
        <w:t>comment</w:t>
      </w:r>
      <w:r w:rsidR="006C6F09">
        <w:t xml:space="preserve"> </w:t>
      </w:r>
      <w:r>
        <w:t>and</w:t>
      </w:r>
      <w:r w:rsidR="006C6F09">
        <w:t xml:space="preserve"> </w:t>
      </w:r>
      <w:r w:rsidRPr="009E3EC4">
        <w:t>response</w:t>
      </w:r>
      <w:r w:rsidR="006C6F09">
        <w:t xml:space="preserve"> </w:t>
      </w:r>
      <w:r w:rsidRPr="009E3EC4">
        <w:t>matrix</w:t>
      </w:r>
      <w:r w:rsidR="006C6F09">
        <w:t xml:space="preserve"> </w:t>
      </w:r>
      <w:r w:rsidRPr="00160646">
        <w:rPr>
          <w:b/>
          <w:bCs/>
        </w:rPr>
        <w:t>prior</w:t>
      </w:r>
      <w:r w:rsidR="006C6F09">
        <w:rPr>
          <w:b/>
          <w:bCs/>
        </w:rPr>
        <w:t xml:space="preserve"> </w:t>
      </w:r>
      <w:r w:rsidRPr="00160646">
        <w:rPr>
          <w:b/>
          <w:bCs/>
        </w:rPr>
        <w:t>to</w:t>
      </w:r>
      <w:r w:rsidR="006C6F09">
        <w:rPr>
          <w:b/>
          <w:bCs/>
        </w:rPr>
        <w:t xml:space="preserve"> </w:t>
      </w:r>
      <w:r w:rsidRPr="00160646">
        <w:rPr>
          <w:b/>
          <w:bCs/>
        </w:rPr>
        <w:t>the</w:t>
      </w:r>
      <w:r w:rsidR="006C6F09">
        <w:rPr>
          <w:b/>
          <w:bCs/>
        </w:rPr>
        <w:t xml:space="preserve"> </w:t>
      </w:r>
      <w:r w:rsidRPr="00160646">
        <w:rPr>
          <w:b/>
          <w:bCs/>
        </w:rPr>
        <w:t>environmental</w:t>
      </w:r>
      <w:r w:rsidR="006C6F09">
        <w:rPr>
          <w:b/>
          <w:bCs/>
        </w:rPr>
        <w:t xml:space="preserve"> </w:t>
      </w:r>
      <w:r w:rsidRPr="00160646">
        <w:rPr>
          <w:b/>
          <w:bCs/>
        </w:rPr>
        <w:t>decision</w:t>
      </w:r>
      <w:r w:rsidR="006C6F09">
        <w:rPr>
          <w:b/>
          <w:bCs/>
        </w:rPr>
        <w:t xml:space="preserve"> </w:t>
      </w:r>
      <w:r w:rsidRPr="00160646">
        <w:rPr>
          <w:b/>
          <w:bCs/>
        </w:rPr>
        <w:t>on</w:t>
      </w:r>
      <w:r w:rsidR="006C6F09">
        <w:rPr>
          <w:b/>
          <w:bCs/>
        </w:rPr>
        <w:t xml:space="preserve"> </w:t>
      </w:r>
      <w:r w:rsidRPr="00160646">
        <w:rPr>
          <w:b/>
          <w:bCs/>
        </w:rPr>
        <w:t>the</w:t>
      </w:r>
      <w:r w:rsidR="006C6F09">
        <w:rPr>
          <w:b/>
          <w:bCs/>
        </w:rPr>
        <w:t xml:space="preserve"> </w:t>
      </w:r>
      <w:r w:rsidRPr="00160646">
        <w:rPr>
          <w:b/>
          <w:bCs/>
        </w:rPr>
        <w:t>project</w:t>
      </w:r>
      <w:r w:rsidR="006C6F09">
        <w:t xml:space="preserve"> </w:t>
      </w:r>
      <w:r w:rsidRPr="009E3EC4">
        <w:t>(i</w:t>
      </w:r>
      <w:r>
        <w:t>n</w:t>
      </w:r>
      <w:r w:rsidR="006C6F09">
        <w:t xml:space="preserve"> </w:t>
      </w:r>
      <w:r>
        <w:t>other</w:t>
      </w:r>
      <w:r w:rsidR="006C6F09">
        <w:t xml:space="preserve"> </w:t>
      </w:r>
      <w:r>
        <w:t>words</w:t>
      </w:r>
      <w:r w:rsidRPr="009E3EC4">
        <w:t>,</w:t>
      </w:r>
      <w:r w:rsidR="006C6F09">
        <w:t xml:space="preserve"> </w:t>
      </w:r>
      <w:r w:rsidRPr="009E3EC4">
        <w:t>the</w:t>
      </w:r>
      <w:r w:rsidR="006C6F09">
        <w:t xml:space="preserve"> </w:t>
      </w:r>
      <w:r w:rsidRPr="009E3EC4">
        <w:t>categorical</w:t>
      </w:r>
      <w:r w:rsidR="006C6F09">
        <w:t xml:space="preserve"> </w:t>
      </w:r>
      <w:r w:rsidRPr="009E3EC4">
        <w:t>exclusion</w:t>
      </w:r>
      <w:r w:rsidR="006C6F09">
        <w:t xml:space="preserve"> </w:t>
      </w:r>
      <w:r w:rsidRPr="009E3EC4">
        <w:t>determination),</w:t>
      </w:r>
      <w:r w:rsidR="006C6F09">
        <w:t xml:space="preserve"> </w:t>
      </w:r>
      <w:r w:rsidRPr="009E3EC4">
        <w:t>unless</w:t>
      </w:r>
      <w:r w:rsidR="006C6F09">
        <w:t xml:space="preserve"> </w:t>
      </w:r>
      <w:r w:rsidRPr="009E3EC4">
        <w:t>the</w:t>
      </w:r>
      <w:r w:rsidR="006C6F09">
        <w:t xml:space="preserve"> </w:t>
      </w:r>
      <w:r w:rsidRPr="009E3EC4">
        <w:t>notice</w:t>
      </w:r>
      <w:r w:rsidR="006C6F09">
        <w:t xml:space="preserve"> </w:t>
      </w:r>
      <w:r w:rsidRPr="009E3EC4">
        <w:t>is</w:t>
      </w:r>
      <w:r w:rsidR="006C6F09">
        <w:t xml:space="preserve"> </w:t>
      </w:r>
      <w:r w:rsidRPr="009E3EC4">
        <w:t>provided</w:t>
      </w:r>
      <w:r w:rsidR="006C6F09">
        <w:t xml:space="preserve"> </w:t>
      </w:r>
      <w:r w:rsidRPr="009E3EC4">
        <w:t>post-environmental</w:t>
      </w:r>
      <w:r w:rsidR="006C6F09">
        <w:t xml:space="preserve"> </w:t>
      </w:r>
      <w:r w:rsidRPr="009E3EC4">
        <w:t>clearance</w:t>
      </w:r>
      <w:r w:rsidR="006C6F09">
        <w:t xml:space="preserve"> </w:t>
      </w:r>
      <w:r w:rsidRPr="009E3EC4">
        <w:t>pursuant</w:t>
      </w:r>
      <w:r w:rsidR="006C6F09">
        <w:t xml:space="preserve"> </w:t>
      </w:r>
      <w:r w:rsidRPr="009E3EC4">
        <w:t>to</w:t>
      </w:r>
      <w:r w:rsidR="006C6F09">
        <w:t xml:space="preserve"> </w:t>
      </w:r>
      <w:r w:rsidRPr="00263E76">
        <w:rPr>
          <w:u w:val="single"/>
        </w:rPr>
        <w:fldChar w:fldCharType="begin"/>
      </w:r>
      <w:r w:rsidRPr="00263E76">
        <w:rPr>
          <w:u w:val="single"/>
        </w:rPr>
        <w:instrText xml:space="preserve"> REF _Ref219789776 \h  \* MERGEFORMAT </w:instrText>
      </w:r>
      <w:r w:rsidRPr="00263E76">
        <w:rPr>
          <w:u w:val="single"/>
        </w:rPr>
      </w:r>
      <w:r w:rsidRPr="00263E76">
        <w:rPr>
          <w:u w:val="single"/>
        </w:rPr>
        <w:fldChar w:fldCharType="separate"/>
      </w:r>
      <w:r w:rsidRPr="00263E76">
        <w:rPr>
          <w:color w:val="0056A9"/>
          <w:u w:val="single"/>
        </w:rPr>
        <w:t>3.2</w:t>
      </w:r>
      <w:r w:rsidRPr="00263E76">
        <w:rPr>
          <w:u w:val="single"/>
        </w:rPr>
        <w:fldChar w:fldCharType="end"/>
      </w:r>
      <w:r w:rsidR="006C6F09">
        <w:t xml:space="preserve"> </w:t>
      </w:r>
      <w:r w:rsidRPr="009E3EC4">
        <w:t>above,</w:t>
      </w:r>
      <w:r w:rsidR="006C6F09">
        <w:t xml:space="preserve"> </w:t>
      </w:r>
      <w:r w:rsidRPr="009E3EC4">
        <w:t>in</w:t>
      </w:r>
      <w:r w:rsidR="006C6F09">
        <w:t xml:space="preserve"> </w:t>
      </w:r>
      <w:r w:rsidRPr="009E3EC4">
        <w:t>which</w:t>
      </w:r>
      <w:r w:rsidR="006C6F09">
        <w:t xml:space="preserve"> </w:t>
      </w:r>
      <w:r w:rsidRPr="009E3EC4">
        <w:t>case</w:t>
      </w:r>
      <w:r w:rsidR="006C6F09">
        <w:t xml:space="preserve"> </w:t>
      </w:r>
      <w:r w:rsidRPr="009E3EC4">
        <w:t>the</w:t>
      </w:r>
      <w:r w:rsidR="006C6F09">
        <w:t xml:space="preserve"> </w:t>
      </w:r>
      <w:r w:rsidRPr="009E3EC4">
        <w:t>comment</w:t>
      </w:r>
      <w:r w:rsidR="006C6F09">
        <w:t xml:space="preserve"> </w:t>
      </w:r>
      <w:r>
        <w:t>and</w:t>
      </w:r>
      <w:r w:rsidR="006C6F09">
        <w:t xml:space="preserve"> </w:t>
      </w:r>
      <w:r w:rsidRPr="009E3EC4">
        <w:t>response</w:t>
      </w:r>
      <w:r w:rsidR="006C6F09">
        <w:t xml:space="preserve"> </w:t>
      </w:r>
      <w:r w:rsidRPr="009E3EC4">
        <w:t>matrix</w:t>
      </w:r>
      <w:r w:rsidR="006C6F09">
        <w:t xml:space="preserve"> </w:t>
      </w:r>
      <w:r w:rsidRPr="009E3EC4">
        <w:t>will</w:t>
      </w:r>
      <w:r w:rsidR="006C6F09">
        <w:t xml:space="preserve"> </w:t>
      </w:r>
      <w:r w:rsidRPr="009E3EC4">
        <w:t>be</w:t>
      </w:r>
      <w:r w:rsidR="006C6F09">
        <w:t xml:space="preserve"> </w:t>
      </w:r>
      <w:r w:rsidRPr="009E3EC4">
        <w:t>done</w:t>
      </w:r>
      <w:r w:rsidR="006C6F09">
        <w:t xml:space="preserve"> </w:t>
      </w:r>
      <w:r w:rsidRPr="009E3EC4">
        <w:t>after</w:t>
      </w:r>
      <w:r w:rsidR="006C6F09">
        <w:t xml:space="preserve"> </w:t>
      </w:r>
      <w:r w:rsidRPr="009E3EC4">
        <w:t>the</w:t>
      </w:r>
      <w:r w:rsidR="006C6F09">
        <w:t xml:space="preserve"> </w:t>
      </w:r>
      <w:r w:rsidRPr="009E3EC4">
        <w:t>CE</w:t>
      </w:r>
      <w:r w:rsidR="006C6F09">
        <w:t xml:space="preserve"> </w:t>
      </w:r>
      <w:r w:rsidRPr="009E3EC4">
        <w:t>determination,</w:t>
      </w:r>
      <w:r w:rsidR="006C6F09">
        <w:t xml:space="preserve"> </w:t>
      </w:r>
      <w:r w:rsidRPr="009E3EC4">
        <w:t>FONSI,</w:t>
      </w:r>
      <w:r w:rsidR="006C6F09">
        <w:t xml:space="preserve"> </w:t>
      </w:r>
      <w:r w:rsidRPr="009E3EC4">
        <w:t>or</w:t>
      </w:r>
      <w:r w:rsidR="006C6F09">
        <w:t xml:space="preserve"> </w:t>
      </w:r>
      <w:r w:rsidRPr="009E3EC4">
        <w:t>ROD.</w:t>
      </w:r>
      <w:r w:rsidR="00135456">
        <w:t xml:space="preserve"> </w:t>
      </w:r>
      <w:r w:rsidRPr="009E3EC4">
        <w:t>See</w:t>
      </w:r>
      <w:r w:rsidR="006C6F09">
        <w:t xml:space="preserve"> </w:t>
      </w:r>
      <w:r w:rsidRPr="009E3EC4">
        <w:t>ENV’s</w:t>
      </w:r>
      <w:r w:rsidR="006C6F09">
        <w:t xml:space="preserve"> </w:t>
      </w:r>
      <w:r w:rsidRPr="009E3EC4">
        <w:t>Guidance</w:t>
      </w:r>
      <w:r w:rsidR="006C6F09">
        <w:t xml:space="preserve"> </w:t>
      </w:r>
      <w:r w:rsidRPr="009E3EC4">
        <w:t>–</w:t>
      </w:r>
      <w:r w:rsidR="006C6F09">
        <w:t xml:space="preserve"> </w:t>
      </w:r>
      <w:r w:rsidRPr="003949C3">
        <w:t>Public</w:t>
      </w:r>
      <w:r w:rsidR="006C6F09">
        <w:t xml:space="preserve"> </w:t>
      </w:r>
      <w:r w:rsidRPr="003949C3">
        <w:t>Comment</w:t>
      </w:r>
      <w:r w:rsidR="006C6F09">
        <w:t xml:space="preserve"> </w:t>
      </w:r>
      <w:r w:rsidRPr="003949C3">
        <w:t>Response</w:t>
      </w:r>
      <w:r w:rsidR="006C6F09">
        <w:t xml:space="preserve"> </w:t>
      </w:r>
      <w:r w:rsidRPr="003949C3">
        <w:t>Matrix</w:t>
      </w:r>
      <w:r w:rsidR="006C6F09">
        <w:rPr>
          <w:i/>
          <w:iCs/>
        </w:rPr>
        <w:t xml:space="preserve"> </w:t>
      </w:r>
      <w:r w:rsidRPr="009E3EC4">
        <w:t>for</w:t>
      </w:r>
      <w:r w:rsidR="006C6F09">
        <w:t xml:space="preserve"> </w:t>
      </w:r>
      <w:r w:rsidRPr="009E3EC4">
        <w:t>further</w:t>
      </w:r>
      <w:r w:rsidR="006C6F09">
        <w:t xml:space="preserve"> </w:t>
      </w:r>
      <w:r w:rsidRPr="009E3EC4">
        <w:t>instructions</w:t>
      </w:r>
      <w:r w:rsidR="006C6F09">
        <w:t xml:space="preserve"> </w:t>
      </w:r>
      <w:r w:rsidRPr="009E3EC4">
        <w:t>regarding</w:t>
      </w:r>
      <w:r w:rsidR="006C6F09">
        <w:t xml:space="preserve"> </w:t>
      </w:r>
      <w:r w:rsidRPr="009E3EC4">
        <w:t>the</w:t>
      </w:r>
      <w:r w:rsidR="006C6F09">
        <w:t xml:space="preserve"> </w:t>
      </w:r>
      <w:r w:rsidRPr="009E3EC4">
        <w:t>comment</w:t>
      </w:r>
      <w:r w:rsidR="006C6F09">
        <w:t xml:space="preserve"> </w:t>
      </w:r>
      <w:r>
        <w:t>and</w:t>
      </w:r>
      <w:r w:rsidR="006C6F09">
        <w:t xml:space="preserve"> </w:t>
      </w:r>
      <w:r w:rsidRPr="009E3EC4">
        <w:t>response</w:t>
      </w:r>
      <w:r w:rsidR="006C6F09">
        <w:t xml:space="preserve"> </w:t>
      </w:r>
      <w:r w:rsidRPr="009E3EC4">
        <w:t>matrix.</w:t>
      </w:r>
    </w:p>
    <w:p w14:paraId="1802C930" w14:textId="2395F6A2" w:rsidR="00457754" w:rsidRPr="00D903F0" w:rsidRDefault="00457754" w:rsidP="00457754">
      <w:pPr>
        <w:pStyle w:val="Heading2"/>
      </w:pPr>
      <w:bookmarkStart w:id="39" w:name="_Toc224026206"/>
      <w:r w:rsidRPr="00D903F0">
        <w:t>4.0</w:t>
      </w:r>
      <w:r w:rsidR="006C6F09">
        <w:t xml:space="preserve"> </w:t>
      </w:r>
      <w:r w:rsidRPr="00D903F0">
        <w:t>Public</w:t>
      </w:r>
      <w:r w:rsidR="006C6F09">
        <w:t xml:space="preserve"> </w:t>
      </w:r>
      <w:r w:rsidRPr="00D903F0">
        <w:t>Meetings</w:t>
      </w:r>
      <w:bookmarkEnd w:id="39"/>
      <w:r w:rsidR="006C6F09">
        <w:t xml:space="preserve"> </w:t>
      </w:r>
    </w:p>
    <w:p w14:paraId="3DECF47B" w14:textId="723DE486" w:rsidR="00457754" w:rsidRDefault="00457754" w:rsidP="00457754">
      <w:r>
        <w:t>Public</w:t>
      </w:r>
      <w:r w:rsidR="006C6F09">
        <w:t xml:space="preserve"> </w:t>
      </w:r>
      <w:r>
        <w:t>meetings</w:t>
      </w:r>
      <w:r w:rsidR="006C6F09">
        <w:t xml:space="preserve"> </w:t>
      </w:r>
      <w:r>
        <w:t>are</w:t>
      </w:r>
      <w:r w:rsidR="006C6F09">
        <w:t xml:space="preserve"> </w:t>
      </w:r>
      <w:r>
        <w:t>meetings</w:t>
      </w:r>
      <w:r w:rsidR="006C6F09">
        <w:t xml:space="preserve"> </w:t>
      </w:r>
      <w:r>
        <w:t>with</w:t>
      </w:r>
      <w:r w:rsidR="006C6F09">
        <w:t xml:space="preserve"> </w:t>
      </w:r>
      <w:r>
        <w:t>the</w:t>
      </w:r>
      <w:r w:rsidR="006C6F09">
        <w:t xml:space="preserve"> </w:t>
      </w:r>
      <w:r w:rsidR="00F1222A">
        <w:t>public</w:t>
      </w:r>
      <w:r>
        <w:t>.</w:t>
      </w:r>
      <w:r w:rsidR="006C6F09">
        <w:t xml:space="preserve"> </w:t>
      </w:r>
      <w:r>
        <w:t>Public</w:t>
      </w:r>
      <w:r w:rsidR="006C6F09">
        <w:t xml:space="preserve"> </w:t>
      </w:r>
      <w:r>
        <w:t>meetings</w:t>
      </w:r>
      <w:r w:rsidR="006C6F09">
        <w:t xml:space="preserve"> </w:t>
      </w:r>
      <w:r>
        <w:t>are</w:t>
      </w:r>
      <w:r w:rsidR="006C6F09">
        <w:t xml:space="preserve"> </w:t>
      </w:r>
      <w:r>
        <w:t>tailored</w:t>
      </w:r>
      <w:r w:rsidR="006C6F09">
        <w:t xml:space="preserve"> </w:t>
      </w:r>
      <w:r>
        <w:t>to</w:t>
      </w:r>
      <w:r w:rsidR="006C6F09">
        <w:t xml:space="preserve"> </w:t>
      </w:r>
      <w:r>
        <w:t>suit</w:t>
      </w:r>
      <w:r w:rsidR="006C6F09">
        <w:t xml:space="preserve"> </w:t>
      </w:r>
      <w:r>
        <w:t>individual</w:t>
      </w:r>
      <w:r w:rsidR="006C6F09">
        <w:t xml:space="preserve"> </w:t>
      </w:r>
      <w:r>
        <w:t>projects</w:t>
      </w:r>
      <w:r w:rsidR="006C6F09">
        <w:t xml:space="preserve"> </w:t>
      </w:r>
      <w:r>
        <w:t>and</w:t>
      </w:r>
      <w:r w:rsidR="006C6F09">
        <w:t xml:space="preserve"> </w:t>
      </w:r>
      <w:r>
        <w:t>anticipated</w:t>
      </w:r>
      <w:r w:rsidR="006C6F09">
        <w:t xml:space="preserve"> </w:t>
      </w:r>
      <w:r>
        <w:t>audiences</w:t>
      </w:r>
      <w:r w:rsidR="006C6F09">
        <w:t xml:space="preserve"> </w:t>
      </w:r>
      <w:r w:rsidRPr="00332D95">
        <w:t>(</w:t>
      </w:r>
      <w:hyperlink r:id="rId42" w:history="1">
        <w:r w:rsidRPr="00332D95">
          <w:rPr>
            <w:rStyle w:val="Hyperlink"/>
            <w:rFonts w:cs="Arial"/>
            <w:szCs w:val="22"/>
          </w:rPr>
          <w:t>43</w:t>
        </w:r>
        <w:r w:rsidR="006C6F09">
          <w:rPr>
            <w:rStyle w:val="Hyperlink"/>
            <w:rFonts w:cs="Arial"/>
            <w:szCs w:val="22"/>
          </w:rPr>
          <w:t xml:space="preserve"> </w:t>
        </w:r>
        <w:r w:rsidRPr="00332D95">
          <w:rPr>
            <w:rStyle w:val="Hyperlink"/>
            <w:rFonts w:cs="Arial"/>
            <w:szCs w:val="22"/>
          </w:rPr>
          <w:t>TAC</w:t>
        </w:r>
        <w:r w:rsidR="006C6F09">
          <w:rPr>
            <w:rStyle w:val="Hyperlink"/>
            <w:rFonts w:cs="Arial"/>
            <w:szCs w:val="22"/>
          </w:rPr>
          <w:t xml:space="preserve"> </w:t>
        </w:r>
        <w:r w:rsidRPr="00332D95">
          <w:rPr>
            <w:rStyle w:val="Hyperlink"/>
            <w:rFonts w:cs="Arial"/>
            <w:szCs w:val="22"/>
          </w:rPr>
          <w:t>2.105</w:t>
        </w:r>
      </w:hyperlink>
      <w:r w:rsidRPr="00332D95">
        <w:t>)</w:t>
      </w:r>
      <w:r>
        <w:t>.</w:t>
      </w:r>
      <w:r w:rsidR="006C6F09">
        <w:t xml:space="preserve"> </w:t>
      </w:r>
      <w:r>
        <w:t>Public</w:t>
      </w:r>
      <w:r w:rsidR="006C6F09">
        <w:t xml:space="preserve"> </w:t>
      </w:r>
      <w:r>
        <w:t>meetings</w:t>
      </w:r>
      <w:r w:rsidR="006C6F09">
        <w:t xml:space="preserve"> </w:t>
      </w:r>
      <w:r>
        <w:t>are</w:t>
      </w:r>
      <w:r w:rsidR="006C6F09">
        <w:t xml:space="preserve"> </w:t>
      </w:r>
      <w:r>
        <w:t>typically</w:t>
      </w:r>
      <w:r w:rsidR="006C6F09">
        <w:t xml:space="preserve"> </w:t>
      </w:r>
      <w:r>
        <w:t>planned</w:t>
      </w:r>
      <w:r w:rsidR="006C6F09">
        <w:t xml:space="preserve"> </w:t>
      </w:r>
      <w:r>
        <w:t>and</w:t>
      </w:r>
      <w:r w:rsidR="006C6F09">
        <w:t xml:space="preserve"> </w:t>
      </w:r>
      <w:r>
        <w:t>coordinated</w:t>
      </w:r>
      <w:r w:rsidR="006C6F09">
        <w:t xml:space="preserve"> </w:t>
      </w:r>
      <w:r>
        <w:t>by</w:t>
      </w:r>
      <w:r w:rsidR="006C6F09">
        <w:t xml:space="preserve"> </w:t>
      </w:r>
      <w:r>
        <w:t>TxDOT;</w:t>
      </w:r>
      <w:r w:rsidR="006C6F09">
        <w:t xml:space="preserve"> </w:t>
      </w:r>
      <w:r>
        <w:t>however,</w:t>
      </w:r>
      <w:r w:rsidR="006C6F09">
        <w:t xml:space="preserve"> </w:t>
      </w:r>
      <w:r>
        <w:t>for</w:t>
      </w:r>
      <w:r w:rsidR="006C6F09">
        <w:t xml:space="preserve"> </w:t>
      </w:r>
      <w:r>
        <w:lastRenderedPageBreak/>
        <w:t>projects</w:t>
      </w:r>
      <w:r w:rsidR="006C6F09">
        <w:t xml:space="preserve"> </w:t>
      </w:r>
      <w:r>
        <w:t>where</w:t>
      </w:r>
      <w:r w:rsidR="006C6F09">
        <w:t xml:space="preserve"> </w:t>
      </w:r>
      <w:r>
        <w:t>a</w:t>
      </w:r>
      <w:r w:rsidR="006C6F09">
        <w:t xml:space="preserve"> </w:t>
      </w:r>
      <w:r>
        <w:t>municipality,</w:t>
      </w:r>
      <w:r w:rsidR="006C6F09">
        <w:t xml:space="preserve"> </w:t>
      </w:r>
      <w:r>
        <w:t>county,</w:t>
      </w:r>
      <w:r w:rsidR="006C6F09">
        <w:t xml:space="preserve"> </w:t>
      </w:r>
      <w:r>
        <w:t>group</w:t>
      </w:r>
      <w:r w:rsidR="006C6F09">
        <w:t xml:space="preserve"> </w:t>
      </w:r>
      <w:r>
        <w:t>of</w:t>
      </w:r>
      <w:r w:rsidR="006C6F09">
        <w:t xml:space="preserve"> </w:t>
      </w:r>
      <w:r>
        <w:t>adjoining</w:t>
      </w:r>
      <w:r w:rsidR="006C6F09">
        <w:t xml:space="preserve"> </w:t>
      </w:r>
      <w:r>
        <w:t>counties,</w:t>
      </w:r>
      <w:r w:rsidR="006C6F09">
        <w:t xml:space="preserve"> </w:t>
      </w:r>
      <w:r>
        <w:t>regional</w:t>
      </w:r>
      <w:r w:rsidR="006C6F09">
        <w:t xml:space="preserve"> </w:t>
      </w:r>
      <w:r>
        <w:t>mobility</w:t>
      </w:r>
      <w:r w:rsidR="006C6F09">
        <w:t xml:space="preserve"> </w:t>
      </w:r>
      <w:r>
        <w:t>authority,</w:t>
      </w:r>
      <w:r w:rsidR="006C6F09">
        <w:t xml:space="preserve"> </w:t>
      </w:r>
      <w:r>
        <w:t>local</w:t>
      </w:r>
      <w:r w:rsidR="006C6F09">
        <w:t xml:space="preserve"> </w:t>
      </w:r>
      <w:r>
        <w:t>government</w:t>
      </w:r>
      <w:r w:rsidR="006C6F09">
        <w:t xml:space="preserve"> </w:t>
      </w:r>
      <w:r>
        <w:t>corporation,</w:t>
      </w:r>
      <w:r w:rsidR="006C6F09">
        <w:t xml:space="preserve"> </w:t>
      </w:r>
      <w:r>
        <w:t>or</w:t>
      </w:r>
      <w:r w:rsidR="006C6F09">
        <w:t xml:space="preserve"> </w:t>
      </w:r>
      <w:r>
        <w:t>transportation</w:t>
      </w:r>
      <w:r w:rsidR="006C6F09">
        <w:t xml:space="preserve"> </w:t>
      </w:r>
      <w:r>
        <w:t>corporation</w:t>
      </w:r>
      <w:r w:rsidR="006C6F09">
        <w:t xml:space="preserve"> </w:t>
      </w:r>
      <w:r>
        <w:t>is</w:t>
      </w:r>
      <w:r w:rsidR="006C6F09">
        <w:t xml:space="preserve"> </w:t>
      </w:r>
      <w:r>
        <w:t>the</w:t>
      </w:r>
      <w:r w:rsidR="006C6F09">
        <w:t xml:space="preserve"> </w:t>
      </w:r>
      <w:r>
        <w:t>official</w:t>
      </w:r>
      <w:r w:rsidR="006C6F09">
        <w:t xml:space="preserve"> </w:t>
      </w:r>
      <w:r>
        <w:t>project</w:t>
      </w:r>
      <w:r w:rsidR="006C6F09">
        <w:t xml:space="preserve"> </w:t>
      </w:r>
      <w:r>
        <w:t>sponsor,</w:t>
      </w:r>
      <w:r w:rsidR="006C6F09">
        <w:t xml:space="preserve"> </w:t>
      </w:r>
      <w:r>
        <w:t>that</w:t>
      </w:r>
      <w:r w:rsidR="006C6F09">
        <w:t xml:space="preserve"> </w:t>
      </w:r>
      <w:r>
        <w:t>entity</w:t>
      </w:r>
      <w:r w:rsidR="006C6F09">
        <w:t xml:space="preserve"> </w:t>
      </w:r>
      <w:r>
        <w:t>can</w:t>
      </w:r>
      <w:r w:rsidR="006C6F09">
        <w:t xml:space="preserve"> </w:t>
      </w:r>
      <w:r>
        <w:t>plan</w:t>
      </w:r>
      <w:r w:rsidR="006C6F09">
        <w:t xml:space="preserve"> </w:t>
      </w:r>
      <w:r>
        <w:t>and</w:t>
      </w:r>
      <w:r w:rsidR="006C6F09">
        <w:t xml:space="preserve"> </w:t>
      </w:r>
      <w:r>
        <w:t>coordinate</w:t>
      </w:r>
      <w:r w:rsidR="006C6F09">
        <w:t xml:space="preserve"> </w:t>
      </w:r>
      <w:r>
        <w:t>public</w:t>
      </w:r>
      <w:r w:rsidR="006C6F09">
        <w:t xml:space="preserve"> </w:t>
      </w:r>
      <w:r>
        <w:t>meetings</w:t>
      </w:r>
      <w:r w:rsidR="006C6F09">
        <w:t xml:space="preserve"> </w:t>
      </w:r>
      <w:r>
        <w:t>provided</w:t>
      </w:r>
      <w:r w:rsidR="006C6F09">
        <w:t xml:space="preserve"> </w:t>
      </w:r>
      <w:r>
        <w:t>the</w:t>
      </w:r>
      <w:r w:rsidR="006C6F09">
        <w:t xml:space="preserve"> </w:t>
      </w:r>
      <w:r>
        <w:t>TxDOT</w:t>
      </w:r>
      <w:r w:rsidR="006C6F09">
        <w:t xml:space="preserve"> </w:t>
      </w:r>
      <w:r>
        <w:t>format</w:t>
      </w:r>
      <w:r w:rsidR="006C6F09">
        <w:t xml:space="preserve"> </w:t>
      </w:r>
      <w:r>
        <w:t>and</w:t>
      </w:r>
      <w:r w:rsidR="006C6F09">
        <w:t xml:space="preserve"> </w:t>
      </w:r>
      <w:r>
        <w:t>requirements</w:t>
      </w:r>
      <w:r w:rsidR="006C6F09">
        <w:t xml:space="preserve"> </w:t>
      </w:r>
      <w:r>
        <w:t>are</w:t>
      </w:r>
      <w:r w:rsidR="006C6F09">
        <w:t xml:space="preserve"> </w:t>
      </w:r>
      <w:r>
        <w:t>adhered</w:t>
      </w:r>
      <w:r w:rsidR="006C6F09">
        <w:t xml:space="preserve"> </w:t>
      </w:r>
      <w:r>
        <w:t>to.</w:t>
      </w:r>
      <w:r w:rsidR="006C6F09">
        <w:t xml:space="preserve"> </w:t>
      </w:r>
      <w:r>
        <w:t>Attendance</w:t>
      </w:r>
      <w:r w:rsidR="006C6F09">
        <w:t xml:space="preserve"> </w:t>
      </w:r>
      <w:r>
        <w:t>by</w:t>
      </w:r>
      <w:r w:rsidR="006C6F09">
        <w:t xml:space="preserve"> </w:t>
      </w:r>
      <w:r>
        <w:t>TxDOT</w:t>
      </w:r>
      <w:r w:rsidR="006C6F09">
        <w:t xml:space="preserve"> </w:t>
      </w:r>
      <w:r>
        <w:t>staff</w:t>
      </w:r>
      <w:r w:rsidR="006C6F09">
        <w:t xml:space="preserve"> </w:t>
      </w:r>
      <w:r>
        <w:t>at</w:t>
      </w:r>
      <w:r w:rsidR="006C6F09">
        <w:t xml:space="preserve"> </w:t>
      </w:r>
      <w:r>
        <w:t>in-person</w:t>
      </w:r>
      <w:r w:rsidR="006C6F09">
        <w:t xml:space="preserve"> </w:t>
      </w:r>
      <w:r>
        <w:t>public</w:t>
      </w:r>
      <w:r w:rsidR="006C6F09">
        <w:t xml:space="preserve"> </w:t>
      </w:r>
      <w:r>
        <w:t>meetings</w:t>
      </w:r>
      <w:r w:rsidR="006C6F09">
        <w:t xml:space="preserve"> </w:t>
      </w:r>
      <w:r>
        <w:t>held</w:t>
      </w:r>
      <w:r w:rsidR="006C6F09">
        <w:t xml:space="preserve"> </w:t>
      </w:r>
      <w:r>
        <w:t>by</w:t>
      </w:r>
      <w:r w:rsidR="006C6F09">
        <w:t xml:space="preserve"> </w:t>
      </w:r>
      <w:r>
        <w:t>local</w:t>
      </w:r>
      <w:r w:rsidR="006C6F09">
        <w:t xml:space="preserve"> </w:t>
      </w:r>
      <w:r>
        <w:t>government</w:t>
      </w:r>
      <w:r w:rsidR="006C6F09">
        <w:t xml:space="preserve"> </w:t>
      </w:r>
      <w:r>
        <w:t>project</w:t>
      </w:r>
      <w:r w:rsidR="006C6F09">
        <w:t xml:space="preserve"> </w:t>
      </w:r>
      <w:r>
        <w:t>sponsors,</w:t>
      </w:r>
      <w:r w:rsidR="006C6F09">
        <w:t xml:space="preserve"> </w:t>
      </w:r>
      <w:r>
        <w:t>although</w:t>
      </w:r>
      <w:r w:rsidR="006C6F09">
        <w:t xml:space="preserve"> </w:t>
      </w:r>
      <w:r>
        <w:t>not</w:t>
      </w:r>
      <w:r w:rsidR="006C6F09">
        <w:t xml:space="preserve"> </w:t>
      </w:r>
      <w:r>
        <w:t>required,</w:t>
      </w:r>
      <w:r w:rsidR="006C6F09">
        <w:t xml:space="preserve"> </w:t>
      </w:r>
      <w:r>
        <w:t>is</w:t>
      </w:r>
      <w:r w:rsidR="006C6F09">
        <w:t xml:space="preserve"> </w:t>
      </w:r>
      <w:r>
        <w:t>recommended</w:t>
      </w:r>
      <w:r w:rsidR="006C6F09">
        <w:t xml:space="preserve"> </w:t>
      </w:r>
      <w:r>
        <w:t>as</w:t>
      </w:r>
      <w:r w:rsidR="006C6F09">
        <w:t xml:space="preserve"> </w:t>
      </w:r>
      <w:r>
        <w:t>another</w:t>
      </w:r>
      <w:r w:rsidR="006C6F09">
        <w:t xml:space="preserve"> </w:t>
      </w:r>
      <w:r>
        <w:t>example</w:t>
      </w:r>
      <w:r w:rsidR="006C6F09">
        <w:t xml:space="preserve"> </w:t>
      </w:r>
      <w:r>
        <w:t>of</w:t>
      </w:r>
      <w:r w:rsidR="006C6F09">
        <w:t xml:space="preserve"> </w:t>
      </w:r>
      <w:r>
        <w:t>TxDOT</w:t>
      </w:r>
      <w:r w:rsidR="006C6F09">
        <w:t xml:space="preserve"> </w:t>
      </w:r>
      <w:r>
        <w:t>doing</w:t>
      </w:r>
      <w:r w:rsidR="006C6F09">
        <w:t xml:space="preserve"> </w:t>
      </w:r>
      <w:r>
        <w:t>more</w:t>
      </w:r>
      <w:r w:rsidR="006C6F09">
        <w:t xml:space="preserve"> </w:t>
      </w:r>
      <w:r>
        <w:t>than</w:t>
      </w:r>
      <w:r w:rsidR="006C6F09">
        <w:t xml:space="preserve"> </w:t>
      </w:r>
      <w:r>
        <w:t>the</w:t>
      </w:r>
      <w:r w:rsidR="006C6F09">
        <w:t xml:space="preserve"> </w:t>
      </w:r>
      <w:r>
        <w:t>minimum.</w:t>
      </w:r>
    </w:p>
    <w:p w14:paraId="466BD572" w14:textId="3D2FA5C3" w:rsidR="00457754" w:rsidRDefault="00457754" w:rsidP="00457754">
      <w:r>
        <w:t>Where</w:t>
      </w:r>
      <w:r w:rsidR="006C6F09">
        <w:t xml:space="preserve"> </w:t>
      </w:r>
      <w:r>
        <w:t>practicable,</w:t>
      </w:r>
      <w:r w:rsidR="006C6F09">
        <w:t xml:space="preserve"> </w:t>
      </w:r>
      <w:r>
        <w:t>public</w:t>
      </w:r>
      <w:r w:rsidR="006C6F09">
        <w:t xml:space="preserve"> </w:t>
      </w:r>
      <w:r>
        <w:t>meetings</w:t>
      </w:r>
      <w:r w:rsidR="006C6F09">
        <w:t xml:space="preserve"> </w:t>
      </w:r>
      <w:r>
        <w:t>should</w:t>
      </w:r>
      <w:r w:rsidR="006C6F09">
        <w:t xml:space="preserve"> </w:t>
      </w:r>
      <w:r>
        <w:t>include</w:t>
      </w:r>
      <w:r w:rsidR="006C6F09">
        <w:t xml:space="preserve"> </w:t>
      </w:r>
      <w:r>
        <w:t>historic</w:t>
      </w:r>
      <w:r w:rsidR="006C6F09">
        <w:t xml:space="preserve"> </w:t>
      </w:r>
      <w:r>
        <w:t>preservation</w:t>
      </w:r>
      <w:r w:rsidR="006C6F09">
        <w:t xml:space="preserve"> </w:t>
      </w:r>
      <w:r>
        <w:t>interest</w:t>
      </w:r>
      <w:r w:rsidR="006C6F09">
        <w:t xml:space="preserve"> </w:t>
      </w:r>
      <w:r>
        <w:t>groups,</w:t>
      </w:r>
      <w:r w:rsidR="006C6F09">
        <w:t xml:space="preserve"> </w:t>
      </w:r>
      <w:r>
        <w:t>as</w:t>
      </w:r>
      <w:r w:rsidR="006C6F09">
        <w:t xml:space="preserve"> </w:t>
      </w:r>
      <w:r>
        <w:t>appropriate.</w:t>
      </w:r>
      <w:r w:rsidR="006C6F09">
        <w:t xml:space="preserve"> </w:t>
      </w:r>
      <w:r>
        <w:t>This</w:t>
      </w:r>
      <w:r w:rsidR="006C6F09">
        <w:t xml:space="preserve"> </w:t>
      </w:r>
      <w:r>
        <w:t>may</w:t>
      </w:r>
      <w:r w:rsidR="006C6F09">
        <w:t xml:space="preserve"> </w:t>
      </w:r>
      <w:r>
        <w:t>avoid</w:t>
      </w:r>
      <w:r w:rsidR="006C6F09">
        <w:t xml:space="preserve"> </w:t>
      </w:r>
      <w:r>
        <w:t>the</w:t>
      </w:r>
      <w:r w:rsidR="006C6F09">
        <w:t xml:space="preserve"> </w:t>
      </w:r>
      <w:r>
        <w:t>need</w:t>
      </w:r>
      <w:r w:rsidR="006C6F09">
        <w:t xml:space="preserve"> </w:t>
      </w:r>
      <w:r>
        <w:t>to</w:t>
      </w:r>
      <w:r w:rsidR="006C6F09">
        <w:t xml:space="preserve"> </w:t>
      </w:r>
      <w:r w:rsidR="00BC5AD4">
        <w:t>meet</w:t>
      </w:r>
      <w:r w:rsidR="006C6F09">
        <w:t xml:space="preserve"> </w:t>
      </w:r>
      <w:r w:rsidR="00BC5AD4">
        <w:t>with</w:t>
      </w:r>
      <w:r w:rsidR="006C6F09">
        <w:t xml:space="preserve"> </w:t>
      </w:r>
      <w:r w:rsidR="00BC5AD4">
        <w:t>such</w:t>
      </w:r>
      <w:r w:rsidR="006C6F09">
        <w:t xml:space="preserve"> </w:t>
      </w:r>
      <w:r w:rsidR="00BC5AD4">
        <w:t>groups</w:t>
      </w:r>
      <w:r w:rsidR="006C6F09">
        <w:t xml:space="preserve"> </w:t>
      </w:r>
      <w:r w:rsidR="00BC5AD4">
        <w:t>separately</w:t>
      </w:r>
      <w:r w:rsidR="006C6F09">
        <w:t xml:space="preserve"> </w:t>
      </w:r>
      <w:r>
        <w:t>under</w:t>
      </w:r>
      <w:r w:rsidR="006C6F09">
        <w:t xml:space="preserve"> </w:t>
      </w:r>
      <w:r>
        <w:t>the</w:t>
      </w:r>
      <w:r w:rsidR="006C6F09">
        <w:t xml:space="preserve"> </w:t>
      </w:r>
      <w:r>
        <w:t>consultation</w:t>
      </w:r>
      <w:r w:rsidR="006C6F09">
        <w:t xml:space="preserve"> </w:t>
      </w:r>
      <w:r>
        <w:t>process</w:t>
      </w:r>
      <w:r w:rsidR="006C6F09">
        <w:t xml:space="preserve"> </w:t>
      </w:r>
      <w:r>
        <w:t>required</w:t>
      </w:r>
      <w:r w:rsidR="006C6F09">
        <w:t xml:space="preserve"> </w:t>
      </w:r>
      <w:r>
        <w:t>under</w:t>
      </w:r>
      <w:r w:rsidR="006C6F09">
        <w:t xml:space="preserve"> </w:t>
      </w:r>
      <w:r>
        <w:t>Section</w:t>
      </w:r>
      <w:r w:rsidR="006C6F09">
        <w:t xml:space="preserve"> </w:t>
      </w:r>
      <w:r>
        <w:t>106</w:t>
      </w:r>
      <w:r w:rsidR="006C6F09">
        <w:t xml:space="preserve"> </w:t>
      </w:r>
      <w:r>
        <w:t>of</w:t>
      </w:r>
      <w:r w:rsidR="006C6F09">
        <w:t xml:space="preserve"> </w:t>
      </w:r>
      <w:r>
        <w:t>the</w:t>
      </w:r>
      <w:r w:rsidR="006C6F09">
        <w:t xml:space="preserve"> </w:t>
      </w:r>
      <w:r w:rsidRPr="00BD7E67">
        <w:t>National</w:t>
      </w:r>
      <w:r w:rsidR="006C6F09">
        <w:t xml:space="preserve"> </w:t>
      </w:r>
      <w:r w:rsidRPr="00BD7E67">
        <w:t>Historic</w:t>
      </w:r>
      <w:r w:rsidR="006C6F09">
        <w:t xml:space="preserve"> </w:t>
      </w:r>
      <w:r w:rsidRPr="00BD7E67">
        <w:t>Preservation</w:t>
      </w:r>
      <w:r w:rsidR="006C6F09">
        <w:t xml:space="preserve"> </w:t>
      </w:r>
      <w:r w:rsidRPr="00BD7E67">
        <w:t>Act.</w:t>
      </w:r>
      <w:r w:rsidR="006C6F09">
        <w:t xml:space="preserve"> </w:t>
      </w:r>
      <w:r>
        <w:t>ENV</w:t>
      </w:r>
      <w:r w:rsidR="006C6F09">
        <w:t xml:space="preserve"> </w:t>
      </w:r>
      <w:r>
        <w:t>Cultural</w:t>
      </w:r>
      <w:r w:rsidR="006C6F09">
        <w:t xml:space="preserve"> </w:t>
      </w:r>
      <w:r>
        <w:t>Resources</w:t>
      </w:r>
      <w:r w:rsidR="006C6F09">
        <w:t xml:space="preserve"> </w:t>
      </w:r>
      <w:r>
        <w:t>Management</w:t>
      </w:r>
      <w:r w:rsidR="006C6F09">
        <w:t xml:space="preserve"> </w:t>
      </w:r>
      <w:r>
        <w:t>Section</w:t>
      </w:r>
      <w:r w:rsidR="006C6F09">
        <w:t xml:space="preserve"> </w:t>
      </w:r>
      <w:r>
        <w:t>(CRM)</w:t>
      </w:r>
      <w:r w:rsidR="006C6F09">
        <w:t xml:space="preserve"> </w:t>
      </w:r>
      <w:r>
        <w:t>staff</w:t>
      </w:r>
      <w:r w:rsidR="006C6F09">
        <w:t xml:space="preserve"> </w:t>
      </w:r>
      <w:r>
        <w:t>can</w:t>
      </w:r>
      <w:r w:rsidR="006C6F09">
        <w:t xml:space="preserve"> </w:t>
      </w:r>
      <w:r>
        <w:t>assist</w:t>
      </w:r>
      <w:r w:rsidR="006C6F09">
        <w:t xml:space="preserve"> </w:t>
      </w:r>
      <w:r>
        <w:t>in</w:t>
      </w:r>
      <w:r w:rsidR="006C6F09">
        <w:t xml:space="preserve"> </w:t>
      </w:r>
      <w:r>
        <w:t>providing</w:t>
      </w:r>
      <w:r w:rsidR="006C6F09">
        <w:t xml:space="preserve"> </w:t>
      </w:r>
      <w:r>
        <w:t>contact</w:t>
      </w:r>
      <w:r w:rsidR="006C6F09">
        <w:t xml:space="preserve"> </w:t>
      </w:r>
      <w:r>
        <w:t>information</w:t>
      </w:r>
      <w:r w:rsidR="006C6F09">
        <w:t xml:space="preserve"> </w:t>
      </w:r>
      <w:r>
        <w:t>for</w:t>
      </w:r>
      <w:r w:rsidR="006C6F09">
        <w:t xml:space="preserve"> </w:t>
      </w:r>
      <w:r>
        <w:t>groups</w:t>
      </w:r>
      <w:r w:rsidR="006C6F09">
        <w:t xml:space="preserve"> </w:t>
      </w:r>
      <w:r>
        <w:t>such</w:t>
      </w:r>
      <w:r w:rsidR="006C6F09">
        <w:t xml:space="preserve"> </w:t>
      </w:r>
      <w:r>
        <w:t>as</w:t>
      </w:r>
      <w:r w:rsidR="006C6F09">
        <w:t xml:space="preserve"> </w:t>
      </w:r>
      <w:r>
        <w:t>county</w:t>
      </w:r>
      <w:r w:rsidR="006C6F09">
        <w:t xml:space="preserve"> </w:t>
      </w:r>
      <w:r>
        <w:t>historical</w:t>
      </w:r>
      <w:r w:rsidR="006C6F09">
        <w:t xml:space="preserve"> </w:t>
      </w:r>
      <w:r>
        <w:t>commissions,</w:t>
      </w:r>
      <w:r w:rsidR="006C6F09">
        <w:t xml:space="preserve"> </w:t>
      </w:r>
      <w:r>
        <w:t>local</w:t>
      </w:r>
      <w:r w:rsidR="006C6F09">
        <w:t xml:space="preserve"> </w:t>
      </w:r>
      <w:r>
        <w:t>preservation</w:t>
      </w:r>
      <w:r w:rsidR="006C6F09">
        <w:t xml:space="preserve"> </w:t>
      </w:r>
      <w:r>
        <w:t>offices,</w:t>
      </w:r>
      <w:r w:rsidR="006C6F09">
        <w:t xml:space="preserve"> </w:t>
      </w:r>
      <w:r>
        <w:t>and</w:t>
      </w:r>
      <w:r w:rsidR="006C6F09">
        <w:t xml:space="preserve"> </w:t>
      </w:r>
      <w:r>
        <w:t>other</w:t>
      </w:r>
      <w:r w:rsidR="006C6F09">
        <w:t xml:space="preserve"> </w:t>
      </w:r>
      <w:r>
        <w:t>relevant</w:t>
      </w:r>
      <w:r w:rsidR="006C6F09">
        <w:t xml:space="preserve"> </w:t>
      </w:r>
      <w:r>
        <w:t>groups.</w:t>
      </w:r>
    </w:p>
    <w:p w14:paraId="31E84A2F" w14:textId="56FDB641" w:rsidR="00457754" w:rsidRDefault="00457754" w:rsidP="00457754">
      <w:r>
        <w:t>Coordination</w:t>
      </w:r>
      <w:r w:rsidR="006C6F09">
        <w:t xml:space="preserve"> </w:t>
      </w:r>
      <w:r>
        <w:t>of</w:t>
      </w:r>
      <w:r w:rsidR="006C6F09">
        <w:t xml:space="preserve"> </w:t>
      </w:r>
      <w:r>
        <w:t>engaging</w:t>
      </w:r>
      <w:r w:rsidR="006C6F09">
        <w:t xml:space="preserve"> </w:t>
      </w:r>
      <w:r>
        <w:t>public</w:t>
      </w:r>
      <w:r w:rsidR="006C6F09">
        <w:t xml:space="preserve"> </w:t>
      </w:r>
      <w:r>
        <w:t>meetings</w:t>
      </w:r>
      <w:r w:rsidR="006C6F09">
        <w:t xml:space="preserve"> </w:t>
      </w:r>
      <w:r>
        <w:t>will</w:t>
      </w:r>
      <w:r w:rsidR="006C6F09">
        <w:t xml:space="preserve"> </w:t>
      </w:r>
      <w:r>
        <w:t>increase</w:t>
      </w:r>
      <w:r w:rsidR="006C6F09">
        <w:t xml:space="preserve"> </w:t>
      </w:r>
      <w:r>
        <w:t>the</w:t>
      </w:r>
      <w:r w:rsidR="006C6F09">
        <w:t xml:space="preserve"> </w:t>
      </w:r>
      <w:r>
        <w:t>level</w:t>
      </w:r>
      <w:r w:rsidR="006C6F09">
        <w:t xml:space="preserve"> </w:t>
      </w:r>
      <w:r>
        <w:t>of</w:t>
      </w:r>
      <w:r w:rsidR="006C6F09">
        <w:t xml:space="preserve"> </w:t>
      </w:r>
      <w:r>
        <w:t>participation</w:t>
      </w:r>
      <w:r w:rsidR="006C6F09">
        <w:t xml:space="preserve"> </w:t>
      </w:r>
      <w:r>
        <w:t>and</w:t>
      </w:r>
      <w:r w:rsidR="006C6F09">
        <w:t xml:space="preserve"> </w:t>
      </w:r>
      <w:r>
        <w:t>feedback,</w:t>
      </w:r>
      <w:r w:rsidR="006C6F09">
        <w:t xml:space="preserve"> </w:t>
      </w:r>
      <w:r>
        <w:t>and</w:t>
      </w:r>
      <w:r w:rsidR="006C6F09">
        <w:t xml:space="preserve"> </w:t>
      </w:r>
      <w:r>
        <w:t>many</w:t>
      </w:r>
      <w:r w:rsidR="006C6F09">
        <w:t xml:space="preserve"> </w:t>
      </w:r>
      <w:r>
        <w:t>tools</w:t>
      </w:r>
      <w:r w:rsidR="006C6F09">
        <w:t xml:space="preserve"> </w:t>
      </w:r>
      <w:r>
        <w:t>are</w:t>
      </w:r>
      <w:r w:rsidR="006C6F09">
        <w:t xml:space="preserve"> </w:t>
      </w:r>
      <w:r>
        <w:t>available</w:t>
      </w:r>
      <w:r w:rsidR="006C6F09">
        <w:t xml:space="preserve"> </w:t>
      </w:r>
      <w:r>
        <w:t>to</w:t>
      </w:r>
      <w:r w:rsidR="006C6F09">
        <w:t xml:space="preserve"> </w:t>
      </w:r>
      <w:r>
        <w:t>encourage</w:t>
      </w:r>
      <w:r w:rsidR="006C6F09">
        <w:t xml:space="preserve"> </w:t>
      </w:r>
      <w:r>
        <w:t>constructive</w:t>
      </w:r>
      <w:r w:rsidR="006C6F09">
        <w:t xml:space="preserve"> </w:t>
      </w:r>
      <w:r>
        <w:t>public</w:t>
      </w:r>
      <w:r w:rsidR="006C6F09">
        <w:t xml:space="preserve"> </w:t>
      </w:r>
      <w:r>
        <w:t>feedback.</w:t>
      </w:r>
      <w:r w:rsidR="006C6F09">
        <w:t xml:space="preserve"> </w:t>
      </w:r>
      <w:r>
        <w:t>Although</w:t>
      </w:r>
      <w:r w:rsidR="006C6F09">
        <w:t xml:space="preserve"> </w:t>
      </w:r>
      <w:r>
        <w:t>displaying</w:t>
      </w:r>
      <w:r w:rsidR="006C6F09">
        <w:t xml:space="preserve"> </w:t>
      </w:r>
      <w:r>
        <w:t>exhibit</w:t>
      </w:r>
      <w:r w:rsidR="006C6F09">
        <w:t xml:space="preserve"> </w:t>
      </w:r>
      <w:r>
        <w:t>boards</w:t>
      </w:r>
      <w:r w:rsidR="006C6F09">
        <w:t xml:space="preserve"> </w:t>
      </w:r>
      <w:r>
        <w:t>and</w:t>
      </w:r>
      <w:r w:rsidR="006C6F09">
        <w:t xml:space="preserve"> </w:t>
      </w:r>
      <w:r>
        <w:t>answering</w:t>
      </w:r>
      <w:r w:rsidR="006C6F09">
        <w:t xml:space="preserve"> </w:t>
      </w:r>
      <w:r>
        <w:t>questions</w:t>
      </w:r>
      <w:r w:rsidR="006C6F09">
        <w:t xml:space="preserve"> </w:t>
      </w:r>
      <w:r>
        <w:t>is</w:t>
      </w:r>
      <w:r w:rsidR="006C6F09">
        <w:t xml:space="preserve"> </w:t>
      </w:r>
      <w:r>
        <w:t>important,</w:t>
      </w:r>
      <w:r w:rsidR="006C6F09">
        <w:t xml:space="preserve"> </w:t>
      </w:r>
      <w:r>
        <w:t>consider</w:t>
      </w:r>
      <w:r w:rsidR="006C6F09">
        <w:t xml:space="preserve"> </w:t>
      </w:r>
      <w:r>
        <w:t>other</w:t>
      </w:r>
      <w:r w:rsidR="006C6F09">
        <w:t xml:space="preserve"> </w:t>
      </w:r>
      <w:r>
        <w:t>methods</w:t>
      </w:r>
      <w:r w:rsidR="006C6F09">
        <w:t xml:space="preserve"> </w:t>
      </w:r>
      <w:r>
        <w:t>such</w:t>
      </w:r>
      <w:r w:rsidR="006C6F09">
        <w:t xml:space="preserve"> </w:t>
      </w:r>
      <w:r>
        <w:t>as</w:t>
      </w:r>
      <w:r w:rsidR="006C6F09">
        <w:t xml:space="preserve"> </w:t>
      </w:r>
      <w:r>
        <w:t>stakeholder</w:t>
      </w:r>
      <w:r w:rsidR="006C6F09">
        <w:t xml:space="preserve"> </w:t>
      </w:r>
      <w:r>
        <w:t>workshops,</w:t>
      </w:r>
      <w:r w:rsidR="006C6F09">
        <w:t xml:space="preserve"> </w:t>
      </w:r>
      <w:r>
        <w:t>using</w:t>
      </w:r>
      <w:r w:rsidR="006C6F09">
        <w:t xml:space="preserve"> </w:t>
      </w:r>
      <w:r>
        <w:t>a</w:t>
      </w:r>
      <w:r w:rsidR="006C6F09">
        <w:t xml:space="preserve"> </w:t>
      </w:r>
      <w:r>
        <w:t>skilled</w:t>
      </w:r>
      <w:r w:rsidR="006C6F09">
        <w:t xml:space="preserve"> </w:t>
      </w:r>
      <w:r>
        <w:t>facilitator</w:t>
      </w:r>
      <w:r w:rsidR="006C6F09">
        <w:t xml:space="preserve"> </w:t>
      </w:r>
      <w:r>
        <w:t>to</w:t>
      </w:r>
      <w:r w:rsidR="006C6F09">
        <w:t xml:space="preserve"> </w:t>
      </w:r>
      <w:r>
        <w:t>display</w:t>
      </w:r>
      <w:r w:rsidR="006C6F09">
        <w:t xml:space="preserve"> </w:t>
      </w:r>
      <w:r>
        <w:t>and</w:t>
      </w:r>
      <w:r w:rsidR="006C6F09">
        <w:t xml:space="preserve"> </w:t>
      </w:r>
      <w:r>
        <w:t>or</w:t>
      </w:r>
      <w:r w:rsidR="006C6F09">
        <w:t xml:space="preserve"> </w:t>
      </w:r>
      <w:r>
        <w:t>categorize</w:t>
      </w:r>
      <w:r w:rsidR="006C6F09">
        <w:t xml:space="preserve"> </w:t>
      </w:r>
      <w:r>
        <w:t>note</w:t>
      </w:r>
      <w:r w:rsidR="006C6F09">
        <w:t xml:space="preserve"> </w:t>
      </w:r>
      <w:r>
        <w:t>card</w:t>
      </w:r>
      <w:r w:rsidR="006C6F09">
        <w:t xml:space="preserve"> </w:t>
      </w:r>
      <w:r>
        <w:t>ideas,</w:t>
      </w:r>
      <w:r w:rsidR="006C6F09">
        <w:t xml:space="preserve"> </w:t>
      </w:r>
      <w:r>
        <w:t>or</w:t>
      </w:r>
      <w:r w:rsidR="006C6F09">
        <w:t xml:space="preserve"> </w:t>
      </w:r>
      <w:r>
        <w:t>allowing</w:t>
      </w:r>
      <w:r w:rsidR="006C6F09">
        <w:t xml:space="preserve"> </w:t>
      </w:r>
      <w:r>
        <w:t>the</w:t>
      </w:r>
      <w:r w:rsidR="006C6F09">
        <w:t xml:space="preserve"> </w:t>
      </w:r>
      <w:r>
        <w:t>public</w:t>
      </w:r>
      <w:r w:rsidR="006C6F09">
        <w:t xml:space="preserve"> </w:t>
      </w:r>
      <w:r>
        <w:t>to</w:t>
      </w:r>
      <w:r w:rsidR="006C6F09">
        <w:t xml:space="preserve"> </w:t>
      </w:r>
      <w:r>
        <w:t>write</w:t>
      </w:r>
      <w:r w:rsidR="006C6F09">
        <w:t xml:space="preserve"> </w:t>
      </w:r>
      <w:r>
        <w:t>down</w:t>
      </w:r>
      <w:r w:rsidR="006C6F09">
        <w:t xml:space="preserve"> </w:t>
      </w:r>
      <w:r>
        <w:t>questions</w:t>
      </w:r>
      <w:r w:rsidR="006C6F09">
        <w:t xml:space="preserve"> </w:t>
      </w:r>
      <w:r>
        <w:t>and</w:t>
      </w:r>
      <w:r w:rsidR="006C6F09">
        <w:t xml:space="preserve"> </w:t>
      </w:r>
      <w:r>
        <w:t>ideas</w:t>
      </w:r>
      <w:r w:rsidR="006C6F09">
        <w:t xml:space="preserve"> </w:t>
      </w:r>
      <w:r>
        <w:t>on</w:t>
      </w:r>
      <w:r w:rsidR="006C6F09">
        <w:t xml:space="preserve"> </w:t>
      </w:r>
      <w:r>
        <w:t>flip</w:t>
      </w:r>
      <w:r w:rsidR="006C6F09">
        <w:t xml:space="preserve"> </w:t>
      </w:r>
      <w:r>
        <w:t>charts.</w:t>
      </w:r>
      <w:r w:rsidR="006C6F09">
        <w:t xml:space="preserve"> </w:t>
      </w:r>
    </w:p>
    <w:p w14:paraId="3772C9C3" w14:textId="23C4E767" w:rsidR="00457754" w:rsidRDefault="00457754" w:rsidP="00457754">
      <w:r>
        <w:t>Non-public</w:t>
      </w:r>
      <w:r w:rsidR="006C6F09">
        <w:t xml:space="preserve"> </w:t>
      </w:r>
      <w:r>
        <w:t>meetings,</w:t>
      </w:r>
      <w:r w:rsidR="006C6F09">
        <w:t xml:space="preserve"> </w:t>
      </w:r>
      <w:r>
        <w:t>such</w:t>
      </w:r>
      <w:r w:rsidR="006C6F09">
        <w:t xml:space="preserve"> </w:t>
      </w:r>
      <w:r>
        <w:t>as</w:t>
      </w:r>
      <w:r w:rsidR="006C6F09">
        <w:t xml:space="preserve"> </w:t>
      </w:r>
      <w:r>
        <w:t>meetings</w:t>
      </w:r>
      <w:r w:rsidR="006C6F09">
        <w:t xml:space="preserve"> </w:t>
      </w:r>
      <w:r>
        <w:t>with</w:t>
      </w:r>
      <w:r w:rsidR="006C6F09">
        <w:t xml:space="preserve"> </w:t>
      </w:r>
      <w:r>
        <w:t>property</w:t>
      </w:r>
      <w:r w:rsidR="006C6F09">
        <w:t xml:space="preserve"> </w:t>
      </w:r>
      <w:r>
        <w:t>owners,</w:t>
      </w:r>
      <w:r w:rsidR="006C6F09">
        <w:t xml:space="preserve"> </w:t>
      </w:r>
      <w:r>
        <w:t>interested</w:t>
      </w:r>
      <w:r w:rsidR="006C6F09">
        <w:t xml:space="preserve"> </w:t>
      </w:r>
      <w:r>
        <w:t>individuals,</w:t>
      </w:r>
      <w:r w:rsidR="006C6F09">
        <w:t xml:space="preserve"> </w:t>
      </w:r>
      <w:r>
        <w:t>stakeholder</w:t>
      </w:r>
      <w:r w:rsidR="006C6F09">
        <w:t xml:space="preserve"> </w:t>
      </w:r>
      <w:r>
        <w:t>groups,</w:t>
      </w:r>
      <w:r w:rsidR="006C6F09">
        <w:t xml:space="preserve"> </w:t>
      </w:r>
      <w:r>
        <w:t>neighborhood</w:t>
      </w:r>
      <w:r w:rsidR="006C6F09">
        <w:t xml:space="preserve"> </w:t>
      </w:r>
      <w:r>
        <w:t>associations,</w:t>
      </w:r>
      <w:r w:rsidR="006C6F09">
        <w:t xml:space="preserve"> </w:t>
      </w:r>
      <w:r>
        <w:t>special</w:t>
      </w:r>
      <w:r w:rsidR="006C6F09">
        <w:t xml:space="preserve"> </w:t>
      </w:r>
      <w:r>
        <w:t>interest</w:t>
      </w:r>
      <w:r w:rsidR="006C6F09">
        <w:t xml:space="preserve"> </w:t>
      </w:r>
      <w:r>
        <w:t>groups,</w:t>
      </w:r>
      <w:r w:rsidR="006C6F09">
        <w:t xml:space="preserve"> </w:t>
      </w:r>
      <w:r>
        <w:t>or</w:t>
      </w:r>
      <w:r w:rsidR="006C6F09">
        <w:t xml:space="preserve"> </w:t>
      </w:r>
      <w:r>
        <w:t>businesses</w:t>
      </w:r>
      <w:r w:rsidR="006C6F09">
        <w:t xml:space="preserve"> </w:t>
      </w:r>
      <w:r>
        <w:t>may</w:t>
      </w:r>
      <w:r w:rsidR="006C6F09">
        <w:t xml:space="preserve"> </w:t>
      </w:r>
      <w:r>
        <w:t>be</w:t>
      </w:r>
      <w:r w:rsidR="006C6F09">
        <w:t xml:space="preserve"> </w:t>
      </w:r>
      <w:r>
        <w:t>held</w:t>
      </w:r>
      <w:r w:rsidR="006C6F09">
        <w:t xml:space="preserve"> </w:t>
      </w:r>
      <w:r>
        <w:t>as</w:t>
      </w:r>
      <w:r w:rsidR="006C6F09">
        <w:t xml:space="preserve"> </w:t>
      </w:r>
      <w:r>
        <w:t>deemed</w:t>
      </w:r>
      <w:r w:rsidR="006C6F09">
        <w:t xml:space="preserve"> </w:t>
      </w:r>
      <w:r>
        <w:t>appropriate</w:t>
      </w:r>
      <w:r w:rsidR="006C6F09">
        <w:t xml:space="preserve"> </w:t>
      </w:r>
      <w:r>
        <w:t>by</w:t>
      </w:r>
      <w:r w:rsidR="006C6F09">
        <w:t xml:space="preserve"> </w:t>
      </w:r>
      <w:r>
        <w:t>the</w:t>
      </w:r>
      <w:r w:rsidR="006C6F09">
        <w:t xml:space="preserve"> </w:t>
      </w:r>
      <w:r>
        <w:t>project</w:t>
      </w:r>
      <w:r w:rsidR="006C6F09">
        <w:t xml:space="preserve"> </w:t>
      </w:r>
      <w:r>
        <w:t>sponsor.</w:t>
      </w:r>
      <w:r w:rsidR="006C6F09">
        <w:t xml:space="preserve"> </w:t>
      </w:r>
      <w:r>
        <w:t>Documentation</w:t>
      </w:r>
      <w:r w:rsidR="006C6F09">
        <w:t xml:space="preserve"> </w:t>
      </w:r>
      <w:r>
        <w:t>of</w:t>
      </w:r>
      <w:r w:rsidR="006C6F09">
        <w:t xml:space="preserve"> </w:t>
      </w:r>
      <w:r>
        <w:t>non-public</w:t>
      </w:r>
      <w:r w:rsidR="006C6F09">
        <w:t xml:space="preserve"> </w:t>
      </w:r>
      <w:r>
        <w:t>meetings</w:t>
      </w:r>
      <w:r w:rsidR="006C6F09">
        <w:t xml:space="preserve"> </w:t>
      </w:r>
      <w:r>
        <w:t>should</w:t>
      </w:r>
      <w:r w:rsidR="006C6F09">
        <w:t xml:space="preserve"> </w:t>
      </w:r>
      <w:r>
        <w:t>be</w:t>
      </w:r>
      <w:r w:rsidR="006C6F09">
        <w:t xml:space="preserve"> </w:t>
      </w:r>
      <w:r>
        <w:t>recorded</w:t>
      </w:r>
      <w:r w:rsidR="006C6F09">
        <w:t xml:space="preserve"> </w:t>
      </w:r>
      <w:r>
        <w:t>using</w:t>
      </w:r>
      <w:r w:rsidR="006C6F09">
        <w:t xml:space="preserve"> </w:t>
      </w:r>
      <w:r>
        <w:t>the</w:t>
      </w:r>
      <w:r w:rsidR="006C6F09">
        <w:t xml:space="preserve"> </w:t>
      </w:r>
      <w:r>
        <w:t>“Perform</w:t>
      </w:r>
      <w:r w:rsidR="006C6F09">
        <w:t xml:space="preserve"> </w:t>
      </w:r>
      <w:r>
        <w:t>Additional</w:t>
      </w:r>
      <w:r w:rsidR="006C6F09">
        <w:t xml:space="preserve"> </w:t>
      </w:r>
      <w:r>
        <w:t>Public</w:t>
      </w:r>
      <w:r w:rsidR="006C6F09">
        <w:t xml:space="preserve"> </w:t>
      </w:r>
      <w:r>
        <w:t>Outreach”</w:t>
      </w:r>
      <w:r w:rsidR="006C6F09">
        <w:t xml:space="preserve"> </w:t>
      </w:r>
      <w:r>
        <w:t>Activity</w:t>
      </w:r>
      <w:r w:rsidR="006C6F09">
        <w:t xml:space="preserve"> </w:t>
      </w:r>
      <w:r>
        <w:t>in</w:t>
      </w:r>
      <w:r w:rsidR="006C6F09">
        <w:t xml:space="preserve"> </w:t>
      </w:r>
      <w:r>
        <w:t>ECOS.</w:t>
      </w:r>
      <w:r w:rsidR="006C6F09">
        <w:t xml:space="preserve"> </w:t>
      </w:r>
      <w:r>
        <w:t>The</w:t>
      </w:r>
      <w:r w:rsidR="006C6F09">
        <w:t xml:space="preserve"> </w:t>
      </w:r>
      <w:r>
        <w:t>format</w:t>
      </w:r>
      <w:r w:rsidR="006C6F09">
        <w:t xml:space="preserve"> </w:t>
      </w:r>
      <w:r>
        <w:t>and</w:t>
      </w:r>
      <w:r w:rsidR="006C6F09">
        <w:t xml:space="preserve"> </w:t>
      </w:r>
      <w:r>
        <w:t>level</w:t>
      </w:r>
      <w:r w:rsidR="006C6F09">
        <w:t xml:space="preserve"> </w:t>
      </w:r>
      <w:r>
        <w:t>of</w:t>
      </w:r>
      <w:r w:rsidR="006C6F09">
        <w:t xml:space="preserve"> </w:t>
      </w:r>
      <w:r>
        <w:t>detail</w:t>
      </w:r>
      <w:r w:rsidR="006C6F09">
        <w:t xml:space="preserve"> </w:t>
      </w:r>
      <w:r>
        <w:t>of</w:t>
      </w:r>
      <w:r w:rsidR="006C6F09">
        <w:t xml:space="preserve"> </w:t>
      </w:r>
      <w:r>
        <w:t>such</w:t>
      </w:r>
      <w:r w:rsidR="006C6F09">
        <w:t xml:space="preserve"> </w:t>
      </w:r>
      <w:r>
        <w:t>documentation</w:t>
      </w:r>
      <w:r w:rsidR="006C6F09">
        <w:t xml:space="preserve"> </w:t>
      </w:r>
      <w:r>
        <w:t>is</w:t>
      </w:r>
      <w:r w:rsidR="006C6F09">
        <w:t xml:space="preserve"> </w:t>
      </w:r>
      <w:r>
        <w:t>at</w:t>
      </w:r>
      <w:r w:rsidR="006C6F09">
        <w:t xml:space="preserve"> </w:t>
      </w:r>
      <w:r>
        <w:t>the</w:t>
      </w:r>
      <w:r w:rsidR="006C6F09">
        <w:t xml:space="preserve"> </w:t>
      </w:r>
      <w:r>
        <w:t>discretion</w:t>
      </w:r>
      <w:r w:rsidR="006C6F09">
        <w:t xml:space="preserve"> </w:t>
      </w:r>
      <w:r>
        <w:t>of</w:t>
      </w:r>
      <w:r w:rsidR="006C6F09">
        <w:t xml:space="preserve"> </w:t>
      </w:r>
      <w:r>
        <w:t>the</w:t>
      </w:r>
      <w:r w:rsidR="006C6F09">
        <w:t xml:space="preserve"> </w:t>
      </w:r>
      <w:r>
        <w:t>project</w:t>
      </w:r>
      <w:r w:rsidR="006C6F09">
        <w:t xml:space="preserve"> </w:t>
      </w:r>
      <w:r>
        <w:t>sponsor.</w:t>
      </w:r>
      <w:r w:rsidR="006C6F09">
        <w:t xml:space="preserve"> </w:t>
      </w:r>
    </w:p>
    <w:p w14:paraId="49B30BC4" w14:textId="256C131B" w:rsidR="00457754" w:rsidRPr="00B23AD6" w:rsidRDefault="00457754" w:rsidP="00457754">
      <w:pPr>
        <w:pStyle w:val="Heading3"/>
      </w:pPr>
      <w:bookmarkStart w:id="40" w:name="_Ref219790128"/>
      <w:bookmarkStart w:id="41" w:name="_Toc224026207"/>
      <w:r w:rsidRPr="00B23AD6">
        <w:lastRenderedPageBreak/>
        <w:t>4.1</w:t>
      </w:r>
      <w:r w:rsidR="006C6F09" w:rsidRPr="00B23AD6">
        <w:t xml:space="preserve"> </w:t>
      </w:r>
      <w:r w:rsidRPr="00B23AD6">
        <w:t>Purpose</w:t>
      </w:r>
      <w:r w:rsidR="006C6F09" w:rsidRPr="00B23AD6">
        <w:t xml:space="preserve"> </w:t>
      </w:r>
      <w:r w:rsidRPr="00B23AD6">
        <w:t>of</w:t>
      </w:r>
      <w:r w:rsidR="006C6F09" w:rsidRPr="00B23AD6">
        <w:t xml:space="preserve"> </w:t>
      </w:r>
      <w:r w:rsidRPr="00B23AD6">
        <w:t>a</w:t>
      </w:r>
      <w:r w:rsidR="006C6F09" w:rsidRPr="00B23AD6">
        <w:t xml:space="preserve"> </w:t>
      </w:r>
      <w:r w:rsidRPr="00B23AD6">
        <w:t>Public</w:t>
      </w:r>
      <w:r w:rsidR="006C6F09" w:rsidRPr="00B23AD6">
        <w:t xml:space="preserve"> </w:t>
      </w:r>
      <w:r w:rsidRPr="00B23AD6">
        <w:t>Meeting</w:t>
      </w:r>
      <w:bookmarkEnd w:id="40"/>
      <w:bookmarkEnd w:id="41"/>
      <w:r w:rsidR="006C6F09" w:rsidRPr="00B23AD6">
        <w:t xml:space="preserve"> </w:t>
      </w:r>
    </w:p>
    <w:p w14:paraId="74D73471" w14:textId="219C088D" w:rsidR="00457754" w:rsidRDefault="00457754" w:rsidP="00457754">
      <w:r w:rsidRPr="00E71F17">
        <w:t>A</w:t>
      </w:r>
      <w:r w:rsidR="006C6F09">
        <w:t xml:space="preserve"> </w:t>
      </w:r>
      <w:r w:rsidRPr="00E71F17">
        <w:t>public</w:t>
      </w:r>
      <w:r w:rsidR="006C6F09">
        <w:t xml:space="preserve"> </w:t>
      </w:r>
      <w:r w:rsidRPr="00E71F17">
        <w:t>meeting</w:t>
      </w:r>
      <w:r w:rsidR="006C6F09">
        <w:t xml:space="preserve"> </w:t>
      </w:r>
      <w:r w:rsidRPr="00E71F17">
        <w:t>is</w:t>
      </w:r>
      <w:r w:rsidR="006C6F09">
        <w:t xml:space="preserve"> </w:t>
      </w:r>
      <w:r w:rsidRPr="00E71F17">
        <w:t>held</w:t>
      </w:r>
      <w:r w:rsidR="006C6F09">
        <w:t xml:space="preserve"> </w:t>
      </w:r>
      <w:r w:rsidRPr="00E71F17">
        <w:t>to</w:t>
      </w:r>
      <w:r w:rsidR="006C6F09">
        <w:t xml:space="preserve"> </w:t>
      </w:r>
      <w:r w:rsidRPr="00E71F17">
        <w:t>exchange</w:t>
      </w:r>
      <w:r w:rsidR="006C6F09">
        <w:t xml:space="preserve"> </w:t>
      </w:r>
      <w:r w:rsidRPr="00E71F17">
        <w:t>ideas</w:t>
      </w:r>
      <w:r w:rsidR="006C6F09">
        <w:t xml:space="preserve"> </w:t>
      </w:r>
      <w:r w:rsidRPr="00E71F17">
        <w:t>and</w:t>
      </w:r>
      <w:r w:rsidR="006C6F09">
        <w:t xml:space="preserve"> </w:t>
      </w:r>
      <w:r w:rsidRPr="00E71F17">
        <w:t>collect</w:t>
      </w:r>
      <w:r w:rsidR="006C6F09">
        <w:t xml:space="preserve"> </w:t>
      </w:r>
      <w:r w:rsidRPr="00E71F17">
        <w:t>input</w:t>
      </w:r>
      <w:r w:rsidR="006C6F09">
        <w:t xml:space="preserve"> </w:t>
      </w:r>
      <w:r w:rsidRPr="00E71F17">
        <w:t>on</w:t>
      </w:r>
      <w:r w:rsidR="006C6F09">
        <w:t xml:space="preserve"> </w:t>
      </w:r>
      <w:r w:rsidRPr="00E71F17">
        <w:t>the</w:t>
      </w:r>
      <w:r w:rsidR="006C6F09">
        <w:t xml:space="preserve"> </w:t>
      </w:r>
      <w:r w:rsidRPr="00E71F17">
        <w:t>need</w:t>
      </w:r>
      <w:r w:rsidR="006C6F09">
        <w:t xml:space="preserve"> </w:t>
      </w:r>
      <w:r w:rsidRPr="00E71F17">
        <w:t>for</w:t>
      </w:r>
      <w:r w:rsidR="006C6F09">
        <w:t xml:space="preserve"> </w:t>
      </w:r>
      <w:r w:rsidRPr="00E71F17">
        <w:t>possible</w:t>
      </w:r>
      <w:r w:rsidR="006C6F09">
        <w:t xml:space="preserve"> </w:t>
      </w:r>
      <w:r w:rsidRPr="00E71F17">
        <w:t>changes</w:t>
      </w:r>
      <w:r w:rsidR="006C6F09">
        <w:t xml:space="preserve"> </w:t>
      </w:r>
      <w:r w:rsidRPr="00E71F17">
        <w:t>to</w:t>
      </w:r>
      <w:r w:rsidR="006C6F09">
        <w:t xml:space="preserve"> </w:t>
      </w:r>
      <w:r w:rsidRPr="00E71F17">
        <w:t>design</w:t>
      </w:r>
      <w:r w:rsidR="006C6F09">
        <w:t xml:space="preserve"> </w:t>
      </w:r>
      <w:r w:rsidRPr="00E71F17">
        <w:t>features,</w:t>
      </w:r>
      <w:r w:rsidR="006C6F09">
        <w:t xml:space="preserve"> </w:t>
      </w:r>
      <w:r w:rsidRPr="00E71F17">
        <w:t>alternatives</w:t>
      </w:r>
      <w:r w:rsidR="006C6F09">
        <w:t xml:space="preserve"> </w:t>
      </w:r>
      <w:r w:rsidRPr="00E71F17">
        <w:t>to,</w:t>
      </w:r>
      <w:r w:rsidR="006C6F09">
        <w:t xml:space="preserve"> </w:t>
      </w:r>
      <w:r w:rsidRPr="00E71F17">
        <w:t>and</w:t>
      </w:r>
      <w:r w:rsidR="006C6F09">
        <w:t xml:space="preserve"> </w:t>
      </w:r>
      <w:r w:rsidRPr="00E71F17">
        <w:t>potential</w:t>
      </w:r>
      <w:r w:rsidR="006C6F09">
        <w:t xml:space="preserve"> </w:t>
      </w:r>
      <w:r w:rsidRPr="00E71F17">
        <w:t>impacts</w:t>
      </w:r>
      <w:r w:rsidR="006C6F09">
        <w:t xml:space="preserve"> </w:t>
      </w:r>
      <w:r w:rsidRPr="00E71F17">
        <w:t>of,</w:t>
      </w:r>
      <w:r w:rsidR="006C6F09">
        <w:t xml:space="preserve"> </w:t>
      </w:r>
      <w:r w:rsidRPr="00E71F17">
        <w:t>in</w:t>
      </w:r>
      <w:r w:rsidR="006C6F09">
        <w:t xml:space="preserve"> </w:t>
      </w:r>
      <w:r w:rsidRPr="00E71F17">
        <w:t>addition</w:t>
      </w:r>
      <w:r w:rsidR="006C6F09">
        <w:t xml:space="preserve"> </w:t>
      </w:r>
      <w:r w:rsidRPr="00E71F17">
        <w:t>to</w:t>
      </w:r>
      <w:r w:rsidR="006C6F09">
        <w:t xml:space="preserve"> </w:t>
      </w:r>
      <w:r w:rsidRPr="00E71F17">
        <w:t>mitigation</w:t>
      </w:r>
      <w:r w:rsidR="006C6F09">
        <w:t xml:space="preserve"> </w:t>
      </w:r>
      <w:r w:rsidRPr="00E71F17">
        <w:t>for,</w:t>
      </w:r>
      <w:r w:rsidR="006C6F09">
        <w:t xml:space="preserve"> </w:t>
      </w:r>
      <w:r w:rsidRPr="00E71F17">
        <w:t>a</w:t>
      </w:r>
      <w:r w:rsidR="006C6F09">
        <w:t xml:space="preserve"> </w:t>
      </w:r>
      <w:r w:rsidRPr="00E71F17">
        <w:t>proposed</w:t>
      </w:r>
      <w:r w:rsidR="006C6F09">
        <w:t xml:space="preserve"> </w:t>
      </w:r>
      <w:r w:rsidRPr="00E71F17">
        <w:t>project.</w:t>
      </w:r>
      <w:r w:rsidR="006C6F09">
        <w:t xml:space="preserve"> </w:t>
      </w:r>
      <w:r w:rsidRPr="00E71F17">
        <w:t>Public</w:t>
      </w:r>
      <w:r w:rsidR="006C6F09">
        <w:t xml:space="preserve"> </w:t>
      </w:r>
      <w:r w:rsidRPr="00E71F17">
        <w:t>meetings</w:t>
      </w:r>
      <w:r w:rsidR="006C6F09">
        <w:t xml:space="preserve"> </w:t>
      </w:r>
      <w:r w:rsidRPr="00E71F17">
        <w:t>are</w:t>
      </w:r>
      <w:r w:rsidR="006C6F09">
        <w:t xml:space="preserve"> </w:t>
      </w:r>
      <w:r w:rsidRPr="00E71F17">
        <w:t>intended</w:t>
      </w:r>
      <w:r w:rsidR="006C6F09">
        <w:t xml:space="preserve"> </w:t>
      </w:r>
      <w:r w:rsidRPr="00E71F17">
        <w:t>to</w:t>
      </w:r>
      <w:r w:rsidR="006C6F09">
        <w:t xml:space="preserve"> </w:t>
      </w:r>
      <w:r w:rsidRPr="00E71F17">
        <w:t>gather</w:t>
      </w:r>
      <w:r w:rsidR="006C6F09">
        <w:t xml:space="preserve"> </w:t>
      </w:r>
      <w:r w:rsidRPr="00E71F17">
        <w:t>input</w:t>
      </w:r>
      <w:r w:rsidR="006C6F09">
        <w:t xml:space="preserve"> </w:t>
      </w:r>
      <w:r w:rsidRPr="00E71F17">
        <w:t>from</w:t>
      </w:r>
      <w:r w:rsidR="006C6F09">
        <w:t xml:space="preserve"> </w:t>
      </w:r>
      <w:r w:rsidRPr="00E71F17">
        <w:t>the</w:t>
      </w:r>
      <w:r w:rsidR="006C6F09">
        <w:t xml:space="preserve"> </w:t>
      </w:r>
      <w:r w:rsidRPr="00E71F17">
        <w:t>public</w:t>
      </w:r>
      <w:r w:rsidR="006C6F09">
        <w:t xml:space="preserve"> </w:t>
      </w:r>
      <w:r w:rsidRPr="00E71F17">
        <w:t>and</w:t>
      </w:r>
      <w:r w:rsidR="006C6F09">
        <w:t xml:space="preserve"> </w:t>
      </w:r>
      <w:r w:rsidRPr="00E71F17">
        <w:t>to</w:t>
      </w:r>
      <w:r w:rsidR="006C6F09">
        <w:t xml:space="preserve"> </w:t>
      </w:r>
      <w:r w:rsidRPr="00E71F17">
        <w:t>keep</w:t>
      </w:r>
      <w:r w:rsidR="006C6F09">
        <w:t xml:space="preserve"> </w:t>
      </w:r>
      <w:r w:rsidRPr="00E71F17">
        <w:t>the</w:t>
      </w:r>
      <w:r w:rsidR="006C6F09">
        <w:t xml:space="preserve"> </w:t>
      </w:r>
      <w:r w:rsidRPr="00E71F17">
        <w:t>public</w:t>
      </w:r>
      <w:r w:rsidR="006C6F09">
        <w:t xml:space="preserve"> </w:t>
      </w:r>
      <w:r w:rsidRPr="00E71F17">
        <w:t>informed</w:t>
      </w:r>
      <w:r w:rsidR="006C6F09">
        <w:t xml:space="preserve"> </w:t>
      </w:r>
      <w:r w:rsidRPr="00E71F17">
        <w:t>during</w:t>
      </w:r>
      <w:r w:rsidR="006C6F09">
        <w:t xml:space="preserve"> </w:t>
      </w:r>
      <w:r w:rsidRPr="00E71F17">
        <w:t>any</w:t>
      </w:r>
      <w:r w:rsidR="006C6F09">
        <w:t xml:space="preserve"> </w:t>
      </w:r>
      <w:r w:rsidRPr="00E71F17">
        <w:t>phase</w:t>
      </w:r>
      <w:r w:rsidR="006C6F09">
        <w:t xml:space="preserve"> </w:t>
      </w:r>
      <w:r w:rsidRPr="00E71F17">
        <w:t>of</w:t>
      </w:r>
      <w:r w:rsidR="006C6F09">
        <w:t xml:space="preserve"> </w:t>
      </w:r>
      <w:r w:rsidRPr="00E71F17">
        <w:t>a</w:t>
      </w:r>
      <w:r w:rsidR="006C6F09">
        <w:t xml:space="preserve"> </w:t>
      </w:r>
      <w:r w:rsidRPr="00E71F17">
        <w:t>project.</w:t>
      </w:r>
      <w:r w:rsidR="006C6F09">
        <w:t xml:space="preserve"> </w:t>
      </w:r>
      <w:r w:rsidRPr="00E71F17">
        <w:t>Public</w:t>
      </w:r>
      <w:r w:rsidR="006C6F09">
        <w:t xml:space="preserve"> </w:t>
      </w:r>
      <w:r w:rsidRPr="00E71F17">
        <w:t>meetings</w:t>
      </w:r>
      <w:r w:rsidR="006C6F09">
        <w:t xml:space="preserve"> </w:t>
      </w:r>
      <w:r w:rsidRPr="00E71F17">
        <w:t>provide</w:t>
      </w:r>
      <w:r w:rsidR="006C6F09">
        <w:t xml:space="preserve"> </w:t>
      </w:r>
      <w:r w:rsidRPr="00E71F17">
        <w:t>early</w:t>
      </w:r>
      <w:r w:rsidR="006C6F09">
        <w:t xml:space="preserve"> </w:t>
      </w:r>
      <w:r w:rsidRPr="00E71F17">
        <w:t>and</w:t>
      </w:r>
      <w:r w:rsidR="006C6F09">
        <w:t xml:space="preserve"> </w:t>
      </w:r>
      <w:r w:rsidRPr="00E71F17">
        <w:t>continuing</w:t>
      </w:r>
      <w:r w:rsidR="006C6F09">
        <w:t xml:space="preserve"> </w:t>
      </w:r>
      <w:r w:rsidRPr="00E71F17">
        <w:t>opportunities</w:t>
      </w:r>
      <w:r w:rsidR="006C6F09">
        <w:t xml:space="preserve"> </w:t>
      </w:r>
      <w:r w:rsidRPr="00E71F17">
        <w:t>during</w:t>
      </w:r>
      <w:r w:rsidR="006C6F09">
        <w:t xml:space="preserve"> </w:t>
      </w:r>
      <w:r w:rsidRPr="00E71F17">
        <w:t>project</w:t>
      </w:r>
      <w:r w:rsidR="006C6F09">
        <w:t xml:space="preserve"> </w:t>
      </w:r>
      <w:r w:rsidRPr="00E71F17">
        <w:t>development</w:t>
      </w:r>
      <w:r w:rsidR="006C6F09">
        <w:t xml:space="preserve"> </w:t>
      </w:r>
      <w:r w:rsidRPr="00E71F17">
        <w:t>for</w:t>
      </w:r>
      <w:r w:rsidR="006C6F09">
        <w:t xml:space="preserve"> </w:t>
      </w:r>
      <w:r w:rsidRPr="00E71F17">
        <w:t>the</w:t>
      </w:r>
      <w:r w:rsidR="006C6F09">
        <w:t xml:space="preserve"> </w:t>
      </w:r>
      <w:r w:rsidRPr="00E71F17">
        <w:t>public</w:t>
      </w:r>
      <w:r w:rsidR="006C6F09">
        <w:t xml:space="preserve"> </w:t>
      </w:r>
      <w:r w:rsidRPr="00E71F17">
        <w:t>to</w:t>
      </w:r>
      <w:r w:rsidR="006C6F09">
        <w:t xml:space="preserve"> </w:t>
      </w:r>
      <w:r w:rsidRPr="00E71F17">
        <w:t>be</w:t>
      </w:r>
      <w:r w:rsidR="006C6F09">
        <w:t xml:space="preserve"> </w:t>
      </w:r>
      <w:r w:rsidRPr="00E71F17">
        <w:t>involved</w:t>
      </w:r>
      <w:r w:rsidR="006C6F09">
        <w:t xml:space="preserve"> </w:t>
      </w:r>
      <w:r w:rsidRPr="00E71F17">
        <w:t>in</w:t>
      </w:r>
      <w:r w:rsidR="006C6F09">
        <w:t xml:space="preserve"> </w:t>
      </w:r>
      <w:r w:rsidRPr="00E71F17">
        <w:t>the</w:t>
      </w:r>
      <w:r w:rsidR="006C6F09">
        <w:t xml:space="preserve"> </w:t>
      </w:r>
      <w:r w:rsidRPr="00E71F17">
        <w:t>identification</w:t>
      </w:r>
      <w:r w:rsidR="006C6F09">
        <w:t xml:space="preserve"> </w:t>
      </w:r>
      <w:r w:rsidRPr="00E71F17">
        <w:t>of</w:t>
      </w:r>
      <w:r w:rsidR="006C6F09">
        <w:t xml:space="preserve"> </w:t>
      </w:r>
      <w:r w:rsidRPr="00E71F17">
        <w:t>social,</w:t>
      </w:r>
      <w:r w:rsidR="006C6F09">
        <w:t xml:space="preserve"> </w:t>
      </w:r>
      <w:r w:rsidRPr="00E71F17">
        <w:t>economic,</w:t>
      </w:r>
      <w:r w:rsidR="006C6F09">
        <w:t xml:space="preserve"> </w:t>
      </w:r>
      <w:r w:rsidRPr="00E71F17">
        <w:t>and</w:t>
      </w:r>
      <w:r w:rsidR="006C6F09">
        <w:t xml:space="preserve"> </w:t>
      </w:r>
      <w:r w:rsidRPr="00E71F17">
        <w:t>environmental</w:t>
      </w:r>
      <w:r w:rsidR="006C6F09">
        <w:t xml:space="preserve"> </w:t>
      </w:r>
      <w:r w:rsidRPr="00E71F17">
        <w:t>impacts</w:t>
      </w:r>
      <w:r w:rsidR="006C6F09">
        <w:t xml:space="preserve"> </w:t>
      </w:r>
      <w:r w:rsidRPr="00E71F17">
        <w:t>and</w:t>
      </w:r>
      <w:r w:rsidR="006C6F09">
        <w:t xml:space="preserve"> </w:t>
      </w:r>
      <w:r w:rsidRPr="00E71F17">
        <w:t>impacts</w:t>
      </w:r>
      <w:r w:rsidR="006C6F09">
        <w:t xml:space="preserve"> </w:t>
      </w:r>
      <w:r w:rsidRPr="00E71F17">
        <w:t>associated</w:t>
      </w:r>
      <w:r w:rsidR="006C6F09">
        <w:t xml:space="preserve"> </w:t>
      </w:r>
      <w:r w:rsidRPr="00E71F17">
        <w:t>with</w:t>
      </w:r>
      <w:r w:rsidR="006C6F09">
        <w:t xml:space="preserve"> </w:t>
      </w:r>
      <w:r w:rsidRPr="00E71F17">
        <w:t>the</w:t>
      </w:r>
      <w:r w:rsidR="006C6F09">
        <w:t xml:space="preserve"> </w:t>
      </w:r>
      <w:r w:rsidRPr="00E71F17">
        <w:t>relocation</w:t>
      </w:r>
      <w:r w:rsidR="006C6F09">
        <w:t xml:space="preserve"> </w:t>
      </w:r>
      <w:r w:rsidRPr="00E71F17">
        <w:t>of</w:t>
      </w:r>
      <w:r w:rsidR="006C6F09">
        <w:t xml:space="preserve"> </w:t>
      </w:r>
      <w:r w:rsidRPr="00E71F17">
        <w:t>individuals,</w:t>
      </w:r>
      <w:r w:rsidR="006C6F09">
        <w:t xml:space="preserve"> </w:t>
      </w:r>
      <w:r w:rsidRPr="00E71F17">
        <w:t>groups,</w:t>
      </w:r>
      <w:r w:rsidR="006C6F09">
        <w:t xml:space="preserve"> </w:t>
      </w:r>
      <w:r w:rsidRPr="00E71F17">
        <w:t>or</w:t>
      </w:r>
      <w:r w:rsidR="006C6F09">
        <w:t xml:space="preserve"> </w:t>
      </w:r>
      <w:r w:rsidRPr="00E71F17">
        <w:t>institutions.</w:t>
      </w:r>
      <w:r w:rsidR="006C6F09">
        <w:t xml:space="preserve"> </w:t>
      </w:r>
      <w:r w:rsidRPr="00E71F17">
        <w:t>There</w:t>
      </w:r>
      <w:r w:rsidR="006C6F09">
        <w:t xml:space="preserve"> </w:t>
      </w:r>
      <w:r w:rsidRPr="00E71F17">
        <w:t>is</w:t>
      </w:r>
      <w:r w:rsidR="006C6F09">
        <w:t xml:space="preserve"> </w:t>
      </w:r>
      <w:r w:rsidRPr="00E71F17">
        <w:t>no</w:t>
      </w:r>
      <w:r w:rsidR="006C6F09">
        <w:t xml:space="preserve"> </w:t>
      </w:r>
      <w:r w:rsidRPr="00E71F17">
        <w:t>limit</w:t>
      </w:r>
      <w:r w:rsidR="006C6F09">
        <w:t xml:space="preserve"> </w:t>
      </w:r>
      <w:r w:rsidRPr="00E71F17">
        <w:t>to</w:t>
      </w:r>
      <w:r w:rsidR="006C6F09">
        <w:t xml:space="preserve"> </w:t>
      </w:r>
      <w:r w:rsidRPr="00E71F17">
        <w:t>the</w:t>
      </w:r>
      <w:r w:rsidR="006C6F09">
        <w:t xml:space="preserve"> </w:t>
      </w:r>
      <w:r w:rsidRPr="00E71F17">
        <w:t>number</w:t>
      </w:r>
      <w:r w:rsidR="006C6F09">
        <w:t xml:space="preserve"> </w:t>
      </w:r>
      <w:r w:rsidRPr="00E71F17">
        <w:t>of</w:t>
      </w:r>
      <w:r w:rsidR="006C6F09">
        <w:t xml:space="preserve"> </w:t>
      </w:r>
      <w:r w:rsidRPr="00E71F17">
        <w:t>public</w:t>
      </w:r>
      <w:r w:rsidR="006C6F09">
        <w:t xml:space="preserve"> </w:t>
      </w:r>
      <w:r w:rsidRPr="00E71F17">
        <w:t>meetings</w:t>
      </w:r>
      <w:r w:rsidR="006C6F09">
        <w:t xml:space="preserve"> </w:t>
      </w:r>
      <w:r w:rsidRPr="00E71F17">
        <w:t>that</w:t>
      </w:r>
      <w:r w:rsidR="006C6F09">
        <w:t xml:space="preserve"> </w:t>
      </w:r>
      <w:r w:rsidRPr="00E71F17">
        <w:t>may</w:t>
      </w:r>
      <w:r w:rsidR="006C6F09">
        <w:t xml:space="preserve"> </w:t>
      </w:r>
      <w:r w:rsidRPr="00E71F17">
        <w:t>be</w:t>
      </w:r>
      <w:r w:rsidR="006C6F09">
        <w:t xml:space="preserve"> </w:t>
      </w:r>
      <w:r w:rsidRPr="00E71F17">
        <w:t>held</w:t>
      </w:r>
      <w:r w:rsidR="006C6F09">
        <w:t xml:space="preserve"> </w:t>
      </w:r>
      <w:r w:rsidRPr="00E71F17">
        <w:t>for</w:t>
      </w:r>
      <w:r w:rsidR="006C6F09">
        <w:t xml:space="preserve"> </w:t>
      </w:r>
      <w:r w:rsidRPr="00E71F17">
        <w:t>a</w:t>
      </w:r>
      <w:r w:rsidR="006C6F09">
        <w:t xml:space="preserve"> </w:t>
      </w:r>
      <w:r w:rsidRPr="00E71F17">
        <w:t>project.</w:t>
      </w:r>
    </w:p>
    <w:p w14:paraId="7F03D5DF" w14:textId="485DA6F7" w:rsidR="00457754" w:rsidRPr="00B23AD6" w:rsidRDefault="00457754" w:rsidP="00457754">
      <w:pPr>
        <w:pStyle w:val="Heading3"/>
      </w:pPr>
      <w:bookmarkStart w:id="42" w:name="_Toc224026208"/>
      <w:r w:rsidRPr="00B23AD6">
        <w:t>4.2</w:t>
      </w:r>
      <w:r w:rsidR="006C6F09" w:rsidRPr="00B23AD6">
        <w:t xml:space="preserve"> </w:t>
      </w:r>
      <w:r w:rsidRPr="00B23AD6">
        <w:t>Situations</w:t>
      </w:r>
      <w:r w:rsidR="006C6F09" w:rsidRPr="00B23AD6">
        <w:t xml:space="preserve"> </w:t>
      </w:r>
      <w:r w:rsidRPr="00B23AD6">
        <w:t>Requiring</w:t>
      </w:r>
      <w:r w:rsidR="006C6F09" w:rsidRPr="00B23AD6">
        <w:t xml:space="preserve"> </w:t>
      </w:r>
      <w:r w:rsidRPr="00B23AD6">
        <w:t>a</w:t>
      </w:r>
      <w:r w:rsidR="006C6F09" w:rsidRPr="00B23AD6">
        <w:t xml:space="preserve"> </w:t>
      </w:r>
      <w:r w:rsidRPr="00B23AD6">
        <w:t>Public</w:t>
      </w:r>
      <w:r w:rsidR="006C6F09" w:rsidRPr="00B23AD6">
        <w:t xml:space="preserve"> </w:t>
      </w:r>
      <w:r w:rsidRPr="00B23AD6">
        <w:t>Meeting</w:t>
      </w:r>
      <w:bookmarkEnd w:id="42"/>
      <w:r w:rsidR="006C6F09" w:rsidRPr="00B23AD6">
        <w:t xml:space="preserve"> </w:t>
      </w:r>
    </w:p>
    <w:p w14:paraId="5130D1E8" w14:textId="56685923" w:rsidR="00457754" w:rsidRDefault="00457754" w:rsidP="00457754">
      <w:r>
        <w:t>A</w:t>
      </w:r>
      <w:r w:rsidR="006C6F09">
        <w:t xml:space="preserve"> </w:t>
      </w:r>
      <w:r>
        <w:t>public</w:t>
      </w:r>
      <w:r w:rsidR="006C6F09">
        <w:t xml:space="preserve"> </w:t>
      </w:r>
      <w:r>
        <w:t>meeting</w:t>
      </w:r>
      <w:r w:rsidR="006C6F09">
        <w:t xml:space="preserve"> </w:t>
      </w:r>
      <w:r>
        <w:t>can</w:t>
      </w:r>
      <w:r w:rsidR="006C6F09">
        <w:t xml:space="preserve"> </w:t>
      </w:r>
      <w:r>
        <w:t>be</w:t>
      </w:r>
      <w:r w:rsidR="006C6F09">
        <w:t xml:space="preserve"> </w:t>
      </w:r>
      <w:r>
        <w:t>held</w:t>
      </w:r>
      <w:r w:rsidR="006C6F09">
        <w:t xml:space="preserve"> </w:t>
      </w:r>
      <w:r>
        <w:t>at</w:t>
      </w:r>
      <w:r w:rsidR="006C6F09">
        <w:t xml:space="preserve"> </w:t>
      </w:r>
      <w:r>
        <w:t>any</w:t>
      </w:r>
      <w:r w:rsidR="006C6F09">
        <w:t xml:space="preserve"> </w:t>
      </w:r>
      <w:r>
        <w:t>stage</w:t>
      </w:r>
      <w:r w:rsidR="006C6F09">
        <w:t xml:space="preserve"> </w:t>
      </w:r>
      <w:r>
        <w:t>of</w:t>
      </w:r>
      <w:r w:rsidR="006C6F09">
        <w:t xml:space="preserve"> </w:t>
      </w:r>
      <w:r>
        <w:t>project</w:t>
      </w:r>
      <w:r w:rsidR="006C6F09">
        <w:t xml:space="preserve"> </w:t>
      </w:r>
      <w:r>
        <w:t>planning</w:t>
      </w:r>
      <w:r w:rsidR="006C6F09">
        <w:t xml:space="preserve"> </w:t>
      </w:r>
      <w:r>
        <w:t>and</w:t>
      </w:r>
      <w:r w:rsidR="006C6F09">
        <w:t xml:space="preserve"> </w:t>
      </w:r>
      <w:r>
        <w:t>development.</w:t>
      </w:r>
      <w:r w:rsidR="006C6F09">
        <w:t xml:space="preserve"> </w:t>
      </w:r>
      <w:r>
        <w:t>Public</w:t>
      </w:r>
      <w:r w:rsidR="006C6F09">
        <w:t xml:space="preserve"> </w:t>
      </w:r>
      <w:r>
        <w:t>meetings</w:t>
      </w:r>
      <w:r w:rsidR="006C6F09">
        <w:t xml:space="preserve"> </w:t>
      </w:r>
      <w:r>
        <w:t>occur</w:t>
      </w:r>
      <w:r w:rsidR="006C6F09">
        <w:t xml:space="preserve"> </w:t>
      </w:r>
      <w:r>
        <w:t>as</w:t>
      </w:r>
      <w:r w:rsidR="006C6F09">
        <w:t xml:space="preserve"> </w:t>
      </w:r>
      <w:r>
        <w:t>early</w:t>
      </w:r>
      <w:r w:rsidR="006C6F09">
        <w:t xml:space="preserve"> </w:t>
      </w:r>
      <w:r>
        <w:t>as</w:t>
      </w:r>
      <w:r w:rsidR="006C6F09">
        <w:t xml:space="preserve"> </w:t>
      </w:r>
      <w:r>
        <w:t>TxDOT</w:t>
      </w:r>
      <w:r w:rsidR="006C6F09">
        <w:t xml:space="preserve"> </w:t>
      </w:r>
      <w:r>
        <w:t>determines</w:t>
      </w:r>
      <w:r w:rsidR="006C6F09">
        <w:t xml:space="preserve"> </w:t>
      </w:r>
      <w:r>
        <w:t>it</w:t>
      </w:r>
      <w:r w:rsidR="006C6F09">
        <w:t xml:space="preserve"> </w:t>
      </w:r>
      <w:r>
        <w:t>is</w:t>
      </w:r>
      <w:r w:rsidR="006C6F09">
        <w:t xml:space="preserve"> </w:t>
      </w:r>
      <w:r>
        <w:t>feasible</w:t>
      </w:r>
      <w:r w:rsidR="006C6F09">
        <w:t xml:space="preserve"> </w:t>
      </w:r>
      <w:r>
        <w:t>to</w:t>
      </w:r>
      <w:r w:rsidR="006C6F09">
        <w:t xml:space="preserve"> </w:t>
      </w:r>
      <w:r>
        <w:t>provide</w:t>
      </w:r>
      <w:r w:rsidR="006C6F09">
        <w:t xml:space="preserve"> </w:t>
      </w:r>
      <w:r>
        <w:t>an</w:t>
      </w:r>
      <w:r w:rsidR="006C6F09">
        <w:t xml:space="preserve"> </w:t>
      </w:r>
      <w:r>
        <w:t>opportunity</w:t>
      </w:r>
      <w:r w:rsidR="006C6F09">
        <w:t xml:space="preserve"> </w:t>
      </w:r>
      <w:r>
        <w:t>for</w:t>
      </w:r>
      <w:r w:rsidR="006C6F09">
        <w:t xml:space="preserve"> </w:t>
      </w:r>
      <w:r>
        <w:t>public</w:t>
      </w:r>
      <w:r w:rsidR="006C6F09">
        <w:t xml:space="preserve"> </w:t>
      </w:r>
      <w:r>
        <w:t>input</w:t>
      </w:r>
      <w:r w:rsidR="006C6F09">
        <w:t xml:space="preserve"> </w:t>
      </w:r>
      <w:r>
        <w:t>in</w:t>
      </w:r>
      <w:r w:rsidR="006C6F09">
        <w:t xml:space="preserve"> </w:t>
      </w:r>
      <w:r>
        <w:t>project</w:t>
      </w:r>
      <w:r w:rsidR="006C6F09">
        <w:t xml:space="preserve"> </w:t>
      </w:r>
      <w:r>
        <w:t>planning,</w:t>
      </w:r>
      <w:r w:rsidR="006C6F09">
        <w:t xml:space="preserve"> </w:t>
      </w:r>
      <w:r>
        <w:t>location,</w:t>
      </w:r>
      <w:r w:rsidR="006C6F09">
        <w:t xml:space="preserve"> </w:t>
      </w:r>
      <w:r>
        <w:t>design</w:t>
      </w:r>
      <w:r w:rsidR="006C6F09">
        <w:t xml:space="preserve"> </w:t>
      </w:r>
      <w:r>
        <w:t>alternatives,</w:t>
      </w:r>
      <w:r w:rsidR="006C6F09">
        <w:t xml:space="preserve"> </w:t>
      </w:r>
      <w:r>
        <w:t>and</w:t>
      </w:r>
      <w:r w:rsidR="006C6F09">
        <w:t xml:space="preserve"> </w:t>
      </w:r>
      <w:r>
        <w:t>potential</w:t>
      </w:r>
      <w:r w:rsidR="006C6F09">
        <w:t xml:space="preserve"> </w:t>
      </w:r>
      <w:r>
        <w:t>mitigation.</w:t>
      </w:r>
      <w:r w:rsidR="006C6F09">
        <w:t xml:space="preserve"> </w:t>
      </w:r>
      <w:r>
        <w:t>Holding</w:t>
      </w:r>
      <w:r w:rsidR="006C6F09">
        <w:t xml:space="preserve"> </w:t>
      </w:r>
      <w:r>
        <w:t>public</w:t>
      </w:r>
      <w:r w:rsidR="006C6F09">
        <w:t xml:space="preserve"> </w:t>
      </w:r>
      <w:r>
        <w:t>meetings</w:t>
      </w:r>
      <w:r w:rsidR="006C6F09">
        <w:t xml:space="preserve"> </w:t>
      </w:r>
      <w:r>
        <w:t>is</w:t>
      </w:r>
      <w:r w:rsidR="006C6F09">
        <w:t xml:space="preserve"> </w:t>
      </w:r>
      <w:r>
        <w:t>recommended</w:t>
      </w:r>
      <w:r w:rsidR="006C6F09">
        <w:t xml:space="preserve"> </w:t>
      </w:r>
      <w:r>
        <w:t>for</w:t>
      </w:r>
      <w:r w:rsidR="006C6F09">
        <w:t xml:space="preserve"> </w:t>
      </w:r>
      <w:r>
        <w:t>projects</w:t>
      </w:r>
      <w:r w:rsidR="006C6F09">
        <w:t xml:space="preserve"> </w:t>
      </w:r>
      <w:r>
        <w:t>that</w:t>
      </w:r>
      <w:r w:rsidR="006C6F09">
        <w:t xml:space="preserve"> </w:t>
      </w:r>
      <w:r>
        <w:t>require</w:t>
      </w:r>
      <w:r w:rsidR="006C6F09">
        <w:t xml:space="preserve"> </w:t>
      </w:r>
      <w:r>
        <w:t>large</w:t>
      </w:r>
      <w:r w:rsidR="006C6F09">
        <w:t xml:space="preserve"> </w:t>
      </w:r>
      <w:r>
        <w:t>amounts</w:t>
      </w:r>
      <w:r w:rsidR="006C6F09">
        <w:t xml:space="preserve"> </w:t>
      </w:r>
      <w:r>
        <w:t>of</w:t>
      </w:r>
      <w:r w:rsidR="006C6F09">
        <w:t xml:space="preserve"> </w:t>
      </w:r>
      <w:r>
        <w:t>ROW,</w:t>
      </w:r>
      <w:r w:rsidR="006C6F09">
        <w:t xml:space="preserve"> </w:t>
      </w:r>
      <w:r>
        <w:t>projects</w:t>
      </w:r>
      <w:r w:rsidR="006C6F09">
        <w:t xml:space="preserve"> </w:t>
      </w:r>
      <w:r>
        <w:t>that</w:t>
      </w:r>
      <w:r w:rsidR="006C6F09">
        <w:t xml:space="preserve"> </w:t>
      </w:r>
      <w:r>
        <w:t>propose</w:t>
      </w:r>
      <w:r w:rsidR="006C6F09">
        <w:t xml:space="preserve"> </w:t>
      </w:r>
      <w:r>
        <w:t>access</w:t>
      </w:r>
      <w:r w:rsidR="006C6F09">
        <w:t xml:space="preserve"> </w:t>
      </w:r>
      <w:r>
        <w:t>changes,</w:t>
      </w:r>
      <w:r w:rsidR="006C6F09">
        <w:t xml:space="preserve"> </w:t>
      </w:r>
      <w:r>
        <w:t>or</w:t>
      </w:r>
      <w:r w:rsidR="006C6F09">
        <w:t xml:space="preserve"> </w:t>
      </w:r>
      <w:r>
        <w:t>projects</w:t>
      </w:r>
      <w:r w:rsidR="006C6F09">
        <w:t xml:space="preserve"> </w:t>
      </w:r>
      <w:r>
        <w:t>where</w:t>
      </w:r>
      <w:r w:rsidR="006C6F09">
        <w:t xml:space="preserve"> </w:t>
      </w:r>
      <w:r>
        <w:t>displacements,</w:t>
      </w:r>
      <w:r w:rsidR="006C6F09">
        <w:t xml:space="preserve"> </w:t>
      </w:r>
      <w:r>
        <w:t>impacts</w:t>
      </w:r>
      <w:r w:rsidR="006C6F09">
        <w:t xml:space="preserve"> </w:t>
      </w:r>
      <w:r>
        <w:t>to</w:t>
      </w:r>
      <w:r w:rsidR="006C6F09">
        <w:t xml:space="preserve"> </w:t>
      </w:r>
      <w:r>
        <w:t>historic</w:t>
      </w:r>
      <w:r w:rsidR="006C6F09">
        <w:t xml:space="preserve"> </w:t>
      </w:r>
      <w:r>
        <w:t>properties,</w:t>
      </w:r>
      <w:r w:rsidR="006C6F09">
        <w:t xml:space="preserve"> </w:t>
      </w:r>
      <w:r>
        <w:t>substantial</w:t>
      </w:r>
      <w:r w:rsidR="006C6F09">
        <w:t xml:space="preserve"> </w:t>
      </w:r>
      <w:r>
        <w:t>public</w:t>
      </w:r>
      <w:r w:rsidR="006C6F09">
        <w:t xml:space="preserve"> </w:t>
      </w:r>
      <w:r>
        <w:t>interest,</w:t>
      </w:r>
      <w:r w:rsidR="006C6F09">
        <w:t xml:space="preserve"> </w:t>
      </w:r>
      <w:r>
        <w:t>or</w:t>
      </w:r>
      <w:r w:rsidR="006C6F09">
        <w:t xml:space="preserve"> </w:t>
      </w:r>
      <w:r>
        <w:t>substantial</w:t>
      </w:r>
      <w:r w:rsidR="006C6F09">
        <w:t xml:space="preserve"> </w:t>
      </w:r>
      <w:r>
        <w:t>public</w:t>
      </w:r>
      <w:r w:rsidR="006C6F09">
        <w:t xml:space="preserve"> </w:t>
      </w:r>
      <w:r>
        <w:t>controversy</w:t>
      </w:r>
      <w:r w:rsidR="006C6F09">
        <w:t xml:space="preserve"> </w:t>
      </w:r>
      <w:r>
        <w:t>are</w:t>
      </w:r>
      <w:r w:rsidR="006C6F09">
        <w:t xml:space="preserve"> </w:t>
      </w:r>
      <w:r>
        <w:t>anticipated.</w:t>
      </w:r>
    </w:p>
    <w:p w14:paraId="58F1A1E6" w14:textId="73250FCB" w:rsidR="00457754" w:rsidRDefault="00457754" w:rsidP="00457754">
      <w:r>
        <w:t>To</w:t>
      </w:r>
      <w:r w:rsidR="006C6F09">
        <w:t xml:space="preserve"> </w:t>
      </w:r>
      <w:r>
        <w:t>comply</w:t>
      </w:r>
      <w:r w:rsidR="006C6F09">
        <w:t xml:space="preserve"> </w:t>
      </w:r>
      <w:r>
        <w:t>with</w:t>
      </w:r>
      <w:r w:rsidR="006C6F09">
        <w:t xml:space="preserve"> </w:t>
      </w:r>
      <w:r>
        <w:t>the</w:t>
      </w:r>
      <w:r w:rsidR="006C6F09">
        <w:t xml:space="preserve"> </w:t>
      </w:r>
      <w:r>
        <w:t>ACHP’s</w:t>
      </w:r>
      <w:r w:rsidR="006C6F09">
        <w:t xml:space="preserve"> </w:t>
      </w:r>
      <w:r>
        <w:t>regulations</w:t>
      </w:r>
      <w:r w:rsidR="006C6F09">
        <w:t xml:space="preserve"> </w:t>
      </w:r>
      <w:r>
        <w:t>implementing</w:t>
      </w:r>
      <w:r w:rsidR="006C6F09">
        <w:t xml:space="preserve"> </w:t>
      </w:r>
      <w:r>
        <w:t>Section</w:t>
      </w:r>
      <w:r w:rsidR="006C6F09">
        <w:t xml:space="preserve"> </w:t>
      </w:r>
      <w:r>
        <w:t>106</w:t>
      </w:r>
      <w:r w:rsidR="006C6F09">
        <w:t xml:space="preserve"> </w:t>
      </w:r>
      <w:r>
        <w:t>of</w:t>
      </w:r>
      <w:r w:rsidR="006C6F09">
        <w:t xml:space="preserve"> </w:t>
      </w:r>
      <w:r>
        <w:t>the</w:t>
      </w:r>
      <w:r w:rsidR="006C6F09">
        <w:t xml:space="preserve"> </w:t>
      </w:r>
      <w:r w:rsidRPr="003949C3">
        <w:t>National</w:t>
      </w:r>
      <w:r w:rsidR="006C6F09">
        <w:t xml:space="preserve"> </w:t>
      </w:r>
      <w:r w:rsidRPr="003949C3">
        <w:t>Historic</w:t>
      </w:r>
      <w:r w:rsidR="006C6F09">
        <w:t xml:space="preserve"> </w:t>
      </w:r>
      <w:r w:rsidRPr="003949C3">
        <w:t>Preservation</w:t>
      </w:r>
      <w:r w:rsidR="006C6F09">
        <w:t xml:space="preserve"> </w:t>
      </w:r>
      <w:r w:rsidRPr="00BD7E67">
        <w:t>Act,</w:t>
      </w:r>
      <w:r w:rsidR="006C6F09">
        <w:t xml:space="preserve"> </w:t>
      </w:r>
      <w:r>
        <w:t>the</w:t>
      </w:r>
      <w:r w:rsidR="006C6F09">
        <w:t xml:space="preserve"> </w:t>
      </w:r>
      <w:r>
        <w:t>project</w:t>
      </w:r>
      <w:r w:rsidR="006C6F09">
        <w:t xml:space="preserve"> </w:t>
      </w:r>
      <w:r>
        <w:t>sponsor</w:t>
      </w:r>
      <w:r w:rsidR="006C6F09">
        <w:t xml:space="preserve"> </w:t>
      </w:r>
      <w:r>
        <w:t>must</w:t>
      </w:r>
      <w:r w:rsidR="006C6F09">
        <w:t xml:space="preserve"> </w:t>
      </w:r>
      <w:r>
        <w:t>consider</w:t>
      </w:r>
      <w:r w:rsidR="006C6F09">
        <w:t xml:space="preserve"> </w:t>
      </w:r>
      <w:r>
        <w:t>the</w:t>
      </w:r>
      <w:r w:rsidR="006C6F09">
        <w:t xml:space="preserve"> </w:t>
      </w:r>
      <w:r>
        <w:t>project’s</w:t>
      </w:r>
      <w:r w:rsidR="006C6F09">
        <w:t xml:space="preserve"> </w:t>
      </w:r>
      <w:r>
        <w:t>effects</w:t>
      </w:r>
      <w:r w:rsidR="006C6F09">
        <w:t xml:space="preserve"> </w:t>
      </w:r>
      <w:r>
        <w:t>on</w:t>
      </w:r>
      <w:r w:rsidR="006C6F09">
        <w:t xml:space="preserve"> </w:t>
      </w:r>
      <w:r>
        <w:t>historic</w:t>
      </w:r>
      <w:r w:rsidR="006C6F09">
        <w:t xml:space="preserve"> </w:t>
      </w:r>
      <w:r>
        <w:t>properties,</w:t>
      </w:r>
      <w:r w:rsidR="006C6F09">
        <w:t xml:space="preserve"> </w:t>
      </w:r>
      <w:r>
        <w:t>and</w:t>
      </w:r>
      <w:r w:rsidR="006C6F09">
        <w:t xml:space="preserve"> </w:t>
      </w:r>
      <w:r>
        <w:t>the</w:t>
      </w:r>
      <w:r w:rsidR="006C6F09">
        <w:t xml:space="preserve"> </w:t>
      </w:r>
      <w:r>
        <w:t>likely</w:t>
      </w:r>
      <w:r w:rsidR="006C6F09">
        <w:t xml:space="preserve"> </w:t>
      </w:r>
      <w:r>
        <w:t>interest</w:t>
      </w:r>
      <w:r w:rsidR="006C6F09">
        <w:t xml:space="preserve"> </w:t>
      </w:r>
      <w:r>
        <w:t>of</w:t>
      </w:r>
      <w:r w:rsidR="006C6F09">
        <w:t xml:space="preserve"> </w:t>
      </w:r>
      <w:r>
        <w:t>the</w:t>
      </w:r>
      <w:r w:rsidR="006C6F09">
        <w:t xml:space="preserve"> </w:t>
      </w:r>
      <w:r>
        <w:t>public</w:t>
      </w:r>
      <w:r w:rsidR="006C6F09">
        <w:t xml:space="preserve"> </w:t>
      </w:r>
      <w:r>
        <w:t>in</w:t>
      </w:r>
      <w:r w:rsidR="006C6F09">
        <w:t xml:space="preserve"> </w:t>
      </w:r>
      <w:r>
        <w:t>the</w:t>
      </w:r>
      <w:r w:rsidR="006C6F09">
        <w:t xml:space="preserve"> </w:t>
      </w:r>
      <w:r>
        <w:t>effects</w:t>
      </w:r>
      <w:r w:rsidR="006C6F09">
        <w:t xml:space="preserve"> </w:t>
      </w:r>
      <w:r>
        <w:t>on</w:t>
      </w:r>
      <w:r w:rsidR="006C6F09">
        <w:t xml:space="preserve"> </w:t>
      </w:r>
      <w:r>
        <w:t>historic</w:t>
      </w:r>
      <w:r w:rsidR="006C6F09">
        <w:t xml:space="preserve"> </w:t>
      </w:r>
      <w:r>
        <w:t>properties,</w:t>
      </w:r>
      <w:r w:rsidR="006C6F09">
        <w:t xml:space="preserve"> </w:t>
      </w:r>
      <w:r>
        <w:t>in</w:t>
      </w:r>
      <w:r w:rsidR="006C6F09">
        <w:t xml:space="preserve"> </w:t>
      </w:r>
      <w:r>
        <w:t>determining</w:t>
      </w:r>
      <w:r w:rsidR="006C6F09">
        <w:t xml:space="preserve"> </w:t>
      </w:r>
      <w:r>
        <w:t>whether</w:t>
      </w:r>
      <w:r w:rsidR="006C6F09">
        <w:t xml:space="preserve"> </w:t>
      </w:r>
      <w:r>
        <w:t>to</w:t>
      </w:r>
      <w:r w:rsidR="006C6F09">
        <w:t xml:space="preserve"> </w:t>
      </w:r>
      <w:r>
        <w:t>hold</w:t>
      </w:r>
      <w:r w:rsidR="006C6F09">
        <w:t xml:space="preserve"> </w:t>
      </w:r>
      <w:r>
        <w:t>a</w:t>
      </w:r>
      <w:r w:rsidR="006C6F09">
        <w:t xml:space="preserve"> </w:t>
      </w:r>
      <w:r>
        <w:t>public</w:t>
      </w:r>
      <w:r w:rsidR="006C6F09">
        <w:t xml:space="preserve"> </w:t>
      </w:r>
      <w:r>
        <w:t>meeting</w:t>
      </w:r>
      <w:r w:rsidR="006C6F09">
        <w:t xml:space="preserve"> </w:t>
      </w:r>
      <w:r>
        <w:t>on</w:t>
      </w:r>
      <w:r w:rsidR="006C6F09">
        <w:t xml:space="preserve"> </w:t>
      </w:r>
      <w:r>
        <w:t>a</w:t>
      </w:r>
      <w:r w:rsidR="006C6F09">
        <w:t xml:space="preserve"> </w:t>
      </w:r>
      <w:r>
        <w:t>given</w:t>
      </w:r>
      <w:r w:rsidR="006C6F09">
        <w:t xml:space="preserve"> </w:t>
      </w:r>
      <w:r>
        <w:t>project</w:t>
      </w:r>
      <w:r w:rsidR="00C052B0">
        <w:t xml:space="preserve">. </w:t>
      </w:r>
      <w:r w:rsidRPr="009C72B8">
        <w:t>36</w:t>
      </w:r>
      <w:r w:rsidR="006C6F09">
        <w:t xml:space="preserve"> </w:t>
      </w:r>
      <w:r w:rsidRPr="009C72B8">
        <w:t>CFR</w:t>
      </w:r>
      <w:r w:rsidR="006C6F09">
        <w:t xml:space="preserve"> </w:t>
      </w:r>
      <w:r w:rsidRPr="009C72B8">
        <w:t>800.2</w:t>
      </w:r>
      <w:r>
        <w:t>(d)(1)).</w:t>
      </w:r>
    </w:p>
    <w:p w14:paraId="48DCCE9E" w14:textId="6F2751A9" w:rsidR="00457754" w:rsidRDefault="00457754" w:rsidP="00457754">
      <w:r>
        <w:t>Public</w:t>
      </w:r>
      <w:r w:rsidR="006C6F09">
        <w:t xml:space="preserve"> </w:t>
      </w:r>
      <w:r>
        <w:t>meetings,</w:t>
      </w:r>
      <w:r w:rsidR="006C6F09">
        <w:t xml:space="preserve"> </w:t>
      </w:r>
      <w:r>
        <w:t>often</w:t>
      </w:r>
      <w:r w:rsidR="006C6F09">
        <w:t xml:space="preserve"> </w:t>
      </w:r>
      <w:r>
        <w:t>referred</w:t>
      </w:r>
      <w:r w:rsidR="006C6F09">
        <w:t xml:space="preserve"> </w:t>
      </w:r>
      <w:r>
        <w:t>to</w:t>
      </w:r>
      <w:r w:rsidR="006C6F09">
        <w:t xml:space="preserve"> </w:t>
      </w:r>
      <w:r>
        <w:t>as</w:t>
      </w:r>
      <w:r w:rsidR="006C6F09">
        <w:t xml:space="preserve"> </w:t>
      </w:r>
      <w:r>
        <w:t>scoping</w:t>
      </w:r>
      <w:r w:rsidR="006C6F09">
        <w:t xml:space="preserve"> </w:t>
      </w:r>
      <w:r>
        <w:t>meetings,</w:t>
      </w:r>
      <w:r w:rsidR="006C6F09">
        <w:t xml:space="preserve"> </w:t>
      </w:r>
      <w:r>
        <w:t>are</w:t>
      </w:r>
      <w:r w:rsidR="006C6F09">
        <w:t xml:space="preserve"> </w:t>
      </w:r>
      <w:r>
        <w:t>required</w:t>
      </w:r>
      <w:r w:rsidR="006C6F09">
        <w:t xml:space="preserve"> </w:t>
      </w:r>
      <w:r>
        <w:t>for</w:t>
      </w:r>
      <w:r w:rsidR="006C6F09">
        <w:t xml:space="preserve"> </w:t>
      </w:r>
      <w:r>
        <w:t>all</w:t>
      </w:r>
      <w:r w:rsidR="006C6F09">
        <w:t xml:space="preserve"> </w:t>
      </w:r>
      <w:r>
        <w:t>EIS</w:t>
      </w:r>
      <w:r w:rsidR="006C6F09">
        <w:t xml:space="preserve"> </w:t>
      </w:r>
      <w:r>
        <w:t>projects</w:t>
      </w:r>
      <w:r w:rsidR="006C6F09">
        <w:t xml:space="preserve"> </w:t>
      </w:r>
      <w:r w:rsidRPr="00E71F17">
        <w:t>(</w:t>
      </w:r>
      <w:hyperlink r:id="rId43" w:history="1">
        <w:r>
          <w:rPr>
            <w:rStyle w:val="Hyperlink"/>
          </w:rPr>
          <w:t>Title</w:t>
        </w:r>
        <w:r w:rsidR="006C6F09">
          <w:rPr>
            <w:rStyle w:val="Hyperlink"/>
          </w:rPr>
          <w:t xml:space="preserve"> </w:t>
        </w:r>
        <w:r>
          <w:rPr>
            <w:rStyle w:val="Hyperlink"/>
          </w:rPr>
          <w:t>23</w:t>
        </w:r>
        <w:r w:rsidR="006C6F09">
          <w:rPr>
            <w:rStyle w:val="Hyperlink"/>
          </w:rPr>
          <w:t xml:space="preserve"> </w:t>
        </w:r>
        <w:r>
          <w:rPr>
            <w:rStyle w:val="Hyperlink"/>
          </w:rPr>
          <w:t>United</w:t>
        </w:r>
        <w:r w:rsidR="006C6F09">
          <w:rPr>
            <w:rStyle w:val="Hyperlink"/>
          </w:rPr>
          <w:t xml:space="preserve"> </w:t>
        </w:r>
        <w:r>
          <w:rPr>
            <w:rStyle w:val="Hyperlink"/>
          </w:rPr>
          <w:t>States</w:t>
        </w:r>
        <w:r w:rsidR="006C6F09">
          <w:rPr>
            <w:rStyle w:val="Hyperlink"/>
          </w:rPr>
          <w:t xml:space="preserve"> </w:t>
        </w:r>
        <w:r>
          <w:rPr>
            <w:rStyle w:val="Hyperlink"/>
          </w:rPr>
          <w:t>Code</w:t>
        </w:r>
        <w:r w:rsidR="006C6F09">
          <w:rPr>
            <w:rStyle w:val="Hyperlink"/>
          </w:rPr>
          <w:t xml:space="preserve"> </w:t>
        </w:r>
        <w:r>
          <w:rPr>
            <w:rStyle w:val="Hyperlink"/>
          </w:rPr>
          <w:t>139:</w:t>
        </w:r>
        <w:r w:rsidR="006C6F09">
          <w:rPr>
            <w:rStyle w:val="Hyperlink"/>
          </w:rPr>
          <w:t xml:space="preserve"> </w:t>
        </w:r>
        <w:r>
          <w:rPr>
            <w:rStyle w:val="Hyperlink"/>
          </w:rPr>
          <w:t>Efficient</w:t>
        </w:r>
        <w:r w:rsidR="006C6F09">
          <w:rPr>
            <w:rStyle w:val="Hyperlink"/>
          </w:rPr>
          <w:t xml:space="preserve"> </w:t>
        </w:r>
        <w:r>
          <w:rPr>
            <w:rStyle w:val="Hyperlink"/>
          </w:rPr>
          <w:t>Environmental</w:t>
        </w:r>
        <w:r w:rsidR="006C6F09">
          <w:rPr>
            <w:rStyle w:val="Hyperlink"/>
          </w:rPr>
          <w:t xml:space="preserve"> </w:t>
        </w:r>
        <w:r>
          <w:rPr>
            <w:rStyle w:val="Hyperlink"/>
          </w:rPr>
          <w:t>Reviews</w:t>
        </w:r>
        <w:r w:rsidR="006C6F09">
          <w:rPr>
            <w:rStyle w:val="Hyperlink"/>
          </w:rPr>
          <w:t xml:space="preserve"> </w:t>
        </w:r>
        <w:r>
          <w:rPr>
            <w:rStyle w:val="Hyperlink"/>
          </w:rPr>
          <w:t>for</w:t>
        </w:r>
        <w:r w:rsidR="006C6F09">
          <w:rPr>
            <w:rStyle w:val="Hyperlink"/>
          </w:rPr>
          <w:t xml:space="preserve"> </w:t>
        </w:r>
        <w:r>
          <w:rPr>
            <w:rStyle w:val="Hyperlink"/>
          </w:rPr>
          <w:t>Project</w:t>
        </w:r>
        <w:r w:rsidR="006C6F09">
          <w:rPr>
            <w:rStyle w:val="Hyperlink"/>
          </w:rPr>
          <w:t xml:space="preserve"> </w:t>
        </w:r>
        <w:r w:rsidR="00A56414">
          <w:rPr>
            <w:rStyle w:val="Hyperlink"/>
          </w:rPr>
          <w:t>Decision making</w:t>
        </w:r>
        <w:r w:rsidR="006C6F09">
          <w:rPr>
            <w:rStyle w:val="Hyperlink"/>
          </w:rPr>
          <w:t xml:space="preserve"> </w:t>
        </w:r>
        <w:r>
          <w:rPr>
            <w:rStyle w:val="Hyperlink"/>
          </w:rPr>
          <w:t>and</w:t>
        </w:r>
        <w:r w:rsidR="006C6F09">
          <w:rPr>
            <w:rStyle w:val="Hyperlink"/>
          </w:rPr>
          <w:t xml:space="preserve"> </w:t>
        </w:r>
        <w:r>
          <w:rPr>
            <w:rStyle w:val="Hyperlink"/>
          </w:rPr>
          <w:t>One</w:t>
        </w:r>
        <w:r w:rsidR="006C6F09">
          <w:rPr>
            <w:rStyle w:val="Hyperlink"/>
          </w:rPr>
          <w:t xml:space="preserve"> </w:t>
        </w:r>
        <w:r>
          <w:rPr>
            <w:rStyle w:val="Hyperlink"/>
          </w:rPr>
          <w:t>Federal</w:t>
        </w:r>
        <w:r w:rsidR="006C6F09">
          <w:rPr>
            <w:rStyle w:val="Hyperlink"/>
          </w:rPr>
          <w:t xml:space="preserve"> </w:t>
        </w:r>
        <w:r>
          <w:rPr>
            <w:rStyle w:val="Hyperlink"/>
          </w:rPr>
          <w:t>Decision</w:t>
        </w:r>
      </w:hyperlink>
      <w:r w:rsidR="006C6F09">
        <w:t xml:space="preserve"> </w:t>
      </w:r>
      <w:r w:rsidRPr="00E71F17">
        <w:t>and</w:t>
      </w:r>
      <w:r w:rsidR="006C6F09">
        <w:t xml:space="preserve"> </w:t>
      </w:r>
      <w:hyperlink r:id="rId44" w:history="1">
        <w:r w:rsidRPr="00332D95">
          <w:rPr>
            <w:rStyle w:val="Hyperlink"/>
          </w:rPr>
          <w:t>43</w:t>
        </w:r>
        <w:r w:rsidR="006C6F09">
          <w:rPr>
            <w:rStyle w:val="Hyperlink"/>
          </w:rPr>
          <w:t xml:space="preserve"> </w:t>
        </w:r>
        <w:r w:rsidRPr="00332D95">
          <w:rPr>
            <w:rStyle w:val="Hyperlink"/>
          </w:rPr>
          <w:t>TAC</w:t>
        </w:r>
        <w:r w:rsidR="006C6F09">
          <w:rPr>
            <w:rStyle w:val="Hyperlink"/>
          </w:rPr>
          <w:t xml:space="preserve"> </w:t>
        </w:r>
        <w:r w:rsidRPr="00332D95">
          <w:rPr>
            <w:rStyle w:val="Hyperlink"/>
          </w:rPr>
          <w:t>2.105(b)(2)</w:t>
        </w:r>
      </w:hyperlink>
      <w:r w:rsidRPr="00332D95">
        <w:t>).</w:t>
      </w:r>
      <w:r w:rsidR="006C6F09">
        <w:t xml:space="preserve"> </w:t>
      </w:r>
      <w:r w:rsidRPr="00E71F17">
        <w:t>A</w:t>
      </w:r>
      <w:r>
        <w:t>lso,</w:t>
      </w:r>
      <w:r w:rsidR="006C6F09">
        <w:t xml:space="preserve"> </w:t>
      </w:r>
      <w:r>
        <w:t>as</w:t>
      </w:r>
      <w:r w:rsidR="006C6F09">
        <w:t xml:space="preserve"> </w:t>
      </w:r>
      <w:r>
        <w:t>explained</w:t>
      </w:r>
      <w:r w:rsidR="006C6F09">
        <w:t xml:space="preserve"> </w:t>
      </w:r>
      <w:r>
        <w:t>in</w:t>
      </w:r>
      <w:r w:rsidR="006C6F09">
        <w:t xml:space="preserve"> </w:t>
      </w:r>
      <w:r>
        <w:t>TxDOT’s</w:t>
      </w:r>
      <w:r w:rsidR="006C6F09">
        <w:t xml:space="preserve"> </w:t>
      </w:r>
      <w:r>
        <w:t>Traffic</w:t>
      </w:r>
      <w:r w:rsidR="006C6F09">
        <w:t xml:space="preserve"> </w:t>
      </w:r>
      <w:r>
        <w:t>Noise</w:t>
      </w:r>
      <w:r w:rsidR="006C6F09">
        <w:t xml:space="preserve"> </w:t>
      </w:r>
      <w:r>
        <w:t>Policy</w:t>
      </w:r>
      <w:r w:rsidR="006C6F09">
        <w:t xml:space="preserve"> </w:t>
      </w:r>
      <w:r>
        <w:lastRenderedPageBreak/>
        <w:t>Implementation</w:t>
      </w:r>
      <w:r w:rsidR="006C6F09">
        <w:t xml:space="preserve"> </w:t>
      </w:r>
      <w:r>
        <w:t>Guidance,</w:t>
      </w:r>
      <w:r w:rsidR="006C6F09">
        <w:t xml:space="preserve"> </w:t>
      </w:r>
      <w:r>
        <w:t>a</w:t>
      </w:r>
      <w:r w:rsidR="006C6F09">
        <w:t xml:space="preserve"> </w:t>
      </w:r>
      <w:r>
        <w:t>separate</w:t>
      </w:r>
      <w:r w:rsidR="006C6F09">
        <w:t xml:space="preserve"> </w:t>
      </w:r>
      <w:r>
        <w:t>type</w:t>
      </w:r>
      <w:r w:rsidR="006C6F09">
        <w:t xml:space="preserve"> </w:t>
      </w:r>
      <w:r>
        <w:t>of</w:t>
      </w:r>
      <w:r w:rsidR="006C6F09">
        <w:t xml:space="preserve"> </w:t>
      </w:r>
      <w:r>
        <w:t>meeting,</w:t>
      </w:r>
      <w:r w:rsidR="006C6F09">
        <w:t xml:space="preserve"> </w:t>
      </w:r>
      <w:r>
        <w:t>called</w:t>
      </w:r>
      <w:r w:rsidR="006C6F09">
        <w:t xml:space="preserve"> </w:t>
      </w:r>
      <w:r>
        <w:t>a</w:t>
      </w:r>
      <w:r w:rsidR="006C6F09">
        <w:t xml:space="preserve"> </w:t>
      </w:r>
      <w:r>
        <w:t>traffic</w:t>
      </w:r>
      <w:r w:rsidR="006C6F09">
        <w:t xml:space="preserve"> </w:t>
      </w:r>
      <w:r>
        <w:t>noise</w:t>
      </w:r>
      <w:r w:rsidR="006C6F09">
        <w:t xml:space="preserve"> </w:t>
      </w:r>
      <w:r>
        <w:t>workshop,</w:t>
      </w:r>
      <w:r w:rsidR="006C6F09">
        <w:t xml:space="preserve"> </w:t>
      </w:r>
      <w:r>
        <w:t>is</w:t>
      </w:r>
      <w:r w:rsidR="006C6F09">
        <w:t xml:space="preserve"> </w:t>
      </w:r>
      <w:r>
        <w:t>required</w:t>
      </w:r>
      <w:r w:rsidR="006C6F09">
        <w:t xml:space="preserve"> </w:t>
      </w:r>
      <w:r>
        <w:t>under</w:t>
      </w:r>
      <w:r w:rsidR="006C6F09">
        <w:t xml:space="preserve"> </w:t>
      </w:r>
      <w:r>
        <w:t>certain</w:t>
      </w:r>
      <w:r w:rsidR="006C6F09">
        <w:t xml:space="preserve"> </w:t>
      </w:r>
      <w:r>
        <w:t>conditions.</w:t>
      </w:r>
    </w:p>
    <w:p w14:paraId="59EF69F9" w14:textId="373FE5BE" w:rsidR="00457754" w:rsidRPr="00B23AD6" w:rsidRDefault="00457754" w:rsidP="00457754">
      <w:pPr>
        <w:pStyle w:val="Heading3"/>
      </w:pPr>
      <w:bookmarkStart w:id="43" w:name="_Ref219790060"/>
      <w:bookmarkStart w:id="44" w:name="_Toc224026209"/>
      <w:r w:rsidRPr="00B23AD6">
        <w:t>4.3</w:t>
      </w:r>
      <w:r w:rsidR="006C6F09" w:rsidRPr="00B23AD6">
        <w:t xml:space="preserve"> </w:t>
      </w:r>
      <w:r w:rsidRPr="00B23AD6">
        <w:t>Notification</w:t>
      </w:r>
      <w:bookmarkEnd w:id="43"/>
      <w:bookmarkEnd w:id="44"/>
      <w:r w:rsidR="006C6F09" w:rsidRPr="00B23AD6">
        <w:t xml:space="preserve"> </w:t>
      </w:r>
    </w:p>
    <w:p w14:paraId="50C168D9" w14:textId="27F8C3B4" w:rsidR="00457754" w:rsidRDefault="00457754" w:rsidP="00457754">
      <w:r>
        <w:t>The</w:t>
      </w:r>
      <w:r w:rsidR="006C6F09">
        <w:t xml:space="preserve"> </w:t>
      </w:r>
      <w:r>
        <w:t>public</w:t>
      </w:r>
      <w:r w:rsidR="006C6F09">
        <w:t xml:space="preserve"> </w:t>
      </w:r>
      <w:r>
        <w:t>meeting</w:t>
      </w:r>
      <w:r w:rsidR="006C6F09">
        <w:t xml:space="preserve"> </w:t>
      </w:r>
      <w:r>
        <w:t>notice</w:t>
      </w:r>
      <w:r w:rsidR="006C6F09">
        <w:t xml:space="preserve"> </w:t>
      </w:r>
      <w:r>
        <w:t>must</w:t>
      </w:r>
      <w:r w:rsidR="006C6F09">
        <w:t xml:space="preserve"> </w:t>
      </w:r>
      <w:r>
        <w:t>be</w:t>
      </w:r>
      <w:r w:rsidR="006C6F09">
        <w:t xml:space="preserve"> </w:t>
      </w:r>
      <w:r>
        <w:t>posted</w:t>
      </w:r>
      <w:r w:rsidR="006C6F09">
        <w:t xml:space="preserve"> </w:t>
      </w:r>
      <w:r>
        <w:t>on</w:t>
      </w:r>
      <w:r w:rsidR="006C6F09">
        <w:t xml:space="preserve"> </w:t>
      </w:r>
      <w:r>
        <w:t>the</w:t>
      </w:r>
      <w:r w:rsidR="006C6F09">
        <w:t xml:space="preserve"> </w:t>
      </w:r>
      <w:r>
        <w:t>“Hearings,</w:t>
      </w:r>
      <w:r w:rsidR="006C6F09">
        <w:t xml:space="preserve"> </w:t>
      </w:r>
      <w:r>
        <w:t>meetings</w:t>
      </w:r>
      <w:r w:rsidR="006C6F09">
        <w:t xml:space="preserve"> </w:t>
      </w:r>
      <w:r>
        <w:t>and</w:t>
      </w:r>
      <w:r w:rsidR="006C6F09">
        <w:t xml:space="preserve"> </w:t>
      </w:r>
      <w:r>
        <w:t>notices</w:t>
      </w:r>
      <w:r w:rsidR="006C6F09">
        <w:t xml:space="preserve"> </w:t>
      </w:r>
      <w:r>
        <w:t>schedule”</w:t>
      </w:r>
      <w:r w:rsidR="006C6F09">
        <w:t xml:space="preserve"> </w:t>
      </w:r>
      <w:r>
        <w:t>web</w:t>
      </w:r>
      <w:r w:rsidR="006C6F09">
        <w:t xml:space="preserve"> </w:t>
      </w:r>
      <w:r>
        <w:t>page</w:t>
      </w:r>
      <w:r w:rsidR="006C6F09">
        <w:t xml:space="preserve"> </w:t>
      </w:r>
      <w:r>
        <w:t>on</w:t>
      </w:r>
      <w:r w:rsidR="006C6F09">
        <w:t xml:space="preserve"> </w:t>
      </w:r>
      <w:r>
        <w:t>txdot.gov</w:t>
      </w:r>
      <w:r w:rsidR="006C6F09">
        <w:t xml:space="preserve"> </w:t>
      </w:r>
      <w:r>
        <w:t>15</w:t>
      </w:r>
      <w:r w:rsidR="006C6F09">
        <w:t xml:space="preserve"> </w:t>
      </w:r>
      <w:r>
        <w:t>calendar</w:t>
      </w:r>
      <w:r w:rsidR="006C6F09">
        <w:t xml:space="preserve"> </w:t>
      </w:r>
      <w:r>
        <w:t>days</w:t>
      </w:r>
      <w:r w:rsidR="006C6F09">
        <w:t xml:space="preserve"> </w:t>
      </w:r>
      <w:r>
        <w:t>before</w:t>
      </w:r>
      <w:r w:rsidR="006C6F09">
        <w:t xml:space="preserve"> </w:t>
      </w:r>
      <w:r>
        <w:t>the</w:t>
      </w:r>
      <w:r w:rsidR="006C6F09">
        <w:t xml:space="preserve"> </w:t>
      </w:r>
      <w:r>
        <w:t>public</w:t>
      </w:r>
      <w:r w:rsidR="006C6F09">
        <w:t xml:space="preserve"> </w:t>
      </w:r>
      <w:r>
        <w:t>meeting,</w:t>
      </w:r>
      <w:r w:rsidR="006C6F09">
        <w:t xml:space="preserve"> </w:t>
      </w:r>
      <w:r>
        <w:t>and</w:t>
      </w:r>
      <w:r w:rsidR="006C6F09">
        <w:t xml:space="preserve"> </w:t>
      </w:r>
      <w:r>
        <w:t>provided</w:t>
      </w:r>
      <w:r w:rsidR="006C6F09">
        <w:t xml:space="preserve"> </w:t>
      </w:r>
      <w:r>
        <w:t>to</w:t>
      </w:r>
      <w:r w:rsidR="006C6F09">
        <w:t xml:space="preserve"> </w:t>
      </w:r>
      <w:r>
        <w:t>any</w:t>
      </w:r>
      <w:r w:rsidR="006C6F09">
        <w:t xml:space="preserve"> </w:t>
      </w:r>
      <w:r>
        <w:t>public</w:t>
      </w:r>
      <w:r w:rsidR="006C6F09">
        <w:t xml:space="preserve"> </w:t>
      </w:r>
      <w:r>
        <w:t>official,</w:t>
      </w:r>
      <w:r w:rsidR="006C6F09">
        <w:t xml:space="preserve"> </w:t>
      </w:r>
      <w:r>
        <w:t>individual,</w:t>
      </w:r>
      <w:r w:rsidR="006C6F09">
        <w:t xml:space="preserve"> </w:t>
      </w:r>
      <w:r>
        <w:t>or</w:t>
      </w:r>
      <w:r w:rsidR="006C6F09">
        <w:t xml:space="preserve"> </w:t>
      </w:r>
      <w:r>
        <w:t>affected</w:t>
      </w:r>
      <w:r w:rsidR="006C6F09">
        <w:t xml:space="preserve"> </w:t>
      </w:r>
      <w:r>
        <w:t>interest</w:t>
      </w:r>
      <w:r w:rsidR="006C6F09">
        <w:t xml:space="preserve"> </w:t>
      </w:r>
      <w:r>
        <w:t>group</w:t>
      </w:r>
      <w:r w:rsidR="006C6F09">
        <w:t xml:space="preserve"> </w:t>
      </w:r>
      <w:r>
        <w:t>that</w:t>
      </w:r>
      <w:r w:rsidR="006C6F09">
        <w:t xml:space="preserve"> </w:t>
      </w:r>
      <w:r>
        <w:t>has</w:t>
      </w:r>
      <w:r w:rsidR="006C6F09">
        <w:t xml:space="preserve"> </w:t>
      </w:r>
      <w:r>
        <w:t>expressed</w:t>
      </w:r>
      <w:r w:rsidR="006C6F09">
        <w:t xml:space="preserve"> </w:t>
      </w:r>
      <w:r>
        <w:t>interest</w:t>
      </w:r>
      <w:r w:rsidR="006C6F09">
        <w:t xml:space="preserve"> </w:t>
      </w:r>
      <w:r>
        <w:t>in</w:t>
      </w:r>
      <w:r w:rsidR="006C6F09">
        <w:t xml:space="preserve"> </w:t>
      </w:r>
      <w:r>
        <w:t>the</w:t>
      </w:r>
      <w:r w:rsidR="006C6F09">
        <w:t xml:space="preserve"> </w:t>
      </w:r>
      <w:r>
        <w:t>project.</w:t>
      </w:r>
      <w:r w:rsidR="006C6F09">
        <w:t xml:space="preserve"> </w:t>
      </w:r>
      <w:r>
        <w:t>This</w:t>
      </w:r>
      <w:r w:rsidR="006C6F09">
        <w:t xml:space="preserve"> </w:t>
      </w:r>
      <w:r>
        <w:t>includes</w:t>
      </w:r>
      <w:r w:rsidR="006C6F09">
        <w:t xml:space="preserve"> </w:t>
      </w:r>
      <w:r>
        <w:t>any</w:t>
      </w:r>
      <w:r w:rsidR="006C6F09">
        <w:t xml:space="preserve"> </w:t>
      </w:r>
      <w:r>
        <w:t>Section</w:t>
      </w:r>
      <w:r w:rsidR="006C6F09">
        <w:t xml:space="preserve"> </w:t>
      </w:r>
      <w:r>
        <w:t>106</w:t>
      </w:r>
      <w:r w:rsidR="006C6F09">
        <w:t xml:space="preserve"> </w:t>
      </w:r>
      <w:r>
        <w:t>consulting</w:t>
      </w:r>
      <w:r w:rsidR="006C6F09">
        <w:t xml:space="preserve"> </w:t>
      </w:r>
      <w:r>
        <w:t>parties</w:t>
      </w:r>
      <w:r w:rsidR="006C6F09">
        <w:t xml:space="preserve"> </w:t>
      </w:r>
      <w:r>
        <w:t>when</w:t>
      </w:r>
      <w:r w:rsidR="006C6F09">
        <w:t xml:space="preserve"> </w:t>
      </w:r>
      <w:r>
        <w:t>appropriate.</w:t>
      </w:r>
      <w:r w:rsidR="006C6F09">
        <w:t xml:space="preserve"> </w:t>
      </w:r>
      <w:r>
        <w:t>In</w:t>
      </w:r>
      <w:r w:rsidR="006C6F09">
        <w:t xml:space="preserve"> </w:t>
      </w:r>
      <w:r>
        <w:t>addition,</w:t>
      </w:r>
      <w:r w:rsidR="006C6F09">
        <w:t xml:space="preserve"> </w:t>
      </w:r>
      <w:r>
        <w:t>the</w:t>
      </w:r>
      <w:r w:rsidR="006C6F09">
        <w:t xml:space="preserve"> </w:t>
      </w:r>
      <w:r>
        <w:t>project</w:t>
      </w:r>
      <w:r w:rsidR="006C6F09">
        <w:t xml:space="preserve"> </w:t>
      </w:r>
      <w:r>
        <w:t>sponsor</w:t>
      </w:r>
      <w:r w:rsidR="006C6F09">
        <w:t xml:space="preserve"> </w:t>
      </w:r>
      <w:r>
        <w:t>is</w:t>
      </w:r>
      <w:r w:rsidR="006C6F09">
        <w:t xml:space="preserve"> </w:t>
      </w:r>
      <w:r>
        <w:t>responsible</w:t>
      </w:r>
      <w:r w:rsidR="006C6F09">
        <w:t xml:space="preserve"> </w:t>
      </w:r>
      <w:r>
        <w:t>for</w:t>
      </w:r>
      <w:r w:rsidR="006C6F09">
        <w:t xml:space="preserve"> </w:t>
      </w:r>
      <w:r>
        <w:t>public</w:t>
      </w:r>
      <w:r w:rsidR="006C6F09">
        <w:t xml:space="preserve"> </w:t>
      </w:r>
      <w:r>
        <w:t>meeting</w:t>
      </w:r>
      <w:r w:rsidR="006C6F09">
        <w:t xml:space="preserve"> </w:t>
      </w:r>
      <w:r>
        <w:t>notification</w:t>
      </w:r>
      <w:r w:rsidR="006C6F09">
        <w:t xml:space="preserve"> </w:t>
      </w:r>
      <w:r>
        <w:t>tasks</w:t>
      </w:r>
      <w:r w:rsidR="006C6F09">
        <w:t xml:space="preserve"> </w:t>
      </w:r>
      <w:r>
        <w:t>and</w:t>
      </w:r>
      <w:r w:rsidR="006C6F09">
        <w:t xml:space="preserve"> </w:t>
      </w:r>
      <w:r>
        <w:t>can</w:t>
      </w:r>
      <w:r w:rsidR="006C6F09">
        <w:t xml:space="preserve"> </w:t>
      </w:r>
      <w:r>
        <w:t>select</w:t>
      </w:r>
      <w:r w:rsidR="006C6F09">
        <w:t xml:space="preserve"> </w:t>
      </w:r>
      <w:r>
        <w:t>one</w:t>
      </w:r>
      <w:r w:rsidR="006C6F09">
        <w:t xml:space="preserve"> </w:t>
      </w:r>
      <w:r>
        <w:t>or</w:t>
      </w:r>
      <w:r w:rsidR="006C6F09">
        <w:t xml:space="preserve"> </w:t>
      </w:r>
      <w:r>
        <w:t>more</w:t>
      </w:r>
      <w:r w:rsidR="006C6F09">
        <w:t xml:space="preserve"> </w:t>
      </w:r>
      <w:r>
        <w:t>appropriate</w:t>
      </w:r>
      <w:r w:rsidR="006C6F09">
        <w:t xml:space="preserve"> </w:t>
      </w:r>
      <w:r>
        <w:t>outreach</w:t>
      </w:r>
      <w:r w:rsidR="006C6F09">
        <w:t xml:space="preserve"> </w:t>
      </w:r>
      <w:r>
        <w:t>methods</w:t>
      </w:r>
      <w:r w:rsidR="006C6F09">
        <w:t xml:space="preserve"> </w:t>
      </w:r>
      <w:r>
        <w:t>to</w:t>
      </w:r>
      <w:r w:rsidR="006C6F09">
        <w:t xml:space="preserve"> </w:t>
      </w:r>
      <w:r>
        <w:t>inform</w:t>
      </w:r>
      <w:r w:rsidR="006C6F09">
        <w:t xml:space="preserve"> </w:t>
      </w:r>
      <w:r>
        <w:t>the</w:t>
      </w:r>
      <w:r w:rsidR="006C6F09">
        <w:t xml:space="preserve"> </w:t>
      </w:r>
      <w:r>
        <w:t>public</w:t>
      </w:r>
      <w:r w:rsidR="006C6F09">
        <w:t xml:space="preserve"> </w:t>
      </w:r>
      <w:r>
        <w:t>of</w:t>
      </w:r>
      <w:r w:rsidR="006C6F09">
        <w:t xml:space="preserve"> </w:t>
      </w:r>
      <w:r>
        <w:t>a</w:t>
      </w:r>
      <w:r w:rsidR="006C6F09">
        <w:t xml:space="preserve"> </w:t>
      </w:r>
      <w:r>
        <w:t>public</w:t>
      </w:r>
      <w:r w:rsidR="006C6F09">
        <w:t xml:space="preserve"> </w:t>
      </w:r>
      <w:r>
        <w:t>meeting.</w:t>
      </w:r>
      <w:r w:rsidR="006C6F09">
        <w:t xml:space="preserve"> </w:t>
      </w:r>
      <w:r>
        <w:t>To</w:t>
      </w:r>
      <w:r w:rsidR="006C6F09">
        <w:t xml:space="preserve"> </w:t>
      </w:r>
      <w:r>
        <w:t>maximize</w:t>
      </w:r>
      <w:r w:rsidR="006C6F09">
        <w:t xml:space="preserve"> </w:t>
      </w:r>
      <w:r>
        <w:t>attendance,</w:t>
      </w:r>
      <w:r w:rsidR="006C6F09">
        <w:t xml:space="preserve"> </w:t>
      </w:r>
      <w:r>
        <w:t>outreach</w:t>
      </w:r>
      <w:r w:rsidR="006C6F09">
        <w:t xml:space="preserve"> </w:t>
      </w:r>
      <w:r>
        <w:t>methods</w:t>
      </w:r>
      <w:r w:rsidR="006C6F09">
        <w:t xml:space="preserve"> </w:t>
      </w:r>
      <w:r>
        <w:t>must</w:t>
      </w:r>
      <w:r w:rsidR="006C6F09">
        <w:t xml:space="preserve"> </w:t>
      </w:r>
      <w:r>
        <w:t>be</w:t>
      </w:r>
      <w:r w:rsidR="006C6F09">
        <w:t xml:space="preserve"> </w:t>
      </w:r>
      <w:r>
        <w:t>appropriate</w:t>
      </w:r>
      <w:r w:rsidR="006C6F09">
        <w:t xml:space="preserve"> </w:t>
      </w:r>
      <w:r>
        <w:t>for</w:t>
      </w:r>
      <w:r w:rsidR="006C6F09">
        <w:t xml:space="preserve"> </w:t>
      </w:r>
      <w:r>
        <w:t>the</w:t>
      </w:r>
      <w:r w:rsidR="006C6F09">
        <w:t xml:space="preserve"> </w:t>
      </w:r>
      <w:r>
        <w:t>anticipated</w:t>
      </w:r>
      <w:r w:rsidR="006C6F09">
        <w:t xml:space="preserve"> </w:t>
      </w:r>
      <w:r>
        <w:t>audience</w:t>
      </w:r>
      <w:r w:rsidR="006C6F09">
        <w:t xml:space="preserve"> </w:t>
      </w:r>
      <w:r>
        <w:t>and</w:t>
      </w:r>
      <w:r w:rsidR="006C6F09">
        <w:t xml:space="preserve"> </w:t>
      </w:r>
      <w:r>
        <w:t>can</w:t>
      </w:r>
      <w:r w:rsidR="006C6F09">
        <w:t xml:space="preserve"> </w:t>
      </w:r>
      <w:r>
        <w:t>include</w:t>
      </w:r>
      <w:r w:rsidR="006C6F09">
        <w:t xml:space="preserve"> </w:t>
      </w:r>
      <w:r>
        <w:t>options</w:t>
      </w:r>
      <w:r w:rsidR="006C6F09">
        <w:t xml:space="preserve"> </w:t>
      </w:r>
      <w:r>
        <w:t>such</w:t>
      </w:r>
      <w:r w:rsidR="006C6F09">
        <w:t xml:space="preserve"> </w:t>
      </w:r>
      <w:r>
        <w:t>as:</w:t>
      </w:r>
    </w:p>
    <w:p w14:paraId="26E01C2F" w14:textId="7E58E78F" w:rsidR="00457754" w:rsidRDefault="00457754" w:rsidP="00457754">
      <w:pPr>
        <w:pStyle w:val="ListBullet"/>
      </w:pPr>
      <w:r w:rsidRPr="00A22A80">
        <w:t>Publishing</w:t>
      </w:r>
      <w:r w:rsidR="006C6F09">
        <w:t xml:space="preserve"> </w:t>
      </w:r>
      <w:r w:rsidRPr="00A22A80">
        <w:t>notices</w:t>
      </w:r>
      <w:r w:rsidR="006C6F09">
        <w:t xml:space="preserve"> </w:t>
      </w:r>
      <w:r w:rsidRPr="00A22A80">
        <w:t>in</w:t>
      </w:r>
      <w:r w:rsidR="006C6F09">
        <w:t xml:space="preserve"> </w:t>
      </w:r>
      <w:r w:rsidRPr="00A22A80">
        <w:t>local</w:t>
      </w:r>
      <w:r w:rsidR="006C6F09">
        <w:t xml:space="preserve"> </w:t>
      </w:r>
      <w:proofErr w:type="gramStart"/>
      <w:r w:rsidRPr="00A22A80">
        <w:t>newspapers;</w:t>
      </w:r>
      <w:proofErr w:type="gramEnd"/>
    </w:p>
    <w:p w14:paraId="7EA5F842" w14:textId="6ED282EC" w:rsidR="00457754" w:rsidRDefault="00457754" w:rsidP="00457754">
      <w:pPr>
        <w:pStyle w:val="ListBullet"/>
      </w:pPr>
      <w:r w:rsidRPr="00A22A80">
        <w:t>Publishing</w:t>
      </w:r>
      <w:r w:rsidR="006C6F09">
        <w:t xml:space="preserve"> </w:t>
      </w:r>
      <w:r w:rsidRPr="00A22A80">
        <w:t>display</w:t>
      </w:r>
      <w:r w:rsidR="006C6F09">
        <w:t xml:space="preserve"> </w:t>
      </w:r>
      <w:r w:rsidRPr="00A22A80">
        <w:t>ads</w:t>
      </w:r>
      <w:r w:rsidR="006C6F09">
        <w:t xml:space="preserve"> </w:t>
      </w:r>
      <w:r w:rsidRPr="00A22A80">
        <w:t>in</w:t>
      </w:r>
      <w:r w:rsidR="006C6F09">
        <w:t xml:space="preserve"> </w:t>
      </w:r>
      <w:r w:rsidRPr="00A22A80">
        <w:t>local</w:t>
      </w:r>
      <w:r w:rsidR="006C6F09">
        <w:t xml:space="preserve"> </w:t>
      </w:r>
      <w:proofErr w:type="gramStart"/>
      <w:r w:rsidRPr="00A22A80">
        <w:t>newspapers;</w:t>
      </w:r>
      <w:proofErr w:type="gramEnd"/>
    </w:p>
    <w:p w14:paraId="4031FD3A" w14:textId="6E97FA1F" w:rsidR="00457754" w:rsidRDefault="00457754" w:rsidP="00457754">
      <w:pPr>
        <w:pStyle w:val="ListBullet"/>
      </w:pPr>
      <w:r w:rsidRPr="00A22A80">
        <w:t>Posting</w:t>
      </w:r>
      <w:r w:rsidR="006C6F09">
        <w:t xml:space="preserve"> </w:t>
      </w:r>
      <w:r w:rsidRPr="00A22A80">
        <w:t>meeting</w:t>
      </w:r>
      <w:r w:rsidR="006C6F09">
        <w:t xml:space="preserve"> </w:t>
      </w:r>
      <w:r w:rsidRPr="00A22A80">
        <w:t>notices</w:t>
      </w:r>
      <w:r w:rsidR="006C6F09">
        <w:t xml:space="preserve"> </w:t>
      </w:r>
      <w:r w:rsidRPr="00A22A80">
        <w:t>in</w:t>
      </w:r>
      <w:r w:rsidR="006C6F09">
        <w:t xml:space="preserve"> </w:t>
      </w:r>
      <w:r w:rsidRPr="00A22A80">
        <w:t>local</w:t>
      </w:r>
      <w:r w:rsidR="006C6F09">
        <w:t xml:space="preserve"> </w:t>
      </w:r>
      <w:r w:rsidRPr="00A22A80">
        <w:t>community</w:t>
      </w:r>
      <w:r w:rsidR="006C6F09">
        <w:t xml:space="preserve"> </w:t>
      </w:r>
      <w:r w:rsidRPr="00A22A80">
        <w:t>gathering</w:t>
      </w:r>
      <w:r w:rsidR="006C6F09">
        <w:t xml:space="preserve"> </w:t>
      </w:r>
      <w:proofErr w:type="gramStart"/>
      <w:r w:rsidRPr="00A22A80">
        <w:t>areas;</w:t>
      </w:r>
      <w:proofErr w:type="gramEnd"/>
    </w:p>
    <w:p w14:paraId="58CC80A5" w14:textId="2FD6E66B" w:rsidR="00457754" w:rsidRDefault="00457754" w:rsidP="00457754">
      <w:pPr>
        <w:pStyle w:val="ListBullet"/>
      </w:pPr>
      <w:r w:rsidRPr="00A22A80">
        <w:t>Posting</w:t>
      </w:r>
      <w:r w:rsidR="006C6F09">
        <w:t xml:space="preserve"> </w:t>
      </w:r>
      <w:r w:rsidRPr="00A22A80">
        <w:t>meeting</w:t>
      </w:r>
      <w:r w:rsidR="006C6F09">
        <w:t xml:space="preserve"> </w:t>
      </w:r>
      <w:r w:rsidRPr="00A22A80">
        <w:t>notices</w:t>
      </w:r>
      <w:r w:rsidR="006C6F09">
        <w:t xml:space="preserve"> </w:t>
      </w:r>
      <w:r w:rsidRPr="00A22A80">
        <w:t>on</w:t>
      </w:r>
      <w:r w:rsidR="006C6F09">
        <w:t xml:space="preserve"> </w:t>
      </w:r>
      <w:r w:rsidRPr="00A22A80">
        <w:t>community,</w:t>
      </w:r>
      <w:r w:rsidR="006C6F09">
        <w:t xml:space="preserve"> </w:t>
      </w:r>
      <w:r w:rsidRPr="00A22A80">
        <w:t>county,</w:t>
      </w:r>
      <w:r w:rsidR="006C6F09">
        <w:t xml:space="preserve"> </w:t>
      </w:r>
      <w:r w:rsidRPr="00A22A80">
        <w:t>or</w:t>
      </w:r>
      <w:r w:rsidR="006C6F09">
        <w:t xml:space="preserve"> </w:t>
      </w:r>
      <w:r w:rsidRPr="00A22A80">
        <w:t>municipality</w:t>
      </w:r>
      <w:r w:rsidR="006C6F09">
        <w:t xml:space="preserve"> </w:t>
      </w:r>
      <w:proofErr w:type="gramStart"/>
      <w:r w:rsidRPr="00A22A80">
        <w:t>websites;</w:t>
      </w:r>
      <w:proofErr w:type="gramEnd"/>
    </w:p>
    <w:p w14:paraId="38702D55" w14:textId="10953DF7" w:rsidR="00457754" w:rsidRDefault="00457754" w:rsidP="00457754">
      <w:pPr>
        <w:pStyle w:val="ListBullet"/>
      </w:pPr>
      <w:r w:rsidRPr="00A22A80">
        <w:t>Mailing</w:t>
      </w:r>
      <w:r w:rsidR="006C6F09">
        <w:t xml:space="preserve"> </w:t>
      </w:r>
      <w:r w:rsidRPr="00A22A80">
        <w:t>letter</w:t>
      </w:r>
      <w:r w:rsidR="006C6F09">
        <w:t xml:space="preserve"> </w:t>
      </w:r>
      <w:proofErr w:type="gramStart"/>
      <w:r w:rsidRPr="00A22A80">
        <w:t>notifications;</w:t>
      </w:r>
      <w:proofErr w:type="gramEnd"/>
    </w:p>
    <w:p w14:paraId="4287E53A" w14:textId="4876D976" w:rsidR="00457754" w:rsidRDefault="00457754" w:rsidP="00457754">
      <w:pPr>
        <w:pStyle w:val="ListBullet"/>
      </w:pPr>
      <w:r w:rsidRPr="00A22A80">
        <w:t>Emailing</w:t>
      </w:r>
      <w:r w:rsidR="006C6F09">
        <w:t xml:space="preserve"> </w:t>
      </w:r>
      <w:proofErr w:type="gramStart"/>
      <w:r w:rsidRPr="00A22A80">
        <w:t>notifications;</w:t>
      </w:r>
      <w:proofErr w:type="gramEnd"/>
    </w:p>
    <w:p w14:paraId="7271C99E" w14:textId="622AF5C2" w:rsidR="00457754" w:rsidRDefault="00457754" w:rsidP="00457754">
      <w:pPr>
        <w:pStyle w:val="ListBullet"/>
      </w:pPr>
      <w:r w:rsidRPr="00A22A80">
        <w:t>Delivering</w:t>
      </w:r>
      <w:r w:rsidR="006C6F09">
        <w:t xml:space="preserve"> </w:t>
      </w:r>
      <w:r w:rsidRPr="00A22A80">
        <w:t>television</w:t>
      </w:r>
      <w:r w:rsidR="006C6F09">
        <w:t xml:space="preserve"> </w:t>
      </w:r>
      <w:r w:rsidRPr="00A22A80">
        <w:t>or</w:t>
      </w:r>
      <w:r w:rsidR="006C6F09">
        <w:t xml:space="preserve"> </w:t>
      </w:r>
      <w:r w:rsidRPr="00A22A80">
        <w:t>radio</w:t>
      </w:r>
      <w:r w:rsidR="006C6F09">
        <w:t xml:space="preserve"> </w:t>
      </w:r>
      <w:proofErr w:type="gramStart"/>
      <w:r w:rsidRPr="00A22A80">
        <w:t>spots;</w:t>
      </w:r>
      <w:proofErr w:type="gramEnd"/>
    </w:p>
    <w:p w14:paraId="1250B3A7" w14:textId="2EDE21AD" w:rsidR="00457754" w:rsidRDefault="00457754" w:rsidP="00457754">
      <w:pPr>
        <w:pStyle w:val="ListBullet"/>
      </w:pPr>
      <w:r w:rsidRPr="00A22A80">
        <w:t>Posting</w:t>
      </w:r>
      <w:r w:rsidR="006C6F09">
        <w:t xml:space="preserve"> </w:t>
      </w:r>
      <w:r w:rsidRPr="00A22A80">
        <w:t>changeable</w:t>
      </w:r>
      <w:r w:rsidR="006C6F09">
        <w:t xml:space="preserve"> </w:t>
      </w:r>
      <w:r w:rsidRPr="00A22A80">
        <w:t>message</w:t>
      </w:r>
      <w:r w:rsidR="006C6F09">
        <w:t xml:space="preserve"> </w:t>
      </w:r>
      <w:proofErr w:type="gramStart"/>
      <w:r w:rsidRPr="00A22A80">
        <w:t>signs;</w:t>
      </w:r>
      <w:proofErr w:type="gramEnd"/>
    </w:p>
    <w:p w14:paraId="3D08CDE2" w14:textId="14DD35E6" w:rsidR="00457754" w:rsidRDefault="00457754" w:rsidP="00457754">
      <w:pPr>
        <w:pStyle w:val="ListBullet"/>
      </w:pPr>
      <w:r w:rsidRPr="00A22A80">
        <w:t>Posting</w:t>
      </w:r>
      <w:r w:rsidR="006C6F09">
        <w:t xml:space="preserve"> </w:t>
      </w:r>
      <w:r w:rsidRPr="00A22A80">
        <w:t>community</w:t>
      </w:r>
      <w:r w:rsidR="006C6F09">
        <w:t xml:space="preserve"> </w:t>
      </w:r>
      <w:r w:rsidRPr="00A22A80">
        <w:t>marquee</w:t>
      </w:r>
      <w:r w:rsidR="006C6F09">
        <w:t xml:space="preserve"> </w:t>
      </w:r>
      <w:r w:rsidRPr="00A22A80">
        <w:t>and</w:t>
      </w:r>
      <w:r w:rsidR="006C6F09">
        <w:t xml:space="preserve"> </w:t>
      </w:r>
      <w:r w:rsidRPr="00A22A80">
        <w:t>electronic</w:t>
      </w:r>
      <w:r w:rsidR="006C6F09">
        <w:t xml:space="preserve"> </w:t>
      </w:r>
      <w:proofErr w:type="gramStart"/>
      <w:r w:rsidRPr="00A22A80">
        <w:t>displays;</w:t>
      </w:r>
      <w:proofErr w:type="gramEnd"/>
    </w:p>
    <w:p w14:paraId="15CF2421" w14:textId="05697C98" w:rsidR="00457754" w:rsidRDefault="00457754" w:rsidP="00457754">
      <w:pPr>
        <w:pStyle w:val="ListBullet"/>
      </w:pPr>
      <w:r w:rsidRPr="00A22A80">
        <w:t>Mailing</w:t>
      </w:r>
      <w:r w:rsidR="006C6F09">
        <w:t xml:space="preserve"> </w:t>
      </w:r>
      <w:proofErr w:type="gramStart"/>
      <w:r w:rsidRPr="00A22A80">
        <w:t>postcards;</w:t>
      </w:r>
      <w:proofErr w:type="gramEnd"/>
    </w:p>
    <w:p w14:paraId="46A9D556" w14:textId="3ADD83FF" w:rsidR="00457754" w:rsidRDefault="00457754" w:rsidP="00457754">
      <w:pPr>
        <w:pStyle w:val="ListBullet"/>
      </w:pPr>
      <w:r w:rsidRPr="00A22A80">
        <w:t>Facebook</w:t>
      </w:r>
      <w:r w:rsidR="006C6F09">
        <w:t xml:space="preserve"> </w:t>
      </w:r>
      <w:proofErr w:type="gramStart"/>
      <w:r w:rsidRPr="00A22A80">
        <w:t>ads;</w:t>
      </w:r>
      <w:proofErr w:type="gramEnd"/>
    </w:p>
    <w:p w14:paraId="7C6A2BCA" w14:textId="77777777" w:rsidR="00457754" w:rsidRDefault="00457754" w:rsidP="00457754">
      <w:pPr>
        <w:pStyle w:val="ListBullet"/>
      </w:pPr>
      <w:proofErr w:type="gramStart"/>
      <w:r w:rsidRPr="00A22A80">
        <w:t>Flyers;</w:t>
      </w:r>
      <w:proofErr w:type="gramEnd"/>
    </w:p>
    <w:p w14:paraId="101EE5A3" w14:textId="41029ABC" w:rsidR="00457754" w:rsidRDefault="00457754" w:rsidP="00457754">
      <w:pPr>
        <w:pStyle w:val="ListBullet"/>
      </w:pPr>
      <w:r w:rsidRPr="00A22A80">
        <w:t>Water</w:t>
      </w:r>
      <w:r w:rsidR="006C6F09">
        <w:t xml:space="preserve"> </w:t>
      </w:r>
      <w:r w:rsidRPr="00A22A80">
        <w:t>bill</w:t>
      </w:r>
      <w:r w:rsidR="006C6F09">
        <w:t xml:space="preserve"> </w:t>
      </w:r>
      <w:r w:rsidRPr="00A22A80">
        <w:t>notifications;</w:t>
      </w:r>
      <w:r w:rsidR="006C6F09">
        <w:t xml:space="preserve"> </w:t>
      </w:r>
      <w:r w:rsidRPr="00A22A80">
        <w:t>and</w:t>
      </w:r>
      <w:r w:rsidR="006C6F09">
        <w:t xml:space="preserve"> </w:t>
      </w:r>
    </w:p>
    <w:p w14:paraId="0C5C5E6F" w14:textId="6123BFB7" w:rsidR="00457754" w:rsidRPr="00A22A80" w:rsidRDefault="00457754" w:rsidP="00457754">
      <w:pPr>
        <w:pStyle w:val="ListBullet"/>
      </w:pPr>
      <w:r w:rsidRPr="00A22A80">
        <w:t>Press</w:t>
      </w:r>
      <w:r w:rsidR="006C6F09">
        <w:t xml:space="preserve"> </w:t>
      </w:r>
      <w:r w:rsidRPr="00A22A80">
        <w:t>release</w:t>
      </w:r>
      <w:r w:rsidR="006C6F09">
        <w:t xml:space="preserve"> </w:t>
      </w:r>
      <w:r w:rsidRPr="00A22A80">
        <w:t>and</w:t>
      </w:r>
      <w:r w:rsidR="006C6F09">
        <w:t xml:space="preserve"> </w:t>
      </w:r>
      <w:r w:rsidRPr="00A22A80">
        <w:t>or</w:t>
      </w:r>
      <w:r w:rsidR="006C6F09">
        <w:t xml:space="preserve"> </w:t>
      </w:r>
      <w:r w:rsidRPr="00A22A80">
        <w:t>media</w:t>
      </w:r>
      <w:r w:rsidR="006C6F09">
        <w:t xml:space="preserve"> </w:t>
      </w:r>
      <w:r w:rsidRPr="00A22A80">
        <w:t>interviews.</w:t>
      </w:r>
    </w:p>
    <w:p w14:paraId="4E9F6EFD" w14:textId="67A34B51" w:rsidR="00457754" w:rsidRDefault="00457754" w:rsidP="00457754">
      <w:r>
        <w:t>Using</w:t>
      </w:r>
      <w:r w:rsidR="006C6F09">
        <w:t xml:space="preserve"> </w:t>
      </w:r>
      <w:r>
        <w:t>a</w:t>
      </w:r>
      <w:r w:rsidR="006C6F09">
        <w:t xml:space="preserve"> </w:t>
      </w:r>
      <w:r>
        <w:t>combination</w:t>
      </w:r>
      <w:r w:rsidR="006C6F09">
        <w:t xml:space="preserve"> </w:t>
      </w:r>
      <w:r>
        <w:t>of</w:t>
      </w:r>
      <w:r w:rsidR="006C6F09">
        <w:t xml:space="preserve"> </w:t>
      </w:r>
      <w:r>
        <w:t>these</w:t>
      </w:r>
      <w:r w:rsidR="006C6F09">
        <w:t xml:space="preserve"> </w:t>
      </w:r>
      <w:r>
        <w:t>approaches</w:t>
      </w:r>
      <w:r w:rsidR="006C6F09">
        <w:t xml:space="preserve"> </w:t>
      </w:r>
      <w:r>
        <w:t>is</w:t>
      </w:r>
      <w:r w:rsidR="006C6F09">
        <w:t xml:space="preserve"> </w:t>
      </w:r>
      <w:r>
        <w:t>recommended.</w:t>
      </w:r>
      <w:r w:rsidR="006C6F09">
        <w:t xml:space="preserve"> </w:t>
      </w:r>
      <w:r>
        <w:t>Strategies</w:t>
      </w:r>
      <w:r w:rsidR="006C6F09">
        <w:t xml:space="preserve"> </w:t>
      </w:r>
      <w:r>
        <w:t>to</w:t>
      </w:r>
      <w:r w:rsidR="006C6F09">
        <w:t xml:space="preserve"> </w:t>
      </w:r>
      <w:r>
        <w:t>address</w:t>
      </w:r>
      <w:r w:rsidR="006C6F09">
        <w:t xml:space="preserve"> </w:t>
      </w:r>
      <w:r>
        <w:t>LEP</w:t>
      </w:r>
      <w:r w:rsidR="006C6F09">
        <w:t xml:space="preserve"> </w:t>
      </w:r>
      <w:r>
        <w:t>populations</w:t>
      </w:r>
      <w:r w:rsidR="006C6F09">
        <w:t xml:space="preserve"> </w:t>
      </w:r>
      <w:r>
        <w:t>must</w:t>
      </w:r>
      <w:r w:rsidR="006C6F09">
        <w:t xml:space="preserve"> </w:t>
      </w:r>
      <w:r>
        <w:t>be</w:t>
      </w:r>
      <w:r w:rsidR="006C6F09">
        <w:t xml:space="preserve"> </w:t>
      </w:r>
      <w:r>
        <w:t>developed</w:t>
      </w:r>
      <w:r w:rsidR="006C6F09">
        <w:t xml:space="preserve"> </w:t>
      </w:r>
      <w:r>
        <w:t>and</w:t>
      </w:r>
      <w:r w:rsidR="006C6F09">
        <w:t xml:space="preserve"> </w:t>
      </w:r>
      <w:r>
        <w:t>implemented</w:t>
      </w:r>
      <w:r w:rsidR="006C6F09">
        <w:t xml:space="preserve"> </w:t>
      </w:r>
      <w:r>
        <w:t>where</w:t>
      </w:r>
      <w:r w:rsidR="006C6F09">
        <w:t xml:space="preserve"> </w:t>
      </w:r>
      <w:r>
        <w:t>populations</w:t>
      </w:r>
      <w:r w:rsidR="006C6F09">
        <w:t xml:space="preserve"> </w:t>
      </w:r>
      <w:r>
        <w:t>are</w:t>
      </w:r>
      <w:r w:rsidR="006C6F09">
        <w:t xml:space="preserve"> </w:t>
      </w:r>
      <w:r>
        <w:t>identified</w:t>
      </w:r>
      <w:r w:rsidR="006C6F09">
        <w:t xml:space="preserve"> </w:t>
      </w:r>
      <w:r>
        <w:t>in</w:t>
      </w:r>
      <w:r w:rsidR="006C6F09">
        <w:t xml:space="preserve"> </w:t>
      </w:r>
      <w:r>
        <w:t>the</w:t>
      </w:r>
      <w:r w:rsidR="006C6F09">
        <w:t xml:space="preserve"> </w:t>
      </w:r>
      <w:r>
        <w:t>project</w:t>
      </w:r>
      <w:r w:rsidR="006C6F09">
        <w:t xml:space="preserve"> </w:t>
      </w:r>
      <w:r>
        <w:t>area.</w:t>
      </w:r>
      <w:r w:rsidR="006C6F09">
        <w:t xml:space="preserve"> </w:t>
      </w:r>
      <w:r>
        <w:t>The</w:t>
      </w:r>
      <w:r w:rsidR="006C6F09">
        <w:t xml:space="preserve"> </w:t>
      </w:r>
      <w:r>
        <w:t>required</w:t>
      </w:r>
      <w:r w:rsidR="006C6F09">
        <w:t xml:space="preserve"> </w:t>
      </w:r>
      <w:r>
        <w:t>TxDOT</w:t>
      </w:r>
      <w:r w:rsidR="006C6F09">
        <w:t xml:space="preserve"> </w:t>
      </w:r>
      <w:r>
        <w:t>website</w:t>
      </w:r>
      <w:r w:rsidR="006C6F09">
        <w:t xml:space="preserve"> </w:t>
      </w:r>
      <w:r>
        <w:lastRenderedPageBreak/>
        <w:t>notice</w:t>
      </w:r>
      <w:r w:rsidR="006C6F09">
        <w:t xml:space="preserve"> </w:t>
      </w:r>
      <w:r>
        <w:t>of</w:t>
      </w:r>
      <w:r w:rsidR="006C6F09">
        <w:t xml:space="preserve"> </w:t>
      </w:r>
      <w:r>
        <w:t>the</w:t>
      </w:r>
      <w:r w:rsidR="006C6F09">
        <w:t xml:space="preserve"> </w:t>
      </w:r>
      <w:r>
        <w:t>public</w:t>
      </w:r>
      <w:r w:rsidR="006C6F09">
        <w:t xml:space="preserve"> </w:t>
      </w:r>
      <w:r>
        <w:t>meeting</w:t>
      </w:r>
      <w:r w:rsidR="006C6F09">
        <w:t xml:space="preserve"> </w:t>
      </w:r>
      <w:r>
        <w:t>must</w:t>
      </w:r>
      <w:r w:rsidR="006C6F09">
        <w:t xml:space="preserve"> </w:t>
      </w:r>
      <w:r>
        <w:t>be</w:t>
      </w:r>
      <w:r w:rsidR="006C6F09">
        <w:t xml:space="preserve"> </w:t>
      </w:r>
      <w:r>
        <w:t>posted</w:t>
      </w:r>
      <w:r w:rsidR="006C6F09">
        <w:t xml:space="preserve"> </w:t>
      </w:r>
      <w:r>
        <w:t>at</w:t>
      </w:r>
      <w:r w:rsidR="006C6F09">
        <w:t xml:space="preserve"> </w:t>
      </w:r>
      <w:r>
        <w:t>least</w:t>
      </w:r>
      <w:r w:rsidR="006C6F09">
        <w:t xml:space="preserve"> </w:t>
      </w:r>
      <w:r>
        <w:t>15</w:t>
      </w:r>
      <w:r w:rsidR="006C6F09">
        <w:t xml:space="preserve"> </w:t>
      </w:r>
      <w:r>
        <w:t>calendar</w:t>
      </w:r>
      <w:r w:rsidR="006C6F09">
        <w:t xml:space="preserve"> </w:t>
      </w:r>
      <w:r>
        <w:t>days</w:t>
      </w:r>
      <w:r w:rsidR="006C6F09">
        <w:t xml:space="preserve"> </w:t>
      </w:r>
      <w:r>
        <w:t>prior</w:t>
      </w:r>
      <w:r w:rsidR="006C6F09">
        <w:t xml:space="preserve"> </w:t>
      </w:r>
      <w:r>
        <w:t>to</w:t>
      </w:r>
      <w:r w:rsidR="006C6F09">
        <w:t xml:space="preserve"> </w:t>
      </w:r>
      <w:r>
        <w:t>the</w:t>
      </w:r>
      <w:r w:rsidR="006C6F09">
        <w:t xml:space="preserve"> </w:t>
      </w:r>
      <w:r>
        <w:t>public</w:t>
      </w:r>
      <w:r w:rsidR="006C6F09">
        <w:t xml:space="preserve"> </w:t>
      </w:r>
      <w:r>
        <w:t>meeting,</w:t>
      </w:r>
      <w:r w:rsidR="006C6F09">
        <w:t xml:space="preserve"> </w:t>
      </w:r>
      <w:r>
        <w:t>as</w:t>
      </w:r>
      <w:r w:rsidR="006C6F09">
        <w:t xml:space="preserve"> </w:t>
      </w:r>
      <w:r>
        <w:t>indicated</w:t>
      </w:r>
      <w:r w:rsidR="006C6F09">
        <w:t xml:space="preserve"> </w:t>
      </w:r>
      <w:r>
        <w:t>above.</w:t>
      </w:r>
      <w:r w:rsidR="006C6F09">
        <w:t xml:space="preserve"> </w:t>
      </w:r>
      <w:r>
        <w:t>For</w:t>
      </w:r>
      <w:r w:rsidR="006C6F09">
        <w:t xml:space="preserve"> </w:t>
      </w:r>
      <w:r>
        <w:t>other</w:t>
      </w:r>
      <w:r w:rsidR="006C6F09">
        <w:t xml:space="preserve"> </w:t>
      </w:r>
      <w:r>
        <w:t>forms</w:t>
      </w:r>
      <w:r w:rsidR="006C6F09">
        <w:t xml:space="preserve"> </w:t>
      </w:r>
      <w:r>
        <w:t>of</w:t>
      </w:r>
      <w:r w:rsidR="006C6F09">
        <w:t xml:space="preserve"> </w:t>
      </w:r>
      <w:r>
        <w:t>notices</w:t>
      </w:r>
      <w:r w:rsidR="006C6F09">
        <w:t xml:space="preserve"> </w:t>
      </w:r>
      <w:proofErr w:type="gramStart"/>
      <w:r>
        <w:t>of</w:t>
      </w:r>
      <w:proofErr w:type="gramEnd"/>
      <w:r w:rsidR="006C6F09">
        <w:t xml:space="preserve"> </w:t>
      </w:r>
      <w:r>
        <w:t>a</w:t>
      </w:r>
      <w:r w:rsidR="006C6F09">
        <w:t xml:space="preserve"> </w:t>
      </w:r>
      <w:r>
        <w:t>public</w:t>
      </w:r>
      <w:r w:rsidR="006C6F09">
        <w:t xml:space="preserve"> </w:t>
      </w:r>
      <w:r>
        <w:t>meeting</w:t>
      </w:r>
      <w:r w:rsidR="006C6F09">
        <w:t xml:space="preserve"> </w:t>
      </w:r>
      <w:r>
        <w:t>(for</w:t>
      </w:r>
      <w:r w:rsidR="006C6F09">
        <w:t xml:space="preserve"> </w:t>
      </w:r>
      <w:r>
        <w:t>example,</w:t>
      </w:r>
      <w:r w:rsidR="006C6F09">
        <w:t xml:space="preserve"> </w:t>
      </w:r>
      <w:r>
        <w:t>letters,</w:t>
      </w:r>
      <w:r w:rsidR="006C6F09">
        <w:t xml:space="preserve"> </w:t>
      </w:r>
      <w:r>
        <w:t>newspaper,</w:t>
      </w:r>
      <w:r w:rsidR="006C6F09">
        <w:t xml:space="preserve"> </w:t>
      </w:r>
      <w:r>
        <w:t>etcetera),</w:t>
      </w:r>
      <w:r w:rsidR="006C6F09">
        <w:t xml:space="preserve"> </w:t>
      </w:r>
      <w:r>
        <w:t>there</w:t>
      </w:r>
      <w:r w:rsidR="006C6F09">
        <w:t xml:space="preserve"> </w:t>
      </w:r>
      <w:r>
        <w:t>is</w:t>
      </w:r>
      <w:r w:rsidR="006C6F09">
        <w:t xml:space="preserve"> </w:t>
      </w:r>
      <w:r>
        <w:t>no</w:t>
      </w:r>
      <w:r w:rsidR="006C6F09">
        <w:t xml:space="preserve"> </w:t>
      </w:r>
      <w:r>
        <w:t>required</w:t>
      </w:r>
      <w:r w:rsidR="006C6F09">
        <w:t xml:space="preserve"> </w:t>
      </w:r>
      <w:r>
        <w:t>minimum</w:t>
      </w:r>
      <w:r w:rsidR="006C6F09">
        <w:t xml:space="preserve"> </w:t>
      </w:r>
      <w:r>
        <w:t>or</w:t>
      </w:r>
      <w:r w:rsidR="006C6F09">
        <w:t xml:space="preserve"> </w:t>
      </w:r>
      <w:r>
        <w:t>maximum</w:t>
      </w:r>
      <w:r w:rsidR="006C6F09">
        <w:t xml:space="preserve"> </w:t>
      </w:r>
      <w:r>
        <w:t>number</w:t>
      </w:r>
      <w:r w:rsidR="006C6F09">
        <w:t xml:space="preserve"> </w:t>
      </w:r>
      <w:r>
        <w:t>of</w:t>
      </w:r>
      <w:r w:rsidR="006C6F09">
        <w:t xml:space="preserve"> </w:t>
      </w:r>
      <w:r>
        <w:t>days</w:t>
      </w:r>
      <w:r w:rsidR="006C6F09">
        <w:t xml:space="preserve"> </w:t>
      </w:r>
      <w:r>
        <w:t>for</w:t>
      </w:r>
      <w:r w:rsidR="006C6F09">
        <w:t xml:space="preserve"> </w:t>
      </w:r>
      <w:r>
        <w:t>providing</w:t>
      </w:r>
      <w:r w:rsidR="006C6F09">
        <w:t xml:space="preserve"> </w:t>
      </w:r>
      <w:r>
        <w:t>the</w:t>
      </w:r>
      <w:r w:rsidR="006C6F09">
        <w:t xml:space="preserve"> </w:t>
      </w:r>
      <w:r>
        <w:t>notice,</w:t>
      </w:r>
      <w:r w:rsidR="006C6F09">
        <w:t xml:space="preserve"> </w:t>
      </w:r>
      <w:r>
        <w:t>but</w:t>
      </w:r>
      <w:r w:rsidR="006C6F09">
        <w:t xml:space="preserve"> </w:t>
      </w:r>
      <w:r>
        <w:t>it</w:t>
      </w:r>
      <w:r w:rsidR="006C6F09">
        <w:t xml:space="preserve"> </w:t>
      </w:r>
      <w:r>
        <w:t>is</w:t>
      </w:r>
      <w:r w:rsidR="006C6F09">
        <w:t xml:space="preserve"> </w:t>
      </w:r>
      <w:r>
        <w:t>recommended</w:t>
      </w:r>
      <w:r w:rsidR="006C6F09">
        <w:t xml:space="preserve"> </w:t>
      </w:r>
      <w:r>
        <w:t>that</w:t>
      </w:r>
      <w:r w:rsidR="006C6F09">
        <w:t xml:space="preserve"> </w:t>
      </w:r>
      <w:r>
        <w:t>all</w:t>
      </w:r>
      <w:r w:rsidR="006C6F09">
        <w:t xml:space="preserve"> </w:t>
      </w:r>
      <w:r>
        <w:t>forms</w:t>
      </w:r>
      <w:r w:rsidR="006C6F09">
        <w:t xml:space="preserve"> </w:t>
      </w:r>
      <w:r>
        <w:t>of</w:t>
      </w:r>
      <w:r w:rsidR="006C6F09">
        <w:t xml:space="preserve"> </w:t>
      </w:r>
      <w:r>
        <w:t>notices</w:t>
      </w:r>
      <w:r w:rsidR="006C6F09">
        <w:t xml:space="preserve"> </w:t>
      </w:r>
      <w:r>
        <w:t>of</w:t>
      </w:r>
      <w:r w:rsidR="006C6F09">
        <w:t xml:space="preserve"> </w:t>
      </w:r>
      <w:r>
        <w:t>public</w:t>
      </w:r>
      <w:r w:rsidR="006C6F09">
        <w:t xml:space="preserve"> </w:t>
      </w:r>
      <w:r>
        <w:t>meetings</w:t>
      </w:r>
      <w:r w:rsidR="006C6F09">
        <w:t xml:space="preserve"> </w:t>
      </w:r>
      <w:r>
        <w:t>be</w:t>
      </w:r>
      <w:r w:rsidR="006C6F09">
        <w:t xml:space="preserve"> </w:t>
      </w:r>
      <w:r>
        <w:t>provided</w:t>
      </w:r>
      <w:r w:rsidR="006C6F09">
        <w:t xml:space="preserve"> </w:t>
      </w:r>
      <w:r>
        <w:t>at</w:t>
      </w:r>
      <w:r w:rsidR="006C6F09">
        <w:t xml:space="preserve"> </w:t>
      </w:r>
      <w:r>
        <w:t>least</w:t>
      </w:r>
      <w:r w:rsidR="006C6F09">
        <w:t xml:space="preserve"> </w:t>
      </w:r>
      <w:r>
        <w:t>15</w:t>
      </w:r>
      <w:r w:rsidR="006C6F09">
        <w:t xml:space="preserve"> </w:t>
      </w:r>
      <w:r>
        <w:t>calendar</w:t>
      </w:r>
      <w:r w:rsidR="006C6F09">
        <w:t xml:space="preserve"> </w:t>
      </w:r>
      <w:r>
        <w:t>days</w:t>
      </w:r>
      <w:r w:rsidR="006C6F09">
        <w:t xml:space="preserve"> </w:t>
      </w:r>
      <w:r>
        <w:t>prior</w:t>
      </w:r>
      <w:r w:rsidR="006C6F09">
        <w:t xml:space="preserve"> </w:t>
      </w:r>
      <w:r>
        <w:t>to</w:t>
      </w:r>
      <w:r w:rsidR="006C6F09">
        <w:t xml:space="preserve"> </w:t>
      </w:r>
      <w:r>
        <w:t>the</w:t>
      </w:r>
      <w:r w:rsidR="006C6F09">
        <w:t xml:space="preserve"> </w:t>
      </w:r>
      <w:r>
        <w:t>meeting</w:t>
      </w:r>
      <w:r w:rsidR="006C6F09">
        <w:t xml:space="preserve"> </w:t>
      </w:r>
      <w:r>
        <w:t>date.</w:t>
      </w:r>
      <w:r w:rsidR="006C6F09">
        <w:t xml:space="preserve"> </w:t>
      </w:r>
    </w:p>
    <w:p w14:paraId="5571AF42" w14:textId="04B1717B" w:rsidR="00457754" w:rsidRDefault="00457754" w:rsidP="00457754">
      <w:r>
        <w:t>Note</w:t>
      </w:r>
      <w:r w:rsidR="006C6F09">
        <w:t xml:space="preserve"> </w:t>
      </w:r>
      <w:r>
        <w:t>that,</w:t>
      </w:r>
      <w:r w:rsidR="006C6F09">
        <w:t xml:space="preserve"> </w:t>
      </w:r>
      <w:r>
        <w:t>for</w:t>
      </w:r>
      <w:r w:rsidR="006C6F09">
        <w:t xml:space="preserve"> </w:t>
      </w:r>
      <w:r>
        <w:t>any</w:t>
      </w:r>
      <w:r w:rsidR="006C6F09">
        <w:t xml:space="preserve"> </w:t>
      </w:r>
      <w:r>
        <w:t>project</w:t>
      </w:r>
      <w:r w:rsidR="006C6F09">
        <w:t xml:space="preserve"> </w:t>
      </w:r>
      <w:r>
        <w:t>requiring</w:t>
      </w:r>
      <w:r w:rsidR="006C6F09">
        <w:t xml:space="preserve"> </w:t>
      </w:r>
      <w:r>
        <w:t>a</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under</w:t>
      </w:r>
      <w:r w:rsidR="006C6F09">
        <w:t xml:space="preserve"> </w:t>
      </w:r>
      <w:r w:rsidRPr="00263E76">
        <w:rPr>
          <w:color w:val="0056A9"/>
          <w:u w:val="single"/>
        </w:rPr>
        <w:fldChar w:fldCharType="begin"/>
      </w:r>
      <w:r w:rsidRPr="00263E76">
        <w:rPr>
          <w:color w:val="0056A9"/>
          <w:u w:val="single"/>
        </w:rPr>
        <w:instrText xml:space="preserve"> REF _Ref219789859 \h  \* MERGEFORMAT </w:instrText>
      </w:r>
      <w:r w:rsidRPr="00263E76">
        <w:rPr>
          <w:color w:val="0056A9"/>
          <w:u w:val="single"/>
        </w:rPr>
      </w:r>
      <w:r w:rsidRPr="00263E76">
        <w:rPr>
          <w:color w:val="0056A9"/>
          <w:u w:val="single"/>
        </w:rPr>
        <w:fldChar w:fldCharType="separate"/>
      </w:r>
      <w:r w:rsidRPr="00263E76">
        <w:rPr>
          <w:color w:val="0056A9"/>
          <w:u w:val="single"/>
        </w:rPr>
        <w:t>3.0</w:t>
      </w:r>
      <w:r w:rsidRPr="00263E76">
        <w:rPr>
          <w:color w:val="0056A9"/>
          <w:u w:val="single"/>
        </w:rPr>
        <w:fldChar w:fldCharType="end"/>
      </w:r>
      <w:r w:rsidR="006C6F09">
        <w:t xml:space="preserve"> </w:t>
      </w:r>
      <w:r>
        <w:t>above,</w:t>
      </w:r>
      <w:r w:rsidR="006C6F09">
        <w:t xml:space="preserve"> </w:t>
      </w:r>
      <w:r>
        <w:t>if</w:t>
      </w:r>
      <w:r w:rsidR="006C6F09">
        <w:t xml:space="preserve"> </w:t>
      </w:r>
      <w:r>
        <w:t>the</w:t>
      </w:r>
      <w:r w:rsidR="006C6F09">
        <w:t xml:space="preserve"> </w:t>
      </w:r>
      <w:r>
        <w:t>project</w:t>
      </w:r>
      <w:r w:rsidR="006C6F09">
        <w:t xml:space="preserve"> </w:t>
      </w:r>
      <w:r>
        <w:t>sponsor</w:t>
      </w:r>
      <w:r w:rsidR="006C6F09">
        <w:t xml:space="preserve"> </w:t>
      </w:r>
      <w:r>
        <w:t>intends</w:t>
      </w:r>
      <w:r w:rsidR="006C6F09">
        <w:t xml:space="preserve"> </w:t>
      </w:r>
      <w:r>
        <w:t>to</w:t>
      </w:r>
      <w:r w:rsidR="006C6F09">
        <w:t xml:space="preserve"> </w:t>
      </w:r>
      <w:r>
        <w:t>hold</w:t>
      </w:r>
      <w:r w:rsidR="006C6F09">
        <w:t xml:space="preserve"> </w:t>
      </w:r>
      <w:r>
        <w:t>a</w:t>
      </w:r>
      <w:r w:rsidR="006C6F09">
        <w:t xml:space="preserve"> </w:t>
      </w:r>
      <w:r>
        <w:t>public</w:t>
      </w:r>
      <w:r w:rsidR="006C6F09">
        <w:t xml:space="preserve"> </w:t>
      </w:r>
      <w:r>
        <w:t>meeting,</w:t>
      </w:r>
      <w:r w:rsidR="006C6F09">
        <w:t xml:space="preserve"> </w:t>
      </w:r>
      <w:r>
        <w:t>and</w:t>
      </w:r>
      <w:r w:rsidR="006C6F09">
        <w:t xml:space="preserve"> </w:t>
      </w:r>
      <w:r>
        <w:t>for</w:t>
      </w:r>
      <w:r w:rsidR="006C6F09">
        <w:t xml:space="preserve"> </w:t>
      </w:r>
      <w:r>
        <w:t>the</w:t>
      </w:r>
      <w:r w:rsidR="006C6F09">
        <w:t xml:space="preserve"> </w:t>
      </w:r>
      <w:r>
        <w:t>public</w:t>
      </w:r>
      <w:r w:rsidR="006C6F09">
        <w:t xml:space="preserve"> </w:t>
      </w:r>
      <w:r>
        <w:t>meeting</w:t>
      </w:r>
      <w:r w:rsidR="006C6F09">
        <w:t xml:space="preserve"> </w:t>
      </w:r>
      <w:r>
        <w:t>to</w:t>
      </w:r>
      <w:r w:rsidR="006C6F09">
        <w:t xml:space="preserve"> </w:t>
      </w:r>
      <w:r>
        <w:t>satisfy</w:t>
      </w:r>
      <w:r w:rsidR="006C6F09">
        <w:t xml:space="preserve"> </w:t>
      </w:r>
      <w:r>
        <w:t>the</w:t>
      </w:r>
      <w:r w:rsidR="006C6F09">
        <w:t xml:space="preserve"> </w:t>
      </w:r>
      <w:r>
        <w:t>requirement</w:t>
      </w:r>
      <w:r w:rsidR="006C6F09">
        <w:t xml:space="preserve"> </w:t>
      </w:r>
      <w:r>
        <w:t>to</w:t>
      </w:r>
      <w:r w:rsidR="006C6F09">
        <w:t xml:space="preserve"> </w:t>
      </w:r>
      <w:r>
        <w:t>provide</w:t>
      </w:r>
      <w:r w:rsidR="006C6F09">
        <w:t xml:space="preserve"> </w:t>
      </w:r>
      <w:r>
        <w:t>a</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under</w:t>
      </w:r>
      <w:r w:rsidR="006C6F09">
        <w:t xml:space="preserve"> </w:t>
      </w:r>
      <w:r w:rsidRPr="0000453C">
        <w:rPr>
          <w:i/>
          <w:iCs/>
          <w:color w:val="0056A9"/>
          <w:u w:val="single"/>
        </w:rPr>
        <w:fldChar w:fldCharType="begin"/>
      </w:r>
      <w:r w:rsidRPr="0000453C">
        <w:rPr>
          <w:i/>
          <w:iCs/>
          <w:color w:val="0056A9"/>
          <w:u w:val="single"/>
        </w:rPr>
        <w:instrText xml:space="preserve"> REF _Ref219789926 \h  \* MERGEFORMAT </w:instrText>
      </w:r>
      <w:r w:rsidRPr="0000453C">
        <w:rPr>
          <w:i/>
          <w:iCs/>
          <w:color w:val="0056A9"/>
          <w:u w:val="single"/>
        </w:rPr>
      </w:r>
      <w:r w:rsidRPr="0000453C">
        <w:rPr>
          <w:i/>
          <w:iCs/>
          <w:color w:val="0056A9"/>
          <w:u w:val="single"/>
        </w:rPr>
        <w:fldChar w:fldCharType="separate"/>
      </w:r>
      <w:r w:rsidRPr="00263E76">
        <w:rPr>
          <w:color w:val="0056A9"/>
          <w:u w:val="single"/>
        </w:rPr>
        <w:t>3.0</w:t>
      </w:r>
      <w:r w:rsidRPr="0000453C">
        <w:rPr>
          <w:i/>
          <w:iCs/>
          <w:color w:val="0056A9"/>
          <w:u w:val="single"/>
        </w:rPr>
        <w:fldChar w:fldCharType="end"/>
      </w:r>
      <w:r w:rsidR="006C6F09">
        <w:rPr>
          <w:i/>
          <w:iCs/>
        </w:rPr>
        <w:t xml:space="preserve"> </w:t>
      </w:r>
      <w:r>
        <w:t>above,</w:t>
      </w:r>
      <w:r w:rsidR="006C6F09">
        <w:t xml:space="preserve"> </w:t>
      </w:r>
      <w:r>
        <w:t>the</w:t>
      </w:r>
      <w:r w:rsidR="006C6F09">
        <w:t xml:space="preserve"> </w:t>
      </w:r>
      <w:r>
        <w:t>notice</w:t>
      </w:r>
      <w:r w:rsidR="006C6F09">
        <w:t xml:space="preserve"> </w:t>
      </w:r>
      <w:r>
        <w:t>of</w:t>
      </w:r>
      <w:r w:rsidR="006C6F09">
        <w:t xml:space="preserve"> </w:t>
      </w:r>
      <w:r>
        <w:t>the</w:t>
      </w:r>
      <w:r w:rsidR="006C6F09">
        <w:t xml:space="preserve"> </w:t>
      </w:r>
      <w:r>
        <w:t>public</w:t>
      </w:r>
      <w:r w:rsidR="006C6F09">
        <w:t xml:space="preserve"> </w:t>
      </w:r>
      <w:r>
        <w:t>meeting</w:t>
      </w:r>
      <w:r w:rsidR="006C6F09">
        <w:t xml:space="preserve"> </w:t>
      </w:r>
      <w:r>
        <w:t>must</w:t>
      </w:r>
      <w:r w:rsidR="006C6F09">
        <w:t xml:space="preserve"> </w:t>
      </w:r>
      <w:r>
        <w:t>be</w:t>
      </w:r>
      <w:r w:rsidR="006C6F09">
        <w:t xml:space="preserve"> </w:t>
      </w:r>
      <w:r>
        <w:t>mailed</w:t>
      </w:r>
      <w:r w:rsidR="006C6F09">
        <w:t xml:space="preserve"> </w:t>
      </w:r>
      <w:r>
        <w:t>or</w:t>
      </w:r>
      <w:r w:rsidR="006C6F09">
        <w:t xml:space="preserve"> </w:t>
      </w:r>
      <w:r>
        <w:t>emailed</w:t>
      </w:r>
      <w:r w:rsidR="006C6F09">
        <w:t xml:space="preserve"> </w:t>
      </w:r>
      <w:r>
        <w:t>to</w:t>
      </w:r>
      <w:r w:rsidR="006C6F09">
        <w:t xml:space="preserve"> </w:t>
      </w:r>
      <w:r>
        <w:t>the</w:t>
      </w:r>
      <w:r w:rsidR="006C6F09">
        <w:t xml:space="preserve"> </w:t>
      </w:r>
      <w:r>
        <w:t>required</w:t>
      </w:r>
      <w:r w:rsidR="006C6F09">
        <w:t xml:space="preserve"> </w:t>
      </w:r>
      <w:r>
        <w:t>recipients</w:t>
      </w:r>
      <w:r w:rsidR="006C6F09">
        <w:t xml:space="preserve"> </w:t>
      </w:r>
      <w:r>
        <w:t>as</w:t>
      </w:r>
      <w:r w:rsidR="006C6F09">
        <w:t xml:space="preserve"> </w:t>
      </w:r>
      <w:r>
        <w:t>explained</w:t>
      </w:r>
      <w:r w:rsidR="006C6F09">
        <w:t xml:space="preserve"> </w:t>
      </w:r>
      <w:r>
        <w:t>in</w:t>
      </w:r>
      <w:r w:rsidR="006C6F09">
        <w:t xml:space="preserve"> </w:t>
      </w:r>
      <w:r w:rsidRPr="00263E76">
        <w:rPr>
          <w:u w:val="single"/>
        </w:rPr>
        <w:fldChar w:fldCharType="begin"/>
      </w:r>
      <w:r w:rsidRPr="00263E76">
        <w:rPr>
          <w:u w:val="single"/>
        </w:rPr>
        <w:instrText xml:space="preserve"> REF _Ref219789958 \h  \* MERGEFORMAT </w:instrText>
      </w:r>
      <w:r w:rsidRPr="00263E76">
        <w:rPr>
          <w:u w:val="single"/>
        </w:rPr>
      </w:r>
      <w:r w:rsidRPr="00263E76">
        <w:rPr>
          <w:u w:val="single"/>
        </w:rPr>
        <w:fldChar w:fldCharType="separate"/>
      </w:r>
      <w:r w:rsidRPr="00263E76">
        <w:rPr>
          <w:color w:val="0056A9"/>
          <w:u w:val="single"/>
        </w:rPr>
        <w:t>3.3</w:t>
      </w:r>
      <w:r w:rsidRPr="00263E76">
        <w:rPr>
          <w:u w:val="single"/>
        </w:rPr>
        <w:fldChar w:fldCharType="end"/>
      </w:r>
      <w:r w:rsidR="006C6F09">
        <w:t xml:space="preserve"> </w:t>
      </w:r>
      <w:r>
        <w:t>above.</w:t>
      </w:r>
    </w:p>
    <w:p w14:paraId="055D5E88" w14:textId="6F08B3D1" w:rsidR="00457754" w:rsidRPr="00B23AD6" w:rsidRDefault="00457754" w:rsidP="00457754">
      <w:pPr>
        <w:pStyle w:val="Heading3"/>
      </w:pPr>
      <w:bookmarkStart w:id="45" w:name="_Ref219790091"/>
      <w:bookmarkStart w:id="46" w:name="_Ref219790177"/>
      <w:bookmarkStart w:id="47" w:name="_Hlk216849030"/>
      <w:bookmarkStart w:id="48" w:name="_Toc224026210"/>
      <w:r w:rsidRPr="00B23AD6">
        <w:t>4.4</w:t>
      </w:r>
      <w:r w:rsidR="006C6F09" w:rsidRPr="00B23AD6">
        <w:t xml:space="preserve"> </w:t>
      </w:r>
      <w:r w:rsidRPr="00B23AD6">
        <w:t>Notice</w:t>
      </w:r>
      <w:r w:rsidR="006C6F09" w:rsidRPr="00B23AD6">
        <w:t xml:space="preserve"> </w:t>
      </w:r>
      <w:r w:rsidRPr="00B23AD6">
        <w:t>Format</w:t>
      </w:r>
      <w:bookmarkEnd w:id="45"/>
      <w:bookmarkEnd w:id="46"/>
      <w:bookmarkEnd w:id="48"/>
      <w:r w:rsidR="006C6F09" w:rsidRPr="00B23AD6">
        <w:t xml:space="preserve"> </w:t>
      </w:r>
    </w:p>
    <w:bookmarkEnd w:id="47"/>
    <w:p w14:paraId="6A003BEE" w14:textId="72C60FAA" w:rsidR="00457754" w:rsidRDefault="00457754" w:rsidP="00457754">
      <w:pPr>
        <w:spacing w:after="240"/>
      </w:pPr>
      <w:r>
        <w:t>Meeting</w:t>
      </w:r>
      <w:r w:rsidR="006C6F09">
        <w:t xml:space="preserve"> </w:t>
      </w:r>
      <w:r>
        <w:t>notices</w:t>
      </w:r>
      <w:r w:rsidR="006C6F09">
        <w:t xml:space="preserve"> </w:t>
      </w:r>
      <w:r>
        <w:t>can</w:t>
      </w:r>
      <w:r w:rsidR="006C6F09">
        <w:t xml:space="preserve"> </w:t>
      </w:r>
      <w:r>
        <w:t>contain</w:t>
      </w:r>
      <w:r w:rsidR="006C6F09">
        <w:t xml:space="preserve"> </w:t>
      </w:r>
      <w:r>
        <w:t>a</w:t>
      </w:r>
      <w:r w:rsidR="006C6F09">
        <w:t xml:space="preserve"> </w:t>
      </w:r>
      <w:r>
        <w:t>combination</w:t>
      </w:r>
      <w:r w:rsidR="006C6F09">
        <w:t xml:space="preserve"> </w:t>
      </w:r>
      <w:r>
        <w:t>of</w:t>
      </w:r>
      <w:r w:rsidR="006C6F09">
        <w:t xml:space="preserve"> </w:t>
      </w:r>
      <w:r>
        <w:t>any</w:t>
      </w:r>
      <w:r w:rsidR="006C6F09">
        <w:t xml:space="preserve"> </w:t>
      </w:r>
      <w:r>
        <w:t>of</w:t>
      </w:r>
      <w:r w:rsidR="006C6F09">
        <w:t xml:space="preserve"> </w:t>
      </w:r>
      <w:r>
        <w:t>the</w:t>
      </w:r>
      <w:r w:rsidR="006C6F09">
        <w:t xml:space="preserve"> </w:t>
      </w:r>
      <w:r>
        <w:t>following</w:t>
      </w:r>
      <w:r w:rsidR="006C6F09">
        <w:t xml:space="preserve"> </w:t>
      </w:r>
      <w:r>
        <w:t>elements,</w:t>
      </w:r>
      <w:r w:rsidR="006C6F09">
        <w:t xml:space="preserve"> </w:t>
      </w:r>
      <w:r>
        <w:t>on</w:t>
      </w:r>
      <w:r w:rsidR="006C6F09">
        <w:t xml:space="preserve"> </w:t>
      </w:r>
      <w:r>
        <w:t>a</w:t>
      </w:r>
      <w:r w:rsidR="006C6F09">
        <w:t xml:space="preserve"> </w:t>
      </w:r>
      <w:r>
        <w:t>level</w:t>
      </w:r>
      <w:r w:rsidR="006C6F09">
        <w:t xml:space="preserve"> </w:t>
      </w:r>
      <w:r>
        <w:t>appropriate</w:t>
      </w:r>
      <w:r w:rsidR="006C6F09">
        <w:t xml:space="preserve"> </w:t>
      </w:r>
      <w:r>
        <w:t>to</w:t>
      </w:r>
      <w:r w:rsidR="006C6F09">
        <w:t xml:space="preserve"> </w:t>
      </w:r>
      <w:r>
        <w:t>the</w:t>
      </w:r>
      <w:r w:rsidR="006C6F09">
        <w:t xml:space="preserve"> </w:t>
      </w:r>
      <w:r>
        <w:t>medium</w:t>
      </w:r>
      <w:r w:rsidR="006C6F09">
        <w:t xml:space="preserve"> </w:t>
      </w:r>
      <w:r>
        <w:t>used.</w:t>
      </w:r>
      <w:r w:rsidR="006C6F09">
        <w:t xml:space="preserve"> </w:t>
      </w:r>
      <w:r>
        <w:t>For</w:t>
      </w:r>
      <w:r w:rsidR="006C6F09">
        <w:t xml:space="preserve"> </w:t>
      </w:r>
      <w:r>
        <w:t>example,</w:t>
      </w:r>
      <w:r w:rsidR="006C6F09">
        <w:t xml:space="preserve"> </w:t>
      </w:r>
      <w:r>
        <w:t>internet</w:t>
      </w:r>
      <w:r w:rsidR="006C6F09">
        <w:t xml:space="preserve"> </w:t>
      </w:r>
      <w:r>
        <w:t>postings</w:t>
      </w:r>
      <w:r w:rsidR="006C6F09">
        <w:t xml:space="preserve"> </w:t>
      </w:r>
      <w:r>
        <w:t>and</w:t>
      </w:r>
      <w:r w:rsidR="006C6F09">
        <w:t xml:space="preserve"> </w:t>
      </w:r>
      <w:r>
        <w:t>newspaper</w:t>
      </w:r>
      <w:r w:rsidR="006C6F09">
        <w:t xml:space="preserve"> </w:t>
      </w:r>
      <w:r>
        <w:t>notices</w:t>
      </w:r>
      <w:r w:rsidR="006C6F09">
        <w:t xml:space="preserve"> </w:t>
      </w:r>
      <w:r>
        <w:t>may</w:t>
      </w:r>
      <w:r w:rsidR="006C6F09">
        <w:t xml:space="preserve"> </w:t>
      </w:r>
      <w:r>
        <w:t>contain</w:t>
      </w:r>
      <w:r w:rsidR="006C6F09">
        <w:t xml:space="preserve"> </w:t>
      </w:r>
      <w:r>
        <w:t>most</w:t>
      </w:r>
      <w:r w:rsidR="006C6F09">
        <w:t xml:space="preserve"> </w:t>
      </w:r>
      <w:r>
        <w:t>or</w:t>
      </w:r>
      <w:r w:rsidR="006C6F09">
        <w:t xml:space="preserve"> </w:t>
      </w:r>
      <w:r>
        <w:t>all</w:t>
      </w:r>
      <w:r w:rsidR="006C6F09">
        <w:t xml:space="preserve"> </w:t>
      </w:r>
      <w:r>
        <w:t>of</w:t>
      </w:r>
      <w:r w:rsidR="006C6F09">
        <w:t xml:space="preserve"> </w:t>
      </w:r>
      <w:r>
        <w:t>the</w:t>
      </w:r>
      <w:r w:rsidR="006C6F09">
        <w:t xml:space="preserve"> </w:t>
      </w:r>
      <w:r>
        <w:t>elements</w:t>
      </w:r>
      <w:r w:rsidR="006C6F09">
        <w:t xml:space="preserve"> </w:t>
      </w:r>
      <w:r>
        <w:t>shown</w:t>
      </w:r>
      <w:r w:rsidR="006C6F09">
        <w:t xml:space="preserve"> </w:t>
      </w:r>
      <w:r>
        <w:t>below,</w:t>
      </w:r>
      <w:r w:rsidR="006C6F09">
        <w:t xml:space="preserve"> </w:t>
      </w:r>
      <w:r>
        <w:t>but</w:t>
      </w:r>
      <w:r w:rsidR="006C6F09">
        <w:t xml:space="preserve"> </w:t>
      </w:r>
      <w:r>
        <w:t>changeable</w:t>
      </w:r>
      <w:r w:rsidR="006C6F09">
        <w:t xml:space="preserve"> </w:t>
      </w:r>
      <w:r>
        <w:t>message</w:t>
      </w:r>
      <w:r w:rsidR="006C6F09">
        <w:t xml:space="preserve"> </w:t>
      </w:r>
      <w:r>
        <w:t>signs,</w:t>
      </w:r>
      <w:r w:rsidR="006C6F09">
        <w:t xml:space="preserve"> </w:t>
      </w:r>
      <w:r>
        <w:t>due</w:t>
      </w:r>
      <w:r w:rsidR="006C6F09">
        <w:t xml:space="preserve"> </w:t>
      </w:r>
      <w:r>
        <w:t>to</w:t>
      </w:r>
      <w:r w:rsidR="006C6F09">
        <w:t xml:space="preserve"> </w:t>
      </w:r>
      <w:r>
        <w:t>their</w:t>
      </w:r>
      <w:r w:rsidR="006C6F09">
        <w:t xml:space="preserve"> </w:t>
      </w:r>
      <w:r>
        <w:t>size</w:t>
      </w:r>
      <w:r w:rsidR="006C6F09">
        <w:t xml:space="preserve"> </w:t>
      </w:r>
      <w:r>
        <w:t>limitations,</w:t>
      </w:r>
      <w:r w:rsidR="006C6F09">
        <w:t xml:space="preserve"> </w:t>
      </w:r>
      <w:r>
        <w:t>can</w:t>
      </w:r>
      <w:r w:rsidR="006C6F09">
        <w:t xml:space="preserve"> </w:t>
      </w:r>
      <w:r>
        <w:t>only</w:t>
      </w:r>
      <w:r w:rsidR="006C6F09">
        <w:t xml:space="preserve"> </w:t>
      </w:r>
      <w:r>
        <w:t>indicate</w:t>
      </w:r>
      <w:r w:rsidR="006C6F09">
        <w:t xml:space="preserve"> </w:t>
      </w:r>
      <w:r>
        <w:t>that</w:t>
      </w:r>
      <w:r w:rsidR="006C6F09">
        <w:t xml:space="preserve"> </w:t>
      </w:r>
      <w:r>
        <w:t>a</w:t>
      </w:r>
      <w:r w:rsidR="006C6F09">
        <w:t xml:space="preserve"> </w:t>
      </w:r>
      <w:r>
        <w:t>meeting</w:t>
      </w:r>
      <w:r w:rsidR="006C6F09">
        <w:t xml:space="preserve"> </w:t>
      </w:r>
      <w:r>
        <w:t>is</w:t>
      </w:r>
      <w:r w:rsidR="006C6F09">
        <w:t xml:space="preserve"> </w:t>
      </w:r>
      <w:r>
        <w:t>scheduled</w:t>
      </w:r>
      <w:r w:rsidR="006C6F09">
        <w:t xml:space="preserve"> </w:t>
      </w:r>
      <w:r>
        <w:t>for</w:t>
      </w:r>
      <w:r w:rsidR="006C6F09">
        <w:t xml:space="preserve"> </w:t>
      </w:r>
      <w:r>
        <w:t>a</w:t>
      </w:r>
      <w:r w:rsidR="006C6F09">
        <w:t xml:space="preserve"> </w:t>
      </w:r>
      <w:r>
        <w:t>particular</w:t>
      </w:r>
      <w:r w:rsidR="006C6F09">
        <w:t xml:space="preserve"> </w:t>
      </w:r>
      <w:r>
        <w:t>project</w:t>
      </w:r>
      <w:r w:rsidR="006C6F09">
        <w:t xml:space="preserve"> </w:t>
      </w:r>
      <w:r>
        <w:t>at</w:t>
      </w:r>
      <w:r w:rsidR="006C6F09">
        <w:t xml:space="preserve"> </w:t>
      </w:r>
      <w:r>
        <w:t>a</w:t>
      </w:r>
      <w:r w:rsidR="006C6F09">
        <w:t xml:space="preserve"> </w:t>
      </w:r>
      <w:r>
        <w:t>certain</w:t>
      </w:r>
      <w:r w:rsidR="006C6F09">
        <w:t xml:space="preserve"> </w:t>
      </w:r>
      <w:r>
        <w:t>location</w:t>
      </w:r>
      <w:r w:rsidR="006C6F09">
        <w:t xml:space="preserve"> </w:t>
      </w:r>
      <w:r>
        <w:t>and</w:t>
      </w:r>
      <w:r w:rsidR="006C6F09">
        <w:t xml:space="preserve"> </w:t>
      </w:r>
      <w:r>
        <w:t>time</w:t>
      </w:r>
      <w:r w:rsidR="006C6F09">
        <w:t xml:space="preserve"> </w:t>
      </w:r>
      <w:r>
        <w:t>(example:</w:t>
      </w:r>
      <w:r w:rsidR="006C6F09">
        <w:t xml:space="preserve"> </w:t>
      </w:r>
      <w:r>
        <w:t>US</w:t>
      </w:r>
      <w:r w:rsidR="006C6F09">
        <w:t xml:space="preserve"> </w:t>
      </w:r>
      <w:r>
        <w:t>290</w:t>
      </w:r>
      <w:r w:rsidR="006C6F09">
        <w:t xml:space="preserve"> </w:t>
      </w:r>
      <w:r>
        <w:t>meeting,</w:t>
      </w:r>
      <w:r w:rsidR="006C6F09">
        <w:t xml:space="preserve"> </w:t>
      </w:r>
      <w:r>
        <w:t>1</w:t>
      </w:r>
      <w:r w:rsidR="00246636">
        <w:t>-</w:t>
      </w:r>
      <w:r>
        <w:t>15</w:t>
      </w:r>
      <w:r w:rsidR="00246636">
        <w:t>-</w:t>
      </w:r>
      <w:r>
        <w:t>15,</w:t>
      </w:r>
      <w:r w:rsidR="006C6F09">
        <w:t xml:space="preserve"> </w:t>
      </w:r>
      <w:r>
        <w:t>Cypress</w:t>
      </w:r>
      <w:r w:rsidR="006C6F09">
        <w:t xml:space="preserve"> </w:t>
      </w:r>
      <w:r>
        <w:t>High</w:t>
      </w:r>
      <w:r w:rsidR="006C6F09">
        <w:t xml:space="preserve"> </w:t>
      </w:r>
      <w:r>
        <w:t>School,</w:t>
      </w:r>
      <w:r w:rsidR="006C6F09">
        <w:t xml:space="preserve"> </w:t>
      </w:r>
      <w:r>
        <w:t>7:30</w:t>
      </w:r>
      <w:r w:rsidR="006C6F09">
        <w:t xml:space="preserve"> </w:t>
      </w:r>
      <w:r>
        <w:t>PM)</w:t>
      </w:r>
      <w:r w:rsidR="006C6F09">
        <w:t xml:space="preserve"> </w:t>
      </w:r>
      <w:r>
        <w:t>and</w:t>
      </w:r>
      <w:r w:rsidR="006C6F09">
        <w:t xml:space="preserve"> </w:t>
      </w:r>
      <w:r>
        <w:t>must</w:t>
      </w:r>
      <w:r w:rsidR="006C6F09">
        <w:t xml:space="preserve"> </w:t>
      </w:r>
      <w:r>
        <w:t>comply</w:t>
      </w:r>
      <w:r w:rsidR="006C6F09">
        <w:t xml:space="preserve"> </w:t>
      </w:r>
      <w:r>
        <w:t>with</w:t>
      </w:r>
      <w:r w:rsidR="006C6F09">
        <w:t xml:space="preserve"> </w:t>
      </w:r>
      <w:r>
        <w:t>applicable</w:t>
      </w:r>
      <w:r w:rsidR="006C6F09">
        <w:t xml:space="preserve"> </w:t>
      </w:r>
      <w:r>
        <w:t>safety-related</w:t>
      </w:r>
      <w:r w:rsidR="006C6F09">
        <w:t xml:space="preserve"> </w:t>
      </w:r>
      <w:r>
        <w:t>requirements.</w:t>
      </w:r>
      <w:r w:rsidR="006C6F09">
        <w:t xml:space="preserve"> </w:t>
      </w:r>
      <w:r>
        <w:t>If</w:t>
      </w:r>
      <w:r w:rsidR="006C6F09">
        <w:t xml:space="preserve"> </w:t>
      </w:r>
      <w:r>
        <w:t>a</w:t>
      </w:r>
      <w:r w:rsidR="006C6F09">
        <w:t xml:space="preserve"> </w:t>
      </w:r>
      <w:r>
        <w:t>newspaper</w:t>
      </w:r>
      <w:r w:rsidR="006C6F09">
        <w:t xml:space="preserve"> </w:t>
      </w:r>
      <w:r>
        <w:t>is</w:t>
      </w:r>
      <w:r w:rsidR="006C6F09">
        <w:t xml:space="preserve"> </w:t>
      </w:r>
      <w:r>
        <w:t>selected</w:t>
      </w:r>
      <w:r w:rsidR="006C6F09">
        <w:t xml:space="preserve"> </w:t>
      </w:r>
      <w:r>
        <w:t>to</w:t>
      </w:r>
      <w:r w:rsidR="006C6F09">
        <w:t xml:space="preserve"> </w:t>
      </w:r>
      <w:r>
        <w:t>advertise</w:t>
      </w:r>
      <w:r w:rsidR="006C6F09">
        <w:t xml:space="preserve"> </w:t>
      </w:r>
      <w:r>
        <w:t>the</w:t>
      </w:r>
      <w:r w:rsidR="006C6F09">
        <w:t xml:space="preserve"> </w:t>
      </w:r>
      <w:r>
        <w:t>meeting,</w:t>
      </w:r>
      <w:r w:rsidR="006C6F09">
        <w:t xml:space="preserve"> </w:t>
      </w:r>
      <w:r>
        <w:t>a</w:t>
      </w:r>
      <w:r w:rsidR="006C6F09">
        <w:t xml:space="preserve"> </w:t>
      </w:r>
      <w:r>
        <w:t>display</w:t>
      </w:r>
      <w:r w:rsidR="006C6F09">
        <w:t xml:space="preserve"> </w:t>
      </w:r>
      <w:r>
        <w:t>ad</w:t>
      </w:r>
      <w:r w:rsidR="006C6F09">
        <w:t xml:space="preserve"> </w:t>
      </w:r>
      <w:r>
        <w:t>can</w:t>
      </w:r>
      <w:r w:rsidR="006C6F09">
        <w:t xml:space="preserve"> </w:t>
      </w:r>
      <w:r>
        <w:t>serve</w:t>
      </w:r>
      <w:r w:rsidR="006C6F09">
        <w:t xml:space="preserve"> </w:t>
      </w:r>
      <w:r>
        <w:t>as</w:t>
      </w:r>
      <w:r w:rsidR="006C6F09">
        <w:t xml:space="preserve"> </w:t>
      </w:r>
      <w:r>
        <w:t>the</w:t>
      </w:r>
      <w:r w:rsidR="006C6F09">
        <w:t xml:space="preserve"> </w:t>
      </w:r>
      <w:r>
        <w:t>public</w:t>
      </w:r>
      <w:r w:rsidR="006C6F09">
        <w:t xml:space="preserve"> </w:t>
      </w:r>
      <w:r>
        <w:t>meeting</w:t>
      </w:r>
      <w:r w:rsidR="006C6F09">
        <w:t xml:space="preserve"> </w:t>
      </w:r>
      <w:r>
        <w:t>notice.</w:t>
      </w:r>
      <w:r w:rsidR="006C6F09">
        <w:t xml:space="preserve"> </w:t>
      </w:r>
      <w:r>
        <w:t>A</w:t>
      </w:r>
      <w:r w:rsidR="006C6F09">
        <w:t xml:space="preserve"> </w:t>
      </w:r>
      <w:r>
        <w:t>display</w:t>
      </w:r>
      <w:r w:rsidR="006C6F09">
        <w:t xml:space="preserve"> </w:t>
      </w:r>
      <w:r>
        <w:t>ad</w:t>
      </w:r>
      <w:r w:rsidR="006C6F09">
        <w:t xml:space="preserve"> </w:t>
      </w:r>
      <w:r>
        <w:t>is</w:t>
      </w:r>
      <w:r w:rsidR="006C6F09">
        <w:t xml:space="preserve"> </w:t>
      </w:r>
      <w:r>
        <w:t>more</w:t>
      </w:r>
      <w:r w:rsidR="006C6F09">
        <w:t xml:space="preserve"> </w:t>
      </w:r>
      <w:r>
        <w:t>visible</w:t>
      </w:r>
      <w:r w:rsidR="006C6F09">
        <w:t xml:space="preserve"> </w:t>
      </w:r>
      <w:r>
        <w:t>and</w:t>
      </w:r>
      <w:r w:rsidR="006C6F09">
        <w:t xml:space="preserve"> </w:t>
      </w:r>
      <w:r>
        <w:t>allows</w:t>
      </w:r>
      <w:r w:rsidR="006C6F09">
        <w:t xml:space="preserve"> </w:t>
      </w:r>
      <w:r>
        <w:t>some</w:t>
      </w:r>
      <w:r w:rsidR="006C6F09">
        <w:t xml:space="preserve"> </w:t>
      </w:r>
      <w:r>
        <w:t>control</w:t>
      </w:r>
      <w:r w:rsidR="006C6F09">
        <w:t xml:space="preserve"> </w:t>
      </w:r>
      <w:r>
        <w:t>over</w:t>
      </w:r>
      <w:r w:rsidR="006C6F09">
        <w:t xml:space="preserve"> </w:t>
      </w:r>
      <w:r>
        <w:t>the</w:t>
      </w:r>
      <w:r w:rsidR="006C6F09">
        <w:t xml:space="preserve"> </w:t>
      </w:r>
      <w:r>
        <w:t>ad</w:t>
      </w:r>
      <w:r w:rsidR="006C6F09">
        <w:t xml:space="preserve"> </w:t>
      </w:r>
      <w:r>
        <w:t>placement</w:t>
      </w:r>
      <w:r w:rsidR="006C6F09">
        <w:t xml:space="preserve"> </w:t>
      </w:r>
      <w:r>
        <w:t>and</w:t>
      </w:r>
      <w:r w:rsidR="006C6F09">
        <w:t xml:space="preserve"> </w:t>
      </w:r>
      <w:r>
        <w:t>size.</w:t>
      </w:r>
      <w:r w:rsidR="006C6F09">
        <w:t xml:space="preserve"> </w:t>
      </w:r>
      <w:r>
        <w:t>The</w:t>
      </w:r>
      <w:r w:rsidR="006C6F09">
        <w:t xml:space="preserve"> </w:t>
      </w:r>
      <w:r>
        <w:t>notice</w:t>
      </w:r>
      <w:r w:rsidR="006C6F09">
        <w:t xml:space="preserve"> </w:t>
      </w:r>
      <w:r>
        <w:t>can</w:t>
      </w:r>
      <w:r w:rsidR="006C6F09">
        <w:t xml:space="preserve"> </w:t>
      </w:r>
      <w:r>
        <w:t>be</w:t>
      </w:r>
      <w:r w:rsidR="006C6F09">
        <w:t xml:space="preserve"> </w:t>
      </w:r>
      <w:r>
        <w:t>published</w:t>
      </w:r>
      <w:r w:rsidR="006C6F09">
        <w:t xml:space="preserve"> </w:t>
      </w:r>
      <w:r>
        <w:t>in</w:t>
      </w:r>
      <w:r w:rsidR="006C6F09">
        <w:t xml:space="preserve"> </w:t>
      </w:r>
      <w:r>
        <w:t>any</w:t>
      </w:r>
      <w:r w:rsidR="006C6F09">
        <w:t xml:space="preserve"> </w:t>
      </w:r>
      <w:r>
        <w:t>section</w:t>
      </w:r>
      <w:r w:rsidR="006C6F09">
        <w:t xml:space="preserve"> </w:t>
      </w:r>
      <w:r>
        <w:t>of</w:t>
      </w:r>
      <w:r w:rsidR="006C6F09">
        <w:t xml:space="preserve"> </w:t>
      </w:r>
      <w:r>
        <w:t>the</w:t>
      </w:r>
      <w:r w:rsidR="006C6F09">
        <w:t xml:space="preserve"> </w:t>
      </w:r>
      <w:r>
        <w:t>newspaper</w:t>
      </w:r>
      <w:r w:rsidR="006C6F09">
        <w:t xml:space="preserve"> </w:t>
      </w:r>
      <w:r>
        <w:t>and</w:t>
      </w:r>
      <w:r w:rsidR="006C6F09">
        <w:t xml:space="preserve"> </w:t>
      </w:r>
      <w:r>
        <w:t>in</w:t>
      </w:r>
      <w:r w:rsidR="006C6F09">
        <w:t xml:space="preserve"> </w:t>
      </w:r>
      <w:r>
        <w:t>any</w:t>
      </w:r>
      <w:r w:rsidR="006C6F09">
        <w:t xml:space="preserve"> </w:t>
      </w:r>
      <w:r>
        <w:t>format,</w:t>
      </w:r>
      <w:r w:rsidR="006C6F09">
        <w:t xml:space="preserve"> </w:t>
      </w:r>
      <w:r>
        <w:t>although</w:t>
      </w:r>
      <w:r w:rsidR="006C6F09">
        <w:t xml:space="preserve"> </w:t>
      </w:r>
      <w:r>
        <w:t>it</w:t>
      </w:r>
      <w:r w:rsidR="006C6F09">
        <w:t xml:space="preserve"> </w:t>
      </w:r>
      <w:r>
        <w:t>is</w:t>
      </w:r>
      <w:r w:rsidR="006C6F09">
        <w:t xml:space="preserve"> </w:t>
      </w:r>
      <w:r>
        <w:t>recommended</w:t>
      </w:r>
      <w:r w:rsidR="006C6F09">
        <w:t xml:space="preserve"> </w:t>
      </w:r>
      <w:r>
        <w:t>that</w:t>
      </w:r>
      <w:r w:rsidR="006C6F09">
        <w:t xml:space="preserve"> </w:t>
      </w:r>
      <w:r>
        <w:t>the</w:t>
      </w:r>
      <w:r w:rsidR="006C6F09">
        <w:t xml:space="preserve"> </w:t>
      </w:r>
      <w:r>
        <w:t>notice</w:t>
      </w:r>
      <w:r w:rsidR="006C6F09">
        <w:t xml:space="preserve"> </w:t>
      </w:r>
      <w:r w:rsidR="00E94AF6">
        <w:t>is</w:t>
      </w:r>
      <w:r w:rsidR="006C6F09">
        <w:t xml:space="preserve"> </w:t>
      </w:r>
      <w:r w:rsidR="00E94AF6">
        <w:t>not</w:t>
      </w:r>
      <w:r w:rsidR="006C6F09">
        <w:t xml:space="preserve"> </w:t>
      </w:r>
      <w:r>
        <w:t>published</w:t>
      </w:r>
      <w:r w:rsidR="006C6F09">
        <w:t xml:space="preserve"> </w:t>
      </w:r>
      <w:r>
        <w:t>in</w:t>
      </w:r>
      <w:r w:rsidR="006C6F09">
        <w:t xml:space="preserve"> </w:t>
      </w:r>
      <w:r>
        <w:t>the</w:t>
      </w:r>
      <w:r w:rsidR="006C6F09">
        <w:t xml:space="preserve"> </w:t>
      </w:r>
      <w:r>
        <w:t>legal</w:t>
      </w:r>
      <w:r w:rsidR="006C6F09">
        <w:t xml:space="preserve"> </w:t>
      </w:r>
      <w:r>
        <w:t>notices</w:t>
      </w:r>
      <w:r w:rsidR="006C6F09">
        <w:t xml:space="preserve"> </w:t>
      </w:r>
      <w:r>
        <w:t>section.</w:t>
      </w:r>
      <w:r w:rsidR="006C6F09">
        <w:t xml:space="preserve"> </w:t>
      </w:r>
      <w:r>
        <w:t>It</w:t>
      </w:r>
      <w:r w:rsidR="006C6F09">
        <w:t xml:space="preserve"> </w:t>
      </w:r>
      <w:r>
        <w:t>is</w:t>
      </w:r>
      <w:r w:rsidR="006C6F09">
        <w:t xml:space="preserve"> </w:t>
      </w:r>
      <w:r>
        <w:t>important</w:t>
      </w:r>
      <w:r w:rsidR="006C6F09">
        <w:t xml:space="preserve"> </w:t>
      </w:r>
      <w:r>
        <w:t>to</w:t>
      </w:r>
      <w:r w:rsidR="006C6F09">
        <w:t xml:space="preserve"> </w:t>
      </w:r>
      <w:r>
        <w:t>relay</w:t>
      </w:r>
      <w:r w:rsidR="006C6F09">
        <w:t xml:space="preserve"> </w:t>
      </w:r>
      <w:r>
        <w:t>as</w:t>
      </w:r>
      <w:r w:rsidR="006C6F09">
        <w:t xml:space="preserve"> </w:t>
      </w:r>
      <w:r>
        <w:t>much</w:t>
      </w:r>
      <w:r w:rsidR="006C6F09">
        <w:t xml:space="preserve"> </w:t>
      </w:r>
      <w:r>
        <w:t>of</w:t>
      </w:r>
      <w:r w:rsidR="006C6F09">
        <w:t xml:space="preserve"> </w:t>
      </w:r>
      <w:r>
        <w:t>the</w:t>
      </w:r>
      <w:r w:rsidR="006C6F09">
        <w:t xml:space="preserve"> </w:t>
      </w:r>
      <w:r>
        <w:t>context</w:t>
      </w:r>
      <w:r w:rsidR="006C6F09">
        <w:t xml:space="preserve"> </w:t>
      </w:r>
      <w:r>
        <w:t>of</w:t>
      </w:r>
      <w:r w:rsidR="006C6F09">
        <w:t xml:space="preserve"> </w:t>
      </w:r>
      <w:r>
        <w:t>the</w:t>
      </w:r>
      <w:r w:rsidR="006C6F09">
        <w:t xml:space="preserve"> </w:t>
      </w:r>
      <w:r>
        <w:t>proposed</w:t>
      </w:r>
      <w:r w:rsidR="006C6F09">
        <w:t xml:space="preserve"> </w:t>
      </w:r>
      <w:r>
        <w:t>project</w:t>
      </w:r>
      <w:r w:rsidR="006C6F09">
        <w:t xml:space="preserve"> </w:t>
      </w:r>
      <w:r>
        <w:t>to</w:t>
      </w:r>
      <w:r w:rsidR="006C6F09">
        <w:t xml:space="preserve"> </w:t>
      </w:r>
      <w:r>
        <w:t>the</w:t>
      </w:r>
      <w:r w:rsidR="006C6F09">
        <w:t xml:space="preserve"> </w:t>
      </w:r>
      <w:r>
        <w:t>public</w:t>
      </w:r>
      <w:r w:rsidR="006C6F09">
        <w:t xml:space="preserve"> </w:t>
      </w:r>
      <w:r>
        <w:t>as</w:t>
      </w:r>
      <w:r w:rsidR="006C6F09">
        <w:t xml:space="preserve"> </w:t>
      </w:r>
      <w:r>
        <w:t>possible</w:t>
      </w:r>
      <w:r w:rsidR="006C6F09">
        <w:t xml:space="preserve"> </w:t>
      </w:r>
      <w:r>
        <w:t>to</w:t>
      </w:r>
      <w:r w:rsidR="006C6F09">
        <w:t xml:space="preserve"> </w:t>
      </w:r>
      <w:r>
        <w:t>ensure</w:t>
      </w:r>
      <w:r w:rsidR="006C6F09">
        <w:t xml:space="preserve"> </w:t>
      </w:r>
      <w:r>
        <w:t>proper</w:t>
      </w:r>
      <w:r w:rsidR="006C6F09">
        <w:t xml:space="preserve"> </w:t>
      </w:r>
      <w:r>
        <w:t>advertisement</w:t>
      </w:r>
      <w:r w:rsidR="006C6F09">
        <w:t xml:space="preserve"> </w:t>
      </w:r>
      <w:r w:rsidR="005A6693">
        <w:t>for</w:t>
      </w:r>
      <w:r w:rsidR="006C6F09">
        <w:t xml:space="preserve"> </w:t>
      </w:r>
      <w:r>
        <w:t>the</w:t>
      </w:r>
      <w:r w:rsidR="006C6F09">
        <w:t xml:space="preserve"> </w:t>
      </w:r>
      <w:r>
        <w:t>meeting.</w:t>
      </w:r>
    </w:p>
    <w:p w14:paraId="2607FFF7" w14:textId="1B937841" w:rsidR="00457754" w:rsidRDefault="00457754" w:rsidP="00457754">
      <w:r>
        <w:lastRenderedPageBreak/>
        <w:t>The</w:t>
      </w:r>
      <w:r w:rsidR="006C6F09">
        <w:t xml:space="preserve"> </w:t>
      </w:r>
      <w:r>
        <w:t>following</w:t>
      </w:r>
      <w:r w:rsidR="006C6F09">
        <w:t xml:space="preserve"> </w:t>
      </w:r>
      <w:r>
        <w:t>list</w:t>
      </w:r>
      <w:r w:rsidR="006C6F09">
        <w:t xml:space="preserve"> </w:t>
      </w:r>
      <w:r>
        <w:t>provides</w:t>
      </w:r>
      <w:r w:rsidR="006C6F09">
        <w:t xml:space="preserve"> </w:t>
      </w:r>
      <w:r>
        <w:t>suggested</w:t>
      </w:r>
      <w:r w:rsidR="006C6F09">
        <w:t xml:space="preserve"> </w:t>
      </w:r>
      <w:r>
        <w:t>items</w:t>
      </w:r>
      <w:r w:rsidR="006C6F09">
        <w:t xml:space="preserve"> </w:t>
      </w:r>
      <w:r>
        <w:t>to</w:t>
      </w:r>
      <w:r w:rsidR="006C6F09">
        <w:t xml:space="preserve"> </w:t>
      </w:r>
      <w:r>
        <w:t>include</w:t>
      </w:r>
      <w:r w:rsidR="006C6F09">
        <w:t xml:space="preserve"> </w:t>
      </w:r>
      <w:r>
        <w:t>in</w:t>
      </w:r>
      <w:r w:rsidR="006C6F09">
        <w:t xml:space="preserve"> </w:t>
      </w:r>
      <w:r>
        <w:t>public</w:t>
      </w:r>
      <w:r w:rsidR="006C6F09">
        <w:t xml:space="preserve"> </w:t>
      </w:r>
      <w:r>
        <w:t>meeting</w:t>
      </w:r>
      <w:r w:rsidR="006C6F09">
        <w:t xml:space="preserve"> </w:t>
      </w:r>
      <w:r>
        <w:t>notices.</w:t>
      </w:r>
      <w:r w:rsidR="006C6F09">
        <w:t xml:space="preserve"> </w:t>
      </w:r>
      <w:r>
        <w:t>The</w:t>
      </w:r>
      <w:r w:rsidR="006C6F09">
        <w:t xml:space="preserve"> </w:t>
      </w:r>
      <w:r>
        <w:t>amount</w:t>
      </w:r>
      <w:r w:rsidR="006C6F09">
        <w:t xml:space="preserve"> </w:t>
      </w:r>
      <w:r>
        <w:t>of</w:t>
      </w:r>
      <w:r w:rsidR="006C6F09">
        <w:t xml:space="preserve"> </w:t>
      </w:r>
      <w:r>
        <w:t>information</w:t>
      </w:r>
      <w:r w:rsidR="006C6F09">
        <w:t xml:space="preserve"> </w:t>
      </w:r>
      <w:r>
        <w:t>in</w:t>
      </w:r>
      <w:r w:rsidR="006C6F09">
        <w:t xml:space="preserve"> </w:t>
      </w:r>
      <w:r>
        <w:t>a</w:t>
      </w:r>
      <w:r w:rsidR="006C6F09">
        <w:t xml:space="preserve"> </w:t>
      </w:r>
      <w:r>
        <w:t>public</w:t>
      </w:r>
      <w:r w:rsidR="006C6F09">
        <w:t xml:space="preserve"> </w:t>
      </w:r>
      <w:r>
        <w:t>meeting</w:t>
      </w:r>
      <w:r w:rsidR="006C6F09">
        <w:t xml:space="preserve"> </w:t>
      </w:r>
      <w:r>
        <w:t>notice</w:t>
      </w:r>
      <w:r w:rsidR="006C6F09">
        <w:t xml:space="preserve"> </w:t>
      </w:r>
      <w:r>
        <w:t>is</w:t>
      </w:r>
      <w:r w:rsidR="006C6F09">
        <w:t xml:space="preserve"> </w:t>
      </w:r>
      <w:r>
        <w:t>reflective</w:t>
      </w:r>
      <w:r w:rsidR="006C6F09">
        <w:t xml:space="preserve"> </w:t>
      </w:r>
      <w:r>
        <w:t>of</w:t>
      </w:r>
      <w:r w:rsidR="006C6F09">
        <w:t xml:space="preserve"> </w:t>
      </w:r>
      <w:r>
        <w:t>the</w:t>
      </w:r>
      <w:r w:rsidR="006C6F09">
        <w:t xml:space="preserve"> </w:t>
      </w:r>
      <w:r>
        <w:t>type</w:t>
      </w:r>
      <w:r w:rsidR="006C6F09">
        <w:t xml:space="preserve"> </w:t>
      </w:r>
      <w:r>
        <w:t>of</w:t>
      </w:r>
      <w:r w:rsidR="006C6F09">
        <w:t xml:space="preserve"> </w:t>
      </w:r>
      <w:r>
        <w:t>advertisement</w:t>
      </w:r>
      <w:r w:rsidR="006C6F09">
        <w:t xml:space="preserve"> </w:t>
      </w:r>
      <w:r>
        <w:t>being</w:t>
      </w:r>
      <w:r w:rsidR="006C6F09">
        <w:t xml:space="preserve"> </w:t>
      </w:r>
      <w:r>
        <w:t>used.</w:t>
      </w:r>
    </w:p>
    <w:p w14:paraId="1BF36CCA" w14:textId="15887027" w:rsidR="00457754" w:rsidRPr="00020AF4" w:rsidRDefault="00457754" w:rsidP="00457754">
      <w:pPr>
        <w:pStyle w:val="ListNumber"/>
        <w:ind w:left="360" w:hanging="360"/>
        <w:rPr>
          <w:rStyle w:val="LineNumber"/>
        </w:rPr>
      </w:pPr>
      <w:r w:rsidRPr="00020AF4">
        <w:rPr>
          <w:rStyle w:val="LineNumber"/>
        </w:rPr>
        <w:t>Identify</w:t>
      </w:r>
      <w:r w:rsidR="006C6F09">
        <w:rPr>
          <w:rStyle w:val="LineNumber"/>
        </w:rPr>
        <w:t xml:space="preserve"> </w:t>
      </w:r>
      <w:r w:rsidRPr="00020AF4">
        <w:rPr>
          <w:rStyle w:val="LineNumber"/>
        </w:rPr>
        <w:t>the</w:t>
      </w:r>
      <w:r w:rsidR="006C6F09">
        <w:rPr>
          <w:rStyle w:val="LineNumber"/>
        </w:rPr>
        <w:t xml:space="preserve"> </w:t>
      </w:r>
      <w:r w:rsidRPr="00020AF4">
        <w:rPr>
          <w:rStyle w:val="LineNumber"/>
        </w:rPr>
        <w:t>date,</w:t>
      </w:r>
      <w:r w:rsidR="006C6F09">
        <w:rPr>
          <w:rStyle w:val="LineNumber"/>
        </w:rPr>
        <w:t xml:space="preserve"> </w:t>
      </w:r>
      <w:r w:rsidRPr="00020AF4">
        <w:rPr>
          <w:rStyle w:val="LineNumber"/>
        </w:rPr>
        <w:t>time,</w:t>
      </w:r>
      <w:r w:rsidR="006C6F09">
        <w:rPr>
          <w:rStyle w:val="LineNumber"/>
        </w:rPr>
        <w:t xml:space="preserve"> </w:t>
      </w:r>
      <w:r w:rsidRPr="00020AF4">
        <w:rPr>
          <w:rStyle w:val="LineNumber"/>
        </w:rPr>
        <w:t>and</w:t>
      </w:r>
      <w:r w:rsidR="006C6F09">
        <w:rPr>
          <w:rStyle w:val="LineNumber"/>
        </w:rPr>
        <w:t xml:space="preserve"> </w:t>
      </w:r>
      <w:r w:rsidRPr="00020AF4">
        <w:rPr>
          <w:rStyle w:val="LineNumber"/>
        </w:rPr>
        <w:t>location</w:t>
      </w:r>
      <w:r w:rsidR="006C6F09">
        <w:rPr>
          <w:rStyle w:val="LineNumber"/>
        </w:rPr>
        <w:t xml:space="preserve"> </w:t>
      </w:r>
      <w:r w:rsidRPr="00020AF4">
        <w:rPr>
          <w:rStyle w:val="LineNumber"/>
        </w:rPr>
        <w:t>of</w:t>
      </w:r>
      <w:r w:rsidR="006C6F09">
        <w:rPr>
          <w:rStyle w:val="LineNumber"/>
        </w:rPr>
        <w:t xml:space="preserve"> </w:t>
      </w:r>
      <w:r w:rsidRPr="00020AF4">
        <w:rPr>
          <w:rStyle w:val="LineNumber"/>
        </w:rPr>
        <w:t>the</w:t>
      </w:r>
      <w:r w:rsidR="006C6F09">
        <w:rPr>
          <w:rStyle w:val="LineNumber"/>
        </w:rPr>
        <w:t xml:space="preserve"> </w:t>
      </w:r>
      <w:r w:rsidRPr="00020AF4">
        <w:rPr>
          <w:rStyle w:val="LineNumber"/>
        </w:rPr>
        <w:t>public</w:t>
      </w:r>
      <w:r w:rsidR="006C6F09">
        <w:rPr>
          <w:rStyle w:val="LineNumber"/>
        </w:rPr>
        <w:t xml:space="preserve"> </w:t>
      </w:r>
      <w:r w:rsidRPr="00020AF4">
        <w:rPr>
          <w:rStyle w:val="LineNumber"/>
        </w:rPr>
        <w:t>meeting.</w:t>
      </w:r>
      <w:r w:rsidR="006C6F09">
        <w:rPr>
          <w:rStyle w:val="LineNumber"/>
        </w:rPr>
        <w:t xml:space="preserve"> </w:t>
      </w:r>
      <w:r w:rsidRPr="00020AF4">
        <w:rPr>
          <w:rStyle w:val="LineNumber"/>
        </w:rPr>
        <w:t>Identify</w:t>
      </w:r>
      <w:r w:rsidR="006C6F09">
        <w:rPr>
          <w:rStyle w:val="LineNumber"/>
        </w:rPr>
        <w:t xml:space="preserve"> </w:t>
      </w:r>
      <w:r w:rsidRPr="00020AF4">
        <w:rPr>
          <w:rStyle w:val="LineNumber"/>
        </w:rPr>
        <w:t>the</w:t>
      </w:r>
      <w:r w:rsidR="006C6F09">
        <w:rPr>
          <w:rStyle w:val="LineNumber"/>
        </w:rPr>
        <w:t xml:space="preserve"> </w:t>
      </w:r>
      <w:r w:rsidRPr="00020AF4">
        <w:rPr>
          <w:rStyle w:val="LineNumber"/>
        </w:rPr>
        <w:t>lead</w:t>
      </w:r>
      <w:r w:rsidR="006C6F09">
        <w:rPr>
          <w:rStyle w:val="LineNumber"/>
        </w:rPr>
        <w:t xml:space="preserve"> </w:t>
      </w:r>
      <w:r w:rsidRPr="00020AF4">
        <w:rPr>
          <w:rStyle w:val="LineNumber"/>
        </w:rPr>
        <w:t>agency</w:t>
      </w:r>
      <w:r w:rsidR="006C6F09">
        <w:rPr>
          <w:rStyle w:val="LineNumber"/>
        </w:rPr>
        <w:t xml:space="preserve"> </w:t>
      </w:r>
      <w:r w:rsidRPr="00020AF4">
        <w:rPr>
          <w:rStyle w:val="LineNumber"/>
        </w:rPr>
        <w:t>that</w:t>
      </w:r>
      <w:r w:rsidR="006C6F09">
        <w:rPr>
          <w:rStyle w:val="LineNumber"/>
        </w:rPr>
        <w:t xml:space="preserve"> </w:t>
      </w:r>
      <w:r w:rsidRPr="00020AF4">
        <w:rPr>
          <w:rStyle w:val="LineNumber"/>
        </w:rPr>
        <w:t>will</w:t>
      </w:r>
      <w:r w:rsidR="006C6F09">
        <w:rPr>
          <w:rStyle w:val="LineNumber"/>
        </w:rPr>
        <w:t xml:space="preserve"> </w:t>
      </w:r>
      <w:r w:rsidRPr="00020AF4">
        <w:rPr>
          <w:rStyle w:val="LineNumber"/>
        </w:rPr>
        <w:t>ultimately</w:t>
      </w:r>
      <w:r w:rsidR="006C6F09">
        <w:rPr>
          <w:rStyle w:val="LineNumber"/>
        </w:rPr>
        <w:t xml:space="preserve"> </w:t>
      </w:r>
      <w:r w:rsidRPr="00020AF4">
        <w:rPr>
          <w:rStyle w:val="LineNumber"/>
        </w:rPr>
        <w:t>approve</w:t>
      </w:r>
      <w:r w:rsidR="006C6F09">
        <w:rPr>
          <w:rStyle w:val="LineNumber"/>
        </w:rPr>
        <w:t xml:space="preserve"> </w:t>
      </w:r>
      <w:r w:rsidRPr="00020AF4">
        <w:rPr>
          <w:rStyle w:val="LineNumber"/>
        </w:rPr>
        <w:t>the</w:t>
      </w:r>
      <w:r w:rsidR="006C6F09">
        <w:rPr>
          <w:rStyle w:val="LineNumber"/>
        </w:rPr>
        <w:t xml:space="preserve"> </w:t>
      </w:r>
      <w:r w:rsidRPr="00020AF4">
        <w:rPr>
          <w:rStyle w:val="LineNumber"/>
        </w:rPr>
        <w:t>environmental</w:t>
      </w:r>
      <w:r w:rsidR="006C6F09">
        <w:rPr>
          <w:rStyle w:val="LineNumber"/>
        </w:rPr>
        <w:t xml:space="preserve"> </w:t>
      </w:r>
      <w:r w:rsidRPr="00020AF4">
        <w:rPr>
          <w:rStyle w:val="LineNumber"/>
        </w:rPr>
        <w:t>review</w:t>
      </w:r>
      <w:r w:rsidR="006C6F09">
        <w:rPr>
          <w:rStyle w:val="LineNumber"/>
        </w:rPr>
        <w:t xml:space="preserve"> </w:t>
      </w:r>
      <w:r w:rsidRPr="00020AF4">
        <w:rPr>
          <w:rStyle w:val="LineNumber"/>
        </w:rPr>
        <w:t>(TxDOT</w:t>
      </w:r>
      <w:r w:rsidR="006C6F09">
        <w:rPr>
          <w:rStyle w:val="LineNumber"/>
        </w:rPr>
        <w:t xml:space="preserve"> </w:t>
      </w:r>
      <w:r w:rsidRPr="00020AF4">
        <w:rPr>
          <w:rStyle w:val="LineNumber"/>
        </w:rPr>
        <w:t>for</w:t>
      </w:r>
      <w:r w:rsidR="006C6F09">
        <w:rPr>
          <w:rStyle w:val="LineNumber"/>
        </w:rPr>
        <w:t xml:space="preserve"> </w:t>
      </w:r>
      <w:r w:rsidRPr="00020AF4">
        <w:rPr>
          <w:rStyle w:val="LineNumber"/>
        </w:rPr>
        <w:t>a</w:t>
      </w:r>
      <w:r w:rsidR="006C6F09">
        <w:rPr>
          <w:rStyle w:val="LineNumber"/>
        </w:rPr>
        <w:t xml:space="preserve"> </w:t>
      </w:r>
      <w:r w:rsidRPr="00020AF4">
        <w:rPr>
          <w:rStyle w:val="LineNumber"/>
        </w:rPr>
        <w:t>state</w:t>
      </w:r>
      <w:r w:rsidR="006C6F09">
        <w:rPr>
          <w:rStyle w:val="LineNumber"/>
        </w:rPr>
        <w:t xml:space="preserve"> </w:t>
      </w:r>
      <w:r w:rsidRPr="00020AF4">
        <w:rPr>
          <w:rStyle w:val="LineNumber"/>
        </w:rPr>
        <w:t>or</w:t>
      </w:r>
      <w:r w:rsidR="006C6F09">
        <w:rPr>
          <w:rStyle w:val="LineNumber"/>
        </w:rPr>
        <w:t xml:space="preserve"> </w:t>
      </w:r>
      <w:r w:rsidRPr="00020AF4">
        <w:rPr>
          <w:rStyle w:val="LineNumber"/>
        </w:rPr>
        <w:t>FHWA</w:t>
      </w:r>
      <w:r w:rsidR="006C6F09">
        <w:rPr>
          <w:rStyle w:val="LineNumber"/>
        </w:rPr>
        <w:t xml:space="preserve"> </w:t>
      </w:r>
      <w:r w:rsidRPr="00020AF4">
        <w:rPr>
          <w:rStyle w:val="LineNumber"/>
        </w:rPr>
        <w:t>NEPA-assigned</w:t>
      </w:r>
      <w:r w:rsidR="006C6F09">
        <w:rPr>
          <w:rStyle w:val="LineNumber"/>
        </w:rPr>
        <w:t xml:space="preserve"> </w:t>
      </w:r>
      <w:r w:rsidRPr="00020AF4">
        <w:rPr>
          <w:rStyle w:val="LineNumber"/>
        </w:rPr>
        <w:t>project,</w:t>
      </w:r>
      <w:r w:rsidR="006C6F09">
        <w:rPr>
          <w:rStyle w:val="LineNumber"/>
        </w:rPr>
        <w:t xml:space="preserve"> </w:t>
      </w:r>
      <w:r w:rsidRPr="00020AF4">
        <w:rPr>
          <w:rStyle w:val="LineNumber"/>
        </w:rPr>
        <w:t>FHWA</w:t>
      </w:r>
      <w:r w:rsidR="006C6F09">
        <w:rPr>
          <w:rStyle w:val="LineNumber"/>
        </w:rPr>
        <w:t xml:space="preserve"> </w:t>
      </w:r>
      <w:r w:rsidRPr="00020AF4">
        <w:rPr>
          <w:rStyle w:val="LineNumber"/>
        </w:rPr>
        <w:t>for</w:t>
      </w:r>
      <w:r w:rsidR="006C6F09">
        <w:rPr>
          <w:rStyle w:val="LineNumber"/>
        </w:rPr>
        <w:t xml:space="preserve"> </w:t>
      </w:r>
      <w:r w:rsidRPr="00020AF4">
        <w:rPr>
          <w:rStyle w:val="LineNumber"/>
        </w:rPr>
        <w:t>a</w:t>
      </w:r>
      <w:r w:rsidR="006C6F09">
        <w:rPr>
          <w:rStyle w:val="LineNumber"/>
        </w:rPr>
        <w:t xml:space="preserve"> </w:t>
      </w:r>
      <w:r w:rsidRPr="00020AF4">
        <w:rPr>
          <w:rStyle w:val="LineNumber"/>
        </w:rPr>
        <w:t>non-NEPA</w:t>
      </w:r>
      <w:r w:rsidR="006C6F09">
        <w:rPr>
          <w:rStyle w:val="LineNumber"/>
        </w:rPr>
        <w:t xml:space="preserve"> </w:t>
      </w:r>
      <w:r w:rsidRPr="00020AF4">
        <w:rPr>
          <w:rStyle w:val="LineNumber"/>
        </w:rPr>
        <w:t>assigned</w:t>
      </w:r>
      <w:r w:rsidR="006C6F09">
        <w:rPr>
          <w:rStyle w:val="LineNumber"/>
        </w:rPr>
        <w:t xml:space="preserve"> </w:t>
      </w:r>
      <w:r w:rsidRPr="00020AF4">
        <w:rPr>
          <w:rStyle w:val="LineNumber"/>
        </w:rPr>
        <w:t>project),</w:t>
      </w:r>
      <w:r w:rsidR="006C6F09">
        <w:rPr>
          <w:rStyle w:val="LineNumber"/>
        </w:rPr>
        <w:t xml:space="preserve"> </w:t>
      </w:r>
      <w:r w:rsidRPr="00020AF4">
        <w:rPr>
          <w:rStyle w:val="LineNumber"/>
        </w:rPr>
        <w:t>and</w:t>
      </w:r>
      <w:r w:rsidR="006C6F09">
        <w:rPr>
          <w:rStyle w:val="LineNumber"/>
        </w:rPr>
        <w:t xml:space="preserve"> </w:t>
      </w:r>
      <w:r w:rsidRPr="00020AF4">
        <w:rPr>
          <w:rStyle w:val="LineNumber"/>
        </w:rPr>
        <w:t>reference</w:t>
      </w:r>
      <w:r w:rsidR="006C6F09">
        <w:rPr>
          <w:rStyle w:val="LineNumber"/>
        </w:rPr>
        <w:t xml:space="preserve"> </w:t>
      </w:r>
      <w:r w:rsidRPr="00020AF4">
        <w:rPr>
          <w:rStyle w:val="LineNumber"/>
        </w:rPr>
        <w:t>any</w:t>
      </w:r>
      <w:r w:rsidR="006C6F09">
        <w:rPr>
          <w:rStyle w:val="LineNumber"/>
        </w:rPr>
        <w:t xml:space="preserve"> </w:t>
      </w:r>
      <w:r w:rsidRPr="00020AF4">
        <w:rPr>
          <w:rStyle w:val="LineNumber"/>
        </w:rPr>
        <w:t>joint</w:t>
      </w:r>
      <w:r w:rsidR="006C6F09">
        <w:rPr>
          <w:rStyle w:val="LineNumber"/>
        </w:rPr>
        <w:t xml:space="preserve"> </w:t>
      </w:r>
      <w:r w:rsidRPr="00020AF4">
        <w:rPr>
          <w:rStyle w:val="LineNumber"/>
        </w:rPr>
        <w:t>lead</w:t>
      </w:r>
      <w:r w:rsidR="006C6F09">
        <w:rPr>
          <w:rStyle w:val="LineNumber"/>
        </w:rPr>
        <w:t xml:space="preserve"> </w:t>
      </w:r>
      <w:r w:rsidRPr="00020AF4">
        <w:rPr>
          <w:rStyle w:val="LineNumber"/>
        </w:rPr>
        <w:t>agency,</w:t>
      </w:r>
      <w:r w:rsidR="006C6F09">
        <w:rPr>
          <w:rStyle w:val="LineNumber"/>
        </w:rPr>
        <w:t xml:space="preserve"> </w:t>
      </w:r>
      <w:r w:rsidRPr="00020AF4">
        <w:rPr>
          <w:rStyle w:val="LineNumber"/>
        </w:rPr>
        <w:t>cooperating</w:t>
      </w:r>
      <w:r w:rsidR="006C6F09">
        <w:rPr>
          <w:rStyle w:val="LineNumber"/>
        </w:rPr>
        <w:t xml:space="preserve"> </w:t>
      </w:r>
      <w:r w:rsidRPr="00020AF4">
        <w:rPr>
          <w:rStyle w:val="LineNumber"/>
        </w:rPr>
        <w:t>agencies,</w:t>
      </w:r>
      <w:r w:rsidR="006C6F09">
        <w:rPr>
          <w:rStyle w:val="LineNumber"/>
        </w:rPr>
        <w:t xml:space="preserve"> </w:t>
      </w:r>
      <w:r w:rsidRPr="00020AF4">
        <w:rPr>
          <w:rStyle w:val="LineNumber"/>
        </w:rPr>
        <w:t>and</w:t>
      </w:r>
      <w:r w:rsidR="006C6F09">
        <w:rPr>
          <w:rStyle w:val="LineNumber"/>
        </w:rPr>
        <w:t xml:space="preserve"> </w:t>
      </w:r>
      <w:r w:rsidRPr="00020AF4">
        <w:rPr>
          <w:rStyle w:val="LineNumber"/>
        </w:rPr>
        <w:t>any</w:t>
      </w:r>
      <w:r w:rsidR="006C6F09">
        <w:rPr>
          <w:rStyle w:val="LineNumber"/>
        </w:rPr>
        <w:t xml:space="preserve"> </w:t>
      </w:r>
      <w:r w:rsidRPr="00020AF4">
        <w:rPr>
          <w:rStyle w:val="LineNumber"/>
        </w:rPr>
        <w:t>cooperating</w:t>
      </w:r>
      <w:r w:rsidR="006C6F09">
        <w:rPr>
          <w:rStyle w:val="LineNumber"/>
        </w:rPr>
        <w:t xml:space="preserve"> </w:t>
      </w:r>
      <w:proofErr w:type="gramStart"/>
      <w:r w:rsidRPr="00020AF4">
        <w:rPr>
          <w:rStyle w:val="LineNumber"/>
        </w:rPr>
        <w:t>and</w:t>
      </w:r>
      <w:r w:rsidR="006C6F09">
        <w:rPr>
          <w:rStyle w:val="LineNumber"/>
        </w:rPr>
        <w:t xml:space="preserve"> </w:t>
      </w:r>
      <w:r w:rsidRPr="00020AF4">
        <w:rPr>
          <w:rStyle w:val="LineNumber"/>
        </w:rPr>
        <w:t>or</w:t>
      </w:r>
      <w:proofErr w:type="gramEnd"/>
      <w:r w:rsidR="006C6F09">
        <w:rPr>
          <w:rStyle w:val="LineNumber"/>
        </w:rPr>
        <w:t xml:space="preserve"> </w:t>
      </w:r>
      <w:r w:rsidRPr="00020AF4">
        <w:rPr>
          <w:rStyle w:val="LineNumber"/>
        </w:rPr>
        <w:t>sponsoring</w:t>
      </w:r>
      <w:r w:rsidR="006C6F09">
        <w:rPr>
          <w:rStyle w:val="LineNumber"/>
        </w:rPr>
        <w:t xml:space="preserve"> </w:t>
      </w:r>
      <w:r w:rsidRPr="00020AF4">
        <w:rPr>
          <w:rStyle w:val="LineNumber"/>
        </w:rPr>
        <w:t>local</w:t>
      </w:r>
      <w:r w:rsidR="006C6F09">
        <w:rPr>
          <w:rStyle w:val="LineNumber"/>
        </w:rPr>
        <w:t xml:space="preserve"> </w:t>
      </w:r>
      <w:r w:rsidRPr="00020AF4">
        <w:rPr>
          <w:rStyle w:val="LineNumber"/>
        </w:rPr>
        <w:t>governments</w:t>
      </w:r>
      <w:r w:rsidR="006C6F09">
        <w:rPr>
          <w:rStyle w:val="LineNumber"/>
        </w:rPr>
        <w:t xml:space="preserve"> </w:t>
      </w:r>
      <w:r w:rsidRPr="00020AF4">
        <w:rPr>
          <w:rStyle w:val="LineNumber"/>
        </w:rPr>
        <w:t>if</w:t>
      </w:r>
      <w:r w:rsidR="006C6F09">
        <w:rPr>
          <w:rStyle w:val="LineNumber"/>
        </w:rPr>
        <w:t xml:space="preserve"> </w:t>
      </w:r>
      <w:r w:rsidRPr="00020AF4">
        <w:rPr>
          <w:rStyle w:val="LineNumber"/>
        </w:rPr>
        <w:t>applicable.</w:t>
      </w:r>
    </w:p>
    <w:p w14:paraId="64A154DA" w14:textId="68E95191" w:rsidR="00457754" w:rsidRPr="00020AF4" w:rsidRDefault="00457754" w:rsidP="00457754">
      <w:pPr>
        <w:pStyle w:val="ListNumber"/>
        <w:ind w:left="360" w:hanging="360"/>
        <w:rPr>
          <w:rStyle w:val="LineNumber"/>
        </w:rPr>
      </w:pPr>
      <w:r w:rsidRPr="00020AF4">
        <w:rPr>
          <w:rStyle w:val="LineNumber"/>
        </w:rPr>
        <w:t>Describe</w:t>
      </w:r>
      <w:r w:rsidR="006C6F09">
        <w:rPr>
          <w:rStyle w:val="LineNumber"/>
        </w:rPr>
        <w:t xml:space="preserve"> </w:t>
      </w:r>
      <w:r w:rsidRPr="00020AF4">
        <w:rPr>
          <w:rStyle w:val="LineNumber"/>
        </w:rPr>
        <w:t>the</w:t>
      </w:r>
      <w:r w:rsidR="006C6F09">
        <w:rPr>
          <w:rStyle w:val="LineNumber"/>
        </w:rPr>
        <w:t xml:space="preserve"> </w:t>
      </w:r>
      <w:r w:rsidRPr="00020AF4">
        <w:rPr>
          <w:rStyle w:val="LineNumber"/>
        </w:rPr>
        <w:t>proposed</w:t>
      </w:r>
      <w:r w:rsidR="006C6F09">
        <w:rPr>
          <w:rStyle w:val="LineNumber"/>
        </w:rPr>
        <w:t xml:space="preserve"> </w:t>
      </w:r>
      <w:r w:rsidRPr="00020AF4">
        <w:rPr>
          <w:rStyle w:val="LineNumber"/>
        </w:rPr>
        <w:t>project,</w:t>
      </w:r>
      <w:r w:rsidR="006C6F09">
        <w:rPr>
          <w:rStyle w:val="LineNumber"/>
        </w:rPr>
        <w:t xml:space="preserve"> </w:t>
      </w:r>
      <w:r w:rsidRPr="00020AF4">
        <w:rPr>
          <w:rStyle w:val="LineNumber"/>
        </w:rPr>
        <w:t>using</w:t>
      </w:r>
      <w:r w:rsidR="006C6F09">
        <w:rPr>
          <w:rStyle w:val="LineNumber"/>
        </w:rPr>
        <w:t xml:space="preserve"> </w:t>
      </w:r>
      <w:r w:rsidRPr="00020AF4">
        <w:rPr>
          <w:rStyle w:val="LineNumber"/>
        </w:rPr>
        <w:t>simple</w:t>
      </w:r>
      <w:r w:rsidR="006C6F09">
        <w:rPr>
          <w:rStyle w:val="LineNumber"/>
        </w:rPr>
        <w:t xml:space="preserve"> </w:t>
      </w:r>
      <w:r w:rsidRPr="00020AF4">
        <w:rPr>
          <w:rStyle w:val="LineNumber"/>
        </w:rPr>
        <w:t>and</w:t>
      </w:r>
      <w:r w:rsidR="006C6F09">
        <w:rPr>
          <w:rStyle w:val="LineNumber"/>
        </w:rPr>
        <w:t xml:space="preserve"> </w:t>
      </w:r>
      <w:r w:rsidRPr="00020AF4">
        <w:rPr>
          <w:rStyle w:val="LineNumber"/>
        </w:rPr>
        <w:t>easy-to-understand</w:t>
      </w:r>
      <w:r w:rsidR="006C6F09">
        <w:rPr>
          <w:rStyle w:val="LineNumber"/>
        </w:rPr>
        <w:t xml:space="preserve"> </w:t>
      </w:r>
      <w:r w:rsidRPr="00020AF4">
        <w:rPr>
          <w:rStyle w:val="LineNumber"/>
        </w:rPr>
        <w:t>language,</w:t>
      </w:r>
      <w:r w:rsidR="006C6F09">
        <w:rPr>
          <w:rStyle w:val="LineNumber"/>
        </w:rPr>
        <w:t xml:space="preserve"> </w:t>
      </w:r>
      <w:r w:rsidRPr="00020AF4">
        <w:rPr>
          <w:rStyle w:val="LineNumber"/>
        </w:rPr>
        <w:t>including</w:t>
      </w:r>
      <w:r w:rsidR="006C6F09">
        <w:rPr>
          <w:rStyle w:val="LineNumber"/>
        </w:rPr>
        <w:t xml:space="preserve"> </w:t>
      </w:r>
      <w:r w:rsidRPr="00020AF4">
        <w:rPr>
          <w:rStyle w:val="LineNumber"/>
        </w:rPr>
        <w:t>the</w:t>
      </w:r>
      <w:r w:rsidR="006C6F09">
        <w:rPr>
          <w:rStyle w:val="LineNumber"/>
        </w:rPr>
        <w:t xml:space="preserve"> </w:t>
      </w:r>
      <w:r w:rsidRPr="00020AF4">
        <w:rPr>
          <w:rStyle w:val="LineNumber"/>
        </w:rPr>
        <w:t>following</w:t>
      </w:r>
      <w:r w:rsidR="006C6F09">
        <w:rPr>
          <w:rStyle w:val="LineNumber"/>
        </w:rPr>
        <w:t xml:space="preserve"> </w:t>
      </w:r>
      <w:r w:rsidRPr="00020AF4">
        <w:rPr>
          <w:rStyle w:val="LineNumber"/>
        </w:rPr>
        <w:t>information.</w:t>
      </w:r>
    </w:p>
    <w:p w14:paraId="1C411660" w14:textId="59EB1B24" w:rsidR="00457754" w:rsidRPr="00020AF4" w:rsidRDefault="00457754" w:rsidP="00457754">
      <w:pPr>
        <w:pStyle w:val="ListBullet"/>
      </w:pPr>
      <w:r w:rsidRPr="00020AF4">
        <w:t>Highway</w:t>
      </w:r>
      <w:r w:rsidR="006C6F09">
        <w:t xml:space="preserve"> </w:t>
      </w:r>
      <w:r w:rsidRPr="00020AF4">
        <w:t>number(s)</w:t>
      </w:r>
    </w:p>
    <w:p w14:paraId="080418ED" w14:textId="2B7D0A66" w:rsidR="00457754" w:rsidRPr="00020AF4" w:rsidRDefault="00457754" w:rsidP="00457754">
      <w:pPr>
        <w:pStyle w:val="ListBullet"/>
      </w:pPr>
      <w:r w:rsidRPr="00020AF4">
        <w:t>Project</w:t>
      </w:r>
      <w:r w:rsidR="006C6F09">
        <w:t xml:space="preserve"> </w:t>
      </w:r>
      <w:r w:rsidRPr="00020AF4">
        <w:t>termini</w:t>
      </w:r>
    </w:p>
    <w:p w14:paraId="203CEA7B" w14:textId="442C5FCF" w:rsidR="00457754" w:rsidRPr="00020AF4" w:rsidRDefault="00457754" w:rsidP="00457754">
      <w:pPr>
        <w:pStyle w:val="ListBullet"/>
      </w:pPr>
      <w:r w:rsidRPr="00020AF4">
        <w:t>Type</w:t>
      </w:r>
      <w:r w:rsidR="006C6F09">
        <w:t xml:space="preserve"> </w:t>
      </w:r>
      <w:r w:rsidRPr="00020AF4">
        <w:t>of</w:t>
      </w:r>
      <w:r w:rsidR="006C6F09">
        <w:t xml:space="preserve"> </w:t>
      </w:r>
      <w:r w:rsidRPr="00020AF4">
        <w:t>facility</w:t>
      </w:r>
      <w:r w:rsidR="006C6F09">
        <w:t xml:space="preserve"> </w:t>
      </w:r>
    </w:p>
    <w:p w14:paraId="5BFC34DE" w14:textId="28DAF6BE" w:rsidR="00457754" w:rsidRPr="00020AF4" w:rsidRDefault="00457754" w:rsidP="00457754">
      <w:pPr>
        <w:pStyle w:val="ListBullet"/>
      </w:pPr>
      <w:r w:rsidRPr="00020AF4">
        <w:t>Number</w:t>
      </w:r>
      <w:r w:rsidR="006C6F09">
        <w:t xml:space="preserve"> </w:t>
      </w:r>
      <w:r w:rsidRPr="00020AF4">
        <w:t>of</w:t>
      </w:r>
      <w:r w:rsidR="006C6F09">
        <w:t xml:space="preserve"> </w:t>
      </w:r>
      <w:r w:rsidRPr="00020AF4">
        <w:t>lanes</w:t>
      </w:r>
    </w:p>
    <w:p w14:paraId="75850DB9" w14:textId="11FEEB27" w:rsidR="00457754" w:rsidRPr="00020AF4" w:rsidRDefault="00457754" w:rsidP="00457754">
      <w:pPr>
        <w:pStyle w:val="ListBullet"/>
      </w:pPr>
      <w:r w:rsidRPr="00020AF4">
        <w:t>Counties,</w:t>
      </w:r>
      <w:r w:rsidR="006C6F09">
        <w:t xml:space="preserve"> </w:t>
      </w:r>
      <w:r w:rsidRPr="00020AF4">
        <w:t>cities,</w:t>
      </w:r>
      <w:r w:rsidR="006C6F09">
        <w:t xml:space="preserve"> </w:t>
      </w:r>
      <w:r w:rsidRPr="00020AF4">
        <w:t>and</w:t>
      </w:r>
      <w:r w:rsidR="006C6F09">
        <w:t xml:space="preserve"> </w:t>
      </w:r>
      <w:r w:rsidRPr="00020AF4">
        <w:t>or</w:t>
      </w:r>
      <w:r w:rsidR="006C6F09">
        <w:t xml:space="preserve"> </w:t>
      </w:r>
      <w:r w:rsidRPr="00020AF4">
        <w:t>communities</w:t>
      </w:r>
      <w:r w:rsidR="006C6F09">
        <w:t xml:space="preserve"> </w:t>
      </w:r>
      <w:r w:rsidRPr="00020AF4">
        <w:t>affected</w:t>
      </w:r>
    </w:p>
    <w:p w14:paraId="0C6C73B0" w14:textId="112039F7" w:rsidR="00457754" w:rsidRPr="00020AF4" w:rsidRDefault="00457754" w:rsidP="00457754">
      <w:pPr>
        <w:pStyle w:val="ListBullet"/>
      </w:pPr>
      <w:r w:rsidRPr="00020AF4">
        <w:t>CSJ(s)</w:t>
      </w:r>
      <w:r w:rsidR="006C6F09">
        <w:t xml:space="preserve"> </w:t>
      </w:r>
      <w:r w:rsidRPr="00020AF4">
        <w:t>(Control</w:t>
      </w:r>
      <w:r w:rsidR="006C6F09">
        <w:t xml:space="preserve"> </w:t>
      </w:r>
      <w:r w:rsidRPr="00020AF4">
        <w:t>Section</w:t>
      </w:r>
      <w:r w:rsidR="006C6F09">
        <w:t xml:space="preserve"> </w:t>
      </w:r>
      <w:r w:rsidRPr="00020AF4">
        <w:t>Job)</w:t>
      </w:r>
    </w:p>
    <w:p w14:paraId="379ED59E" w14:textId="7B6B03C2" w:rsidR="00457754" w:rsidRDefault="00457754" w:rsidP="00457754">
      <w:pPr>
        <w:pStyle w:val="ListNumber"/>
        <w:ind w:left="360" w:hanging="360"/>
      </w:pPr>
      <w:r>
        <w:t>Describe</w:t>
      </w:r>
      <w:r w:rsidR="006C6F09">
        <w:t xml:space="preserve"> </w:t>
      </w:r>
      <w:r>
        <w:t>the</w:t>
      </w:r>
      <w:r w:rsidR="006C6F09">
        <w:t xml:space="preserve"> </w:t>
      </w:r>
      <w:r>
        <w:t>existing</w:t>
      </w:r>
      <w:r w:rsidR="006C6F09">
        <w:t xml:space="preserve"> </w:t>
      </w:r>
      <w:r>
        <w:t>and</w:t>
      </w:r>
      <w:r w:rsidR="006C6F09">
        <w:t xml:space="preserve"> </w:t>
      </w:r>
      <w:r>
        <w:t>proposed</w:t>
      </w:r>
      <w:r w:rsidR="006C6F09">
        <w:t xml:space="preserve"> </w:t>
      </w:r>
      <w:r>
        <w:t>ROW</w:t>
      </w:r>
      <w:r w:rsidR="006C6F09">
        <w:t xml:space="preserve"> </w:t>
      </w:r>
      <w:r>
        <w:t>(Right</w:t>
      </w:r>
      <w:r w:rsidR="006C6F09">
        <w:t xml:space="preserve"> </w:t>
      </w:r>
      <w:r>
        <w:t>of</w:t>
      </w:r>
      <w:r w:rsidR="006C6F09">
        <w:t xml:space="preserve"> </w:t>
      </w:r>
      <w:r>
        <w:t>Way)</w:t>
      </w:r>
      <w:r w:rsidR="006C6F09">
        <w:t xml:space="preserve"> </w:t>
      </w:r>
      <w:r>
        <w:t>widths,</w:t>
      </w:r>
      <w:r w:rsidR="006C6F09">
        <w:t xml:space="preserve"> </w:t>
      </w:r>
      <w:r>
        <w:t>including</w:t>
      </w:r>
      <w:r w:rsidR="006C6F09">
        <w:t xml:space="preserve"> </w:t>
      </w:r>
      <w:r>
        <w:t>anticipated</w:t>
      </w:r>
      <w:r w:rsidR="006C6F09">
        <w:t xml:space="preserve"> </w:t>
      </w:r>
      <w:r>
        <w:t>displacements</w:t>
      </w:r>
      <w:r w:rsidR="006C6F09">
        <w:t xml:space="preserve"> </w:t>
      </w:r>
      <w:r>
        <w:t>or</w:t>
      </w:r>
      <w:r w:rsidR="006C6F09">
        <w:t xml:space="preserve"> </w:t>
      </w:r>
      <w:r>
        <w:t>impacts</w:t>
      </w:r>
      <w:r w:rsidR="006C6F09">
        <w:t xml:space="preserve"> </w:t>
      </w:r>
      <w:r>
        <w:t>to</w:t>
      </w:r>
      <w:r w:rsidR="006C6F09">
        <w:t xml:space="preserve"> </w:t>
      </w:r>
      <w:r>
        <w:t>historic</w:t>
      </w:r>
      <w:r w:rsidR="006C6F09">
        <w:t xml:space="preserve"> </w:t>
      </w:r>
      <w:r>
        <w:t>properties</w:t>
      </w:r>
      <w:r w:rsidR="006C6F09">
        <w:t xml:space="preserve"> </w:t>
      </w:r>
      <w:r>
        <w:t>if</w:t>
      </w:r>
      <w:r w:rsidR="006C6F09">
        <w:t xml:space="preserve"> </w:t>
      </w:r>
      <w:r>
        <w:t>known.</w:t>
      </w:r>
    </w:p>
    <w:p w14:paraId="6375EE74" w14:textId="0ABEE16D" w:rsidR="00457754" w:rsidRDefault="00457754" w:rsidP="00457754">
      <w:pPr>
        <w:pStyle w:val="ListNumber"/>
        <w:ind w:left="360" w:hanging="360"/>
      </w:pPr>
      <w:r>
        <w:t>Describe</w:t>
      </w:r>
      <w:r w:rsidR="006C6F09">
        <w:t xml:space="preserve"> </w:t>
      </w:r>
      <w:r>
        <w:t>any</w:t>
      </w:r>
      <w:r w:rsidR="006C6F09">
        <w:t xml:space="preserve"> </w:t>
      </w:r>
      <w:r>
        <w:t>Section</w:t>
      </w:r>
      <w:r w:rsidR="006C6F09">
        <w:t xml:space="preserve"> </w:t>
      </w:r>
      <w:r>
        <w:t>4(f)</w:t>
      </w:r>
      <w:r w:rsidR="006C6F09">
        <w:t xml:space="preserve"> </w:t>
      </w:r>
      <w:r>
        <w:t>properties</w:t>
      </w:r>
      <w:r w:rsidR="006C6F09">
        <w:t xml:space="preserve"> </w:t>
      </w:r>
      <w:r>
        <w:t>that</w:t>
      </w:r>
      <w:r w:rsidR="006C6F09">
        <w:t xml:space="preserve"> </w:t>
      </w:r>
      <w:r>
        <w:t>are</w:t>
      </w:r>
      <w:r w:rsidR="006C6F09">
        <w:t xml:space="preserve"> </w:t>
      </w:r>
      <w:r>
        <w:t>proposed</w:t>
      </w:r>
      <w:r w:rsidR="006C6F09">
        <w:t xml:space="preserve"> </w:t>
      </w:r>
      <w:r>
        <w:t>to</w:t>
      </w:r>
      <w:r w:rsidR="006C6F09">
        <w:t xml:space="preserve"> </w:t>
      </w:r>
      <w:r>
        <w:t>be</w:t>
      </w:r>
      <w:r w:rsidR="006C6F09">
        <w:t xml:space="preserve"> </w:t>
      </w:r>
      <w:r>
        <w:t>impacted</w:t>
      </w:r>
      <w:r w:rsidR="006C6F09">
        <w:t xml:space="preserve"> </w:t>
      </w:r>
      <w:r>
        <w:t>(</w:t>
      </w:r>
      <w:r w:rsidRPr="00263E76">
        <w:rPr>
          <w:lang w:val="la-Latn"/>
        </w:rPr>
        <w:t>de</w:t>
      </w:r>
      <w:r w:rsidR="006C6F09">
        <w:rPr>
          <w:lang w:val="la-Latn"/>
        </w:rPr>
        <w:t xml:space="preserve"> </w:t>
      </w:r>
      <w:r w:rsidRPr="00263E76">
        <w:rPr>
          <w:lang w:val="la-Latn"/>
        </w:rPr>
        <w:t>minimis</w:t>
      </w:r>
      <w:r>
        <w:t>,</w:t>
      </w:r>
      <w:r w:rsidR="006C6F09">
        <w:t xml:space="preserve"> </w:t>
      </w:r>
      <w:r>
        <w:t>programmatic</w:t>
      </w:r>
      <w:r w:rsidR="006C6F09">
        <w:t xml:space="preserve"> </w:t>
      </w:r>
      <w:r>
        <w:t>or</w:t>
      </w:r>
      <w:r w:rsidR="006C6F09">
        <w:t xml:space="preserve"> </w:t>
      </w:r>
      <w:r>
        <w:t>individual).</w:t>
      </w:r>
      <w:r w:rsidR="006C6F09">
        <w:t xml:space="preserve"> </w:t>
      </w:r>
      <w:r>
        <w:t>If</w:t>
      </w:r>
      <w:r w:rsidR="006C6F09">
        <w:t xml:space="preserve"> </w:t>
      </w:r>
      <w:r>
        <w:t>the</w:t>
      </w:r>
      <w:r w:rsidR="006C6F09">
        <w:t xml:space="preserve"> </w:t>
      </w:r>
      <w:r>
        <w:t>notice</w:t>
      </w:r>
      <w:r w:rsidR="006C6F09">
        <w:t xml:space="preserve"> </w:t>
      </w:r>
      <w:r>
        <w:t>will</w:t>
      </w:r>
      <w:r w:rsidR="006C6F09">
        <w:t xml:space="preserve"> </w:t>
      </w:r>
      <w:r>
        <w:t>be</w:t>
      </w:r>
      <w:r w:rsidR="006C6F09">
        <w:t xml:space="preserve"> </w:t>
      </w:r>
      <w:r>
        <w:t>used</w:t>
      </w:r>
      <w:r w:rsidR="006C6F09">
        <w:t xml:space="preserve"> </w:t>
      </w:r>
      <w:r>
        <w:t>to</w:t>
      </w:r>
      <w:r w:rsidR="006C6F09">
        <w:t xml:space="preserve"> </w:t>
      </w:r>
      <w:r>
        <w:t>meet</w:t>
      </w:r>
      <w:r w:rsidR="006C6F09">
        <w:t xml:space="preserve"> </w:t>
      </w:r>
      <w:r>
        <w:t>the</w:t>
      </w:r>
      <w:r w:rsidR="006C6F09">
        <w:t xml:space="preserve"> </w:t>
      </w:r>
      <w:r>
        <w:t>public</w:t>
      </w:r>
      <w:r w:rsidR="006C6F09">
        <w:t xml:space="preserve"> </w:t>
      </w:r>
      <w:r>
        <w:t>notice</w:t>
      </w:r>
      <w:r w:rsidR="006C6F09">
        <w:t xml:space="preserve"> </w:t>
      </w:r>
      <w:r>
        <w:t>requirement</w:t>
      </w:r>
      <w:r w:rsidR="006C6F09">
        <w:t xml:space="preserve"> </w:t>
      </w:r>
      <w:r>
        <w:t>for</w:t>
      </w:r>
      <w:r w:rsidR="006C6F09">
        <w:t xml:space="preserve"> </w:t>
      </w:r>
      <w:r>
        <w:t>a</w:t>
      </w:r>
      <w:r w:rsidR="006C6F09">
        <w:t xml:space="preserve"> </w:t>
      </w:r>
      <w:r>
        <w:t>Section</w:t>
      </w:r>
      <w:r w:rsidR="006C6F09">
        <w:t xml:space="preserve"> </w:t>
      </w:r>
      <w:r>
        <w:t>4(f)</w:t>
      </w:r>
      <w:r w:rsidR="006C6F09">
        <w:t xml:space="preserve"> </w:t>
      </w:r>
      <w:r w:rsidRPr="00263E76">
        <w:rPr>
          <w:lang w:val="la-Latn"/>
        </w:rPr>
        <w:t>de</w:t>
      </w:r>
      <w:r w:rsidR="006C6F09">
        <w:rPr>
          <w:lang w:val="la-Latn"/>
        </w:rPr>
        <w:t xml:space="preserve"> </w:t>
      </w:r>
      <w:r w:rsidRPr="00263E76">
        <w:rPr>
          <w:lang w:val="la-Latn"/>
        </w:rPr>
        <w:t>minimis</w:t>
      </w:r>
      <w:r w:rsidR="006C6F09">
        <w:t xml:space="preserve"> </w:t>
      </w:r>
      <w:r>
        <w:t>finding,</w:t>
      </w:r>
      <w:r w:rsidR="006C6F09">
        <w:t xml:space="preserve"> </w:t>
      </w:r>
      <w:r>
        <w:t>include</w:t>
      </w:r>
      <w:r w:rsidR="006C6F09">
        <w:t xml:space="preserve"> </w:t>
      </w:r>
      <w:r>
        <w:t>a</w:t>
      </w:r>
      <w:r w:rsidR="006C6F09">
        <w:t xml:space="preserve"> </w:t>
      </w:r>
      <w:r>
        <w:t>statement</w:t>
      </w:r>
      <w:r w:rsidR="006C6F09">
        <w:t xml:space="preserve"> </w:t>
      </w:r>
      <w:r>
        <w:t>describing</w:t>
      </w:r>
      <w:r w:rsidR="006C6F09">
        <w:t xml:space="preserve"> </w:t>
      </w:r>
      <w:r>
        <w:t>the</w:t>
      </w:r>
      <w:r w:rsidR="006C6F09">
        <w:t xml:space="preserve"> </w:t>
      </w:r>
      <w:r>
        <w:t>Section</w:t>
      </w:r>
      <w:r w:rsidR="006C6F09">
        <w:t xml:space="preserve"> </w:t>
      </w:r>
      <w:r>
        <w:t>4(f)</w:t>
      </w:r>
      <w:r w:rsidR="006C6F09">
        <w:t xml:space="preserve"> </w:t>
      </w:r>
      <w:r>
        <w:t>property</w:t>
      </w:r>
      <w:r w:rsidR="006C6F09">
        <w:t xml:space="preserve"> </w:t>
      </w:r>
      <w:r>
        <w:t>and</w:t>
      </w:r>
      <w:r w:rsidR="006C6F09">
        <w:t xml:space="preserve"> </w:t>
      </w:r>
      <w:r>
        <w:t>the</w:t>
      </w:r>
      <w:r w:rsidR="006C6F09">
        <w:t xml:space="preserve"> </w:t>
      </w:r>
      <w:r>
        <w:t>intent</w:t>
      </w:r>
      <w:r w:rsidR="006C6F09">
        <w:t xml:space="preserve"> </w:t>
      </w:r>
      <w:r>
        <w:t>to</w:t>
      </w:r>
      <w:r w:rsidR="006C6F09">
        <w:t xml:space="preserve"> </w:t>
      </w:r>
      <w:r>
        <w:t>pursue</w:t>
      </w:r>
      <w:r w:rsidR="006C6F09">
        <w:t xml:space="preserve"> </w:t>
      </w:r>
      <w:r>
        <w:t>a</w:t>
      </w:r>
      <w:r w:rsidR="006C6F09">
        <w:t xml:space="preserve"> </w:t>
      </w:r>
      <w:r w:rsidRPr="00263E76">
        <w:rPr>
          <w:lang w:val="la-Latn"/>
        </w:rPr>
        <w:t>de</w:t>
      </w:r>
      <w:r w:rsidR="006C6F09">
        <w:rPr>
          <w:lang w:val="la-Latn"/>
        </w:rPr>
        <w:t xml:space="preserve"> </w:t>
      </w:r>
      <w:r w:rsidRPr="00263E76">
        <w:rPr>
          <w:lang w:val="la-Latn"/>
        </w:rPr>
        <w:t>minimis</w:t>
      </w:r>
      <w:r w:rsidR="006C6F09">
        <w:t xml:space="preserve"> </w:t>
      </w:r>
      <w:r>
        <w:t>finding,</w:t>
      </w:r>
      <w:r w:rsidR="006C6F09">
        <w:t xml:space="preserve"> </w:t>
      </w:r>
      <w:r>
        <w:t>as</w:t>
      </w:r>
      <w:r w:rsidR="006C6F09">
        <w:t xml:space="preserve"> </w:t>
      </w:r>
      <w:r>
        <w:t>well</w:t>
      </w:r>
      <w:r w:rsidR="006C6F09">
        <w:t xml:space="preserve"> </w:t>
      </w:r>
      <w:r>
        <w:t>as</w:t>
      </w:r>
      <w:r w:rsidR="006C6F09">
        <w:t xml:space="preserve"> </w:t>
      </w:r>
      <w:r>
        <w:t>a</w:t>
      </w:r>
      <w:r w:rsidR="006C6F09">
        <w:t xml:space="preserve"> </w:t>
      </w:r>
      <w:r>
        <w:t>statement</w:t>
      </w:r>
      <w:r w:rsidR="006C6F09">
        <w:t xml:space="preserve"> </w:t>
      </w:r>
      <w:r>
        <w:t>regarding</w:t>
      </w:r>
      <w:r w:rsidR="006C6F09">
        <w:t xml:space="preserve"> </w:t>
      </w:r>
      <w:r>
        <w:t>how</w:t>
      </w:r>
      <w:r w:rsidR="006C6F09">
        <w:t xml:space="preserve"> </w:t>
      </w:r>
      <w:r>
        <w:t>and</w:t>
      </w:r>
      <w:r w:rsidR="006C6F09">
        <w:t xml:space="preserve"> </w:t>
      </w:r>
      <w:r>
        <w:t>by</w:t>
      </w:r>
      <w:r w:rsidR="006C6F09">
        <w:t xml:space="preserve"> </w:t>
      </w:r>
      <w:r>
        <w:t>when</w:t>
      </w:r>
      <w:r w:rsidR="006C6F09">
        <w:t xml:space="preserve"> </w:t>
      </w:r>
      <w:r>
        <w:t>comments</w:t>
      </w:r>
      <w:r w:rsidR="006C6F09">
        <w:t xml:space="preserve"> </w:t>
      </w:r>
      <w:r>
        <w:t>may</w:t>
      </w:r>
      <w:r w:rsidR="006C6F09">
        <w:t xml:space="preserve"> </w:t>
      </w:r>
      <w:r>
        <w:t>be</w:t>
      </w:r>
      <w:r w:rsidR="006C6F09">
        <w:t xml:space="preserve"> </w:t>
      </w:r>
      <w:r>
        <w:t>made</w:t>
      </w:r>
      <w:r w:rsidR="006C6F09">
        <w:t xml:space="preserve"> </w:t>
      </w:r>
      <w:r>
        <w:t>about</w:t>
      </w:r>
      <w:r w:rsidR="006C6F09">
        <w:t xml:space="preserve"> </w:t>
      </w:r>
      <w:r>
        <w:t>the</w:t>
      </w:r>
      <w:r w:rsidR="006C6F09">
        <w:t xml:space="preserve"> </w:t>
      </w:r>
      <w:r>
        <w:t>proposed</w:t>
      </w:r>
      <w:r w:rsidR="006C6F09">
        <w:t xml:space="preserve"> </w:t>
      </w:r>
      <w:r>
        <w:t>de</w:t>
      </w:r>
      <w:r w:rsidR="006C6F09">
        <w:t xml:space="preserve"> </w:t>
      </w:r>
      <w:r>
        <w:t>minimis</w:t>
      </w:r>
      <w:r w:rsidR="006C6F09">
        <w:t xml:space="preserve"> </w:t>
      </w:r>
      <w:r>
        <w:t>finding.</w:t>
      </w:r>
    </w:p>
    <w:p w14:paraId="3E49D319" w14:textId="3349A86B" w:rsidR="00457754" w:rsidRDefault="00457754" w:rsidP="00457754">
      <w:pPr>
        <w:pStyle w:val="ListNumber"/>
        <w:ind w:left="360" w:hanging="360"/>
      </w:pPr>
      <w:r>
        <w:t>Include</w:t>
      </w:r>
      <w:r w:rsidR="006C6F09">
        <w:t xml:space="preserve"> </w:t>
      </w:r>
      <w:r>
        <w:t>references</w:t>
      </w:r>
      <w:r w:rsidR="006C6F09">
        <w:t xml:space="preserve"> </w:t>
      </w:r>
      <w:r>
        <w:t>to</w:t>
      </w:r>
      <w:r w:rsidR="006C6F09">
        <w:t xml:space="preserve"> </w:t>
      </w:r>
      <w:r>
        <w:t>maps,</w:t>
      </w:r>
      <w:r w:rsidR="006C6F09">
        <w:t xml:space="preserve"> </w:t>
      </w:r>
      <w:r>
        <w:t>drawings,</w:t>
      </w:r>
      <w:r w:rsidR="006C6F09">
        <w:t xml:space="preserve"> </w:t>
      </w:r>
      <w:r>
        <w:t>environmental</w:t>
      </w:r>
      <w:r w:rsidR="006C6F09">
        <w:t xml:space="preserve"> </w:t>
      </w:r>
      <w:r>
        <w:t>documents,</w:t>
      </w:r>
      <w:r w:rsidR="006C6F09">
        <w:t xml:space="preserve"> </w:t>
      </w:r>
      <w:r>
        <w:t>or</w:t>
      </w:r>
      <w:r w:rsidR="006C6F09">
        <w:t xml:space="preserve"> </w:t>
      </w:r>
      <w:r>
        <w:t>studies,</w:t>
      </w:r>
      <w:r w:rsidR="006C6F09">
        <w:t xml:space="preserve"> </w:t>
      </w:r>
      <w:r>
        <w:t>as</w:t>
      </w:r>
      <w:r w:rsidR="006C6F09">
        <w:t xml:space="preserve"> </w:t>
      </w:r>
      <w:r>
        <w:t>available,</w:t>
      </w:r>
      <w:r w:rsidR="006C6F09">
        <w:t xml:space="preserve"> </w:t>
      </w:r>
      <w:r>
        <w:t>and</w:t>
      </w:r>
      <w:r w:rsidR="006C6F09">
        <w:t xml:space="preserve"> </w:t>
      </w:r>
      <w:r>
        <w:t>the</w:t>
      </w:r>
      <w:r w:rsidR="006C6F09">
        <w:t xml:space="preserve"> </w:t>
      </w:r>
      <w:r>
        <w:t>tentative</w:t>
      </w:r>
      <w:r w:rsidR="006C6F09">
        <w:t xml:space="preserve"> </w:t>
      </w:r>
      <w:r>
        <w:t>construction</w:t>
      </w:r>
      <w:r w:rsidR="006C6F09">
        <w:t xml:space="preserve"> </w:t>
      </w:r>
      <w:r>
        <w:t>schedule</w:t>
      </w:r>
      <w:r w:rsidR="006C6F09">
        <w:t xml:space="preserve"> </w:t>
      </w:r>
      <w:r>
        <w:t>regarding</w:t>
      </w:r>
      <w:r w:rsidR="006C6F09">
        <w:t xml:space="preserve"> </w:t>
      </w:r>
      <w:r>
        <w:t>the</w:t>
      </w:r>
      <w:r w:rsidR="006C6F09">
        <w:t xml:space="preserve"> </w:t>
      </w:r>
      <w:r>
        <w:t>proposed</w:t>
      </w:r>
      <w:r w:rsidR="006C6F09">
        <w:t xml:space="preserve"> </w:t>
      </w:r>
      <w:r>
        <w:t>project,</w:t>
      </w:r>
      <w:r w:rsidR="006C6F09">
        <w:t xml:space="preserve"> </w:t>
      </w:r>
      <w:r>
        <w:t>available</w:t>
      </w:r>
      <w:r w:rsidR="006C6F09">
        <w:t xml:space="preserve"> </w:t>
      </w:r>
      <w:r>
        <w:t>for</w:t>
      </w:r>
      <w:r w:rsidR="006C6F09">
        <w:t xml:space="preserve"> </w:t>
      </w:r>
      <w:r>
        <w:t>public</w:t>
      </w:r>
      <w:r w:rsidR="006C6F09">
        <w:t xml:space="preserve"> </w:t>
      </w:r>
      <w:r>
        <w:t>inspection.</w:t>
      </w:r>
      <w:r w:rsidR="006C6F09">
        <w:t xml:space="preserve"> </w:t>
      </w:r>
      <w:r>
        <w:t>Also,</w:t>
      </w:r>
      <w:r w:rsidR="006C6F09">
        <w:t xml:space="preserve"> </w:t>
      </w:r>
      <w:r>
        <w:t>include</w:t>
      </w:r>
      <w:r w:rsidR="006C6F09">
        <w:t xml:space="preserve"> </w:t>
      </w:r>
      <w:r>
        <w:t>the</w:t>
      </w:r>
      <w:r w:rsidR="006C6F09">
        <w:t xml:space="preserve"> </w:t>
      </w:r>
      <w:r>
        <w:t>office</w:t>
      </w:r>
      <w:r w:rsidR="006C6F09">
        <w:t xml:space="preserve"> </w:t>
      </w:r>
      <w:r>
        <w:t>name(s),</w:t>
      </w:r>
      <w:r w:rsidR="006C6F09">
        <w:t xml:space="preserve"> </w:t>
      </w:r>
      <w:r>
        <w:t>location(s),</w:t>
      </w:r>
      <w:r w:rsidR="006C6F09">
        <w:t xml:space="preserve"> </w:t>
      </w:r>
      <w:r>
        <w:t>and</w:t>
      </w:r>
      <w:r w:rsidR="006C6F09">
        <w:t xml:space="preserve"> </w:t>
      </w:r>
      <w:r>
        <w:t>typical</w:t>
      </w:r>
      <w:r w:rsidR="006C6F09">
        <w:t xml:space="preserve"> </w:t>
      </w:r>
      <w:r>
        <w:t>working</w:t>
      </w:r>
      <w:r w:rsidR="006C6F09">
        <w:t xml:space="preserve"> </w:t>
      </w:r>
      <w:r>
        <w:t>hours</w:t>
      </w:r>
      <w:r w:rsidR="006C6F09">
        <w:t xml:space="preserve"> </w:t>
      </w:r>
      <w:r>
        <w:t>where</w:t>
      </w:r>
      <w:r w:rsidR="006C6F09">
        <w:t xml:space="preserve"> </w:t>
      </w:r>
      <w:r>
        <w:t>the</w:t>
      </w:r>
      <w:r w:rsidR="006C6F09">
        <w:t xml:space="preserve"> </w:t>
      </w:r>
      <w:r>
        <w:t>project</w:t>
      </w:r>
      <w:r w:rsidR="006C6F09">
        <w:t xml:space="preserve"> </w:t>
      </w:r>
      <w:r>
        <w:lastRenderedPageBreak/>
        <w:t>materials</w:t>
      </w:r>
      <w:r w:rsidR="006C6F09">
        <w:t xml:space="preserve"> </w:t>
      </w:r>
      <w:r>
        <w:t>may</w:t>
      </w:r>
      <w:r w:rsidR="006C6F09">
        <w:t xml:space="preserve"> </w:t>
      </w:r>
      <w:r>
        <w:t>be</w:t>
      </w:r>
      <w:r w:rsidR="006C6F09">
        <w:t xml:space="preserve"> </w:t>
      </w:r>
      <w:r>
        <w:t>viewed.</w:t>
      </w:r>
      <w:r w:rsidR="006C6F09">
        <w:t xml:space="preserve"> </w:t>
      </w:r>
      <w:r>
        <w:t>Typically,</w:t>
      </w:r>
      <w:r w:rsidR="006C6F09">
        <w:t xml:space="preserve"> </w:t>
      </w:r>
      <w:r>
        <w:t>the</w:t>
      </w:r>
      <w:r w:rsidR="006C6F09">
        <w:t xml:space="preserve"> </w:t>
      </w:r>
      <w:r>
        <w:t>district</w:t>
      </w:r>
      <w:r w:rsidR="006C6F09">
        <w:t xml:space="preserve"> </w:t>
      </w:r>
      <w:r>
        <w:t>and</w:t>
      </w:r>
      <w:r w:rsidR="006C6F09">
        <w:t xml:space="preserve"> </w:t>
      </w:r>
      <w:r>
        <w:t>area</w:t>
      </w:r>
      <w:r w:rsidR="006C6F09">
        <w:t xml:space="preserve"> </w:t>
      </w:r>
      <w:r>
        <w:t>office(s)</w:t>
      </w:r>
      <w:r w:rsidR="006C6F09">
        <w:t xml:space="preserve"> </w:t>
      </w:r>
      <w:r>
        <w:t>near</w:t>
      </w:r>
      <w:r w:rsidR="006C6F09">
        <w:t xml:space="preserve"> </w:t>
      </w:r>
      <w:r>
        <w:t>the</w:t>
      </w:r>
      <w:r w:rsidR="006C6F09">
        <w:t xml:space="preserve"> </w:t>
      </w:r>
      <w:r>
        <w:t>proposed</w:t>
      </w:r>
      <w:r w:rsidR="006C6F09">
        <w:t xml:space="preserve"> </w:t>
      </w:r>
      <w:r>
        <w:t>project</w:t>
      </w:r>
      <w:r w:rsidR="006C6F09">
        <w:t xml:space="preserve"> </w:t>
      </w:r>
      <w:r>
        <w:t>are</w:t>
      </w:r>
      <w:r w:rsidR="006C6F09">
        <w:t xml:space="preserve"> </w:t>
      </w:r>
      <w:r>
        <w:t>identified</w:t>
      </w:r>
      <w:r w:rsidR="006C6F09">
        <w:t xml:space="preserve"> </w:t>
      </w:r>
      <w:r>
        <w:t>as</w:t>
      </w:r>
      <w:r w:rsidR="006C6F09">
        <w:t xml:space="preserve"> </w:t>
      </w:r>
      <w:r>
        <w:t>areas</w:t>
      </w:r>
      <w:r w:rsidR="006C6F09">
        <w:t xml:space="preserve"> </w:t>
      </w:r>
      <w:r>
        <w:t>to</w:t>
      </w:r>
      <w:r w:rsidR="006C6F09">
        <w:t xml:space="preserve"> </w:t>
      </w:r>
      <w:r>
        <w:t>review</w:t>
      </w:r>
      <w:r w:rsidR="006C6F09">
        <w:t xml:space="preserve"> </w:t>
      </w:r>
      <w:r>
        <w:t>project</w:t>
      </w:r>
      <w:r w:rsidR="006C6F09">
        <w:t xml:space="preserve"> </w:t>
      </w:r>
      <w:r>
        <w:t>documentation.</w:t>
      </w:r>
      <w:r w:rsidR="006C6F09">
        <w:t xml:space="preserve"> </w:t>
      </w:r>
      <w:r>
        <w:t>Project</w:t>
      </w:r>
      <w:r w:rsidR="006C6F09">
        <w:t xml:space="preserve"> </w:t>
      </w:r>
      <w:r>
        <w:t>materials</w:t>
      </w:r>
      <w:r w:rsidR="006C6F09">
        <w:t xml:space="preserve"> </w:t>
      </w:r>
      <w:r>
        <w:t>must</w:t>
      </w:r>
      <w:r w:rsidR="006C6F09">
        <w:t xml:space="preserve"> </w:t>
      </w:r>
      <w:r>
        <w:t>be</w:t>
      </w:r>
      <w:r w:rsidR="006C6F09">
        <w:t xml:space="preserve"> </w:t>
      </w:r>
      <w:r>
        <w:t>made</w:t>
      </w:r>
      <w:r w:rsidR="006C6F09">
        <w:t xml:space="preserve"> </w:t>
      </w:r>
      <w:r>
        <w:t>available</w:t>
      </w:r>
      <w:r w:rsidR="006C6F09">
        <w:t xml:space="preserve"> </w:t>
      </w:r>
      <w:r>
        <w:t>on</w:t>
      </w:r>
      <w:r w:rsidR="006C6F09">
        <w:t xml:space="preserve"> </w:t>
      </w:r>
      <w:r>
        <w:t>a</w:t>
      </w:r>
      <w:r w:rsidR="006C6F09">
        <w:t xml:space="preserve"> </w:t>
      </w:r>
      <w:r>
        <w:t>TxDOT</w:t>
      </w:r>
      <w:r w:rsidR="006C6F09">
        <w:t xml:space="preserve"> </w:t>
      </w:r>
      <w:r>
        <w:t>website,</w:t>
      </w:r>
      <w:r w:rsidR="006C6F09">
        <w:t xml:space="preserve"> </w:t>
      </w:r>
      <w:r>
        <w:t>and</w:t>
      </w:r>
      <w:r w:rsidR="006C6F09">
        <w:t xml:space="preserve"> </w:t>
      </w:r>
      <w:r>
        <w:t>the</w:t>
      </w:r>
      <w:r w:rsidR="006C6F09">
        <w:t xml:space="preserve"> </w:t>
      </w:r>
      <w:r>
        <w:t>link</w:t>
      </w:r>
      <w:r w:rsidR="006C6F09">
        <w:t xml:space="preserve"> </w:t>
      </w:r>
      <w:r>
        <w:t>must</w:t>
      </w:r>
      <w:r w:rsidR="006C6F09">
        <w:t xml:space="preserve"> </w:t>
      </w:r>
      <w:r>
        <w:t>be</w:t>
      </w:r>
      <w:r w:rsidR="006C6F09">
        <w:t xml:space="preserve"> </w:t>
      </w:r>
      <w:r>
        <w:t>included.</w:t>
      </w:r>
    </w:p>
    <w:p w14:paraId="313442B2" w14:textId="448BA3F9" w:rsidR="00457754" w:rsidRDefault="00457754" w:rsidP="00457754">
      <w:pPr>
        <w:pStyle w:val="ListNumber"/>
        <w:ind w:left="360" w:hanging="360"/>
      </w:pPr>
      <w:r>
        <w:t>If</w:t>
      </w:r>
      <w:r w:rsidR="006C6F09">
        <w:t xml:space="preserve"> </w:t>
      </w:r>
      <w:r>
        <w:t>relocations</w:t>
      </w:r>
      <w:r w:rsidR="006C6F09">
        <w:t xml:space="preserve"> </w:t>
      </w:r>
      <w:r>
        <w:t>are</w:t>
      </w:r>
      <w:r w:rsidR="006C6F09">
        <w:t xml:space="preserve"> </w:t>
      </w:r>
      <w:r>
        <w:t>involved,</w:t>
      </w:r>
      <w:r w:rsidR="006C6F09">
        <w:t xml:space="preserve"> </w:t>
      </w:r>
      <w:r>
        <w:t>include</w:t>
      </w:r>
      <w:r w:rsidR="006C6F09">
        <w:t xml:space="preserve"> </w:t>
      </w:r>
      <w:r>
        <w:t>a</w:t>
      </w:r>
      <w:r w:rsidR="006C6F09">
        <w:t xml:space="preserve"> </w:t>
      </w:r>
      <w:r>
        <w:t>statement</w:t>
      </w:r>
      <w:r w:rsidR="006C6F09">
        <w:t xml:space="preserve"> </w:t>
      </w:r>
      <w:r>
        <w:t>that</w:t>
      </w:r>
      <w:r w:rsidR="006C6F09">
        <w:t xml:space="preserve"> </w:t>
      </w:r>
      <w:r>
        <w:t>provides</w:t>
      </w:r>
      <w:r w:rsidR="006C6F09">
        <w:t xml:space="preserve"> </w:t>
      </w:r>
      <w:r>
        <w:t>information</w:t>
      </w:r>
      <w:r w:rsidR="006C6F09">
        <w:t xml:space="preserve"> </w:t>
      </w:r>
      <w:r>
        <w:t>regarding</w:t>
      </w:r>
      <w:r w:rsidR="006C6F09">
        <w:t xml:space="preserve"> </w:t>
      </w:r>
      <w:r>
        <w:t>the</w:t>
      </w:r>
      <w:r w:rsidR="006C6F09">
        <w:t xml:space="preserve"> </w:t>
      </w:r>
      <w:r>
        <w:t>TxDOT</w:t>
      </w:r>
      <w:r w:rsidR="006C6F09">
        <w:t xml:space="preserve"> </w:t>
      </w:r>
      <w:r>
        <w:t>Relocation</w:t>
      </w:r>
      <w:r w:rsidR="006C6F09">
        <w:t xml:space="preserve"> </w:t>
      </w:r>
      <w:r>
        <w:t>Assistance</w:t>
      </w:r>
      <w:r w:rsidR="006C6F09">
        <w:t xml:space="preserve"> </w:t>
      </w:r>
      <w:r>
        <w:t>Program,</w:t>
      </w:r>
      <w:r w:rsidR="006C6F09">
        <w:t xml:space="preserve"> </w:t>
      </w:r>
      <w:r>
        <w:t>benefits</w:t>
      </w:r>
      <w:r w:rsidR="006C6F09">
        <w:t xml:space="preserve"> </w:t>
      </w:r>
      <w:r>
        <w:t>and</w:t>
      </w:r>
      <w:r w:rsidR="006C6F09">
        <w:t xml:space="preserve"> </w:t>
      </w:r>
      <w:r>
        <w:t>services</w:t>
      </w:r>
      <w:r w:rsidR="006C6F09">
        <w:t xml:space="preserve"> </w:t>
      </w:r>
      <w:r>
        <w:t>for</w:t>
      </w:r>
      <w:r w:rsidR="006C6F09">
        <w:t xml:space="preserve"> </w:t>
      </w:r>
      <w:r>
        <w:t>displaced</w:t>
      </w:r>
      <w:r w:rsidR="006C6F09">
        <w:t xml:space="preserve"> </w:t>
      </w:r>
      <w:r>
        <w:t>businesses</w:t>
      </w:r>
      <w:r w:rsidR="006C6F09">
        <w:t xml:space="preserve"> </w:t>
      </w:r>
      <w:r>
        <w:t>and</w:t>
      </w:r>
      <w:r w:rsidR="006C6F09">
        <w:t xml:space="preserve"> </w:t>
      </w:r>
      <w:r>
        <w:t>persons,</w:t>
      </w:r>
      <w:r w:rsidR="006C6F09">
        <w:t xml:space="preserve"> </w:t>
      </w:r>
      <w:r>
        <w:t>and</w:t>
      </w:r>
      <w:r w:rsidR="006C6F09">
        <w:t xml:space="preserve"> </w:t>
      </w:r>
      <w:r>
        <w:t>information</w:t>
      </w:r>
      <w:r w:rsidR="006C6F09">
        <w:t xml:space="preserve"> </w:t>
      </w:r>
      <w:r>
        <w:t>about</w:t>
      </w:r>
      <w:r w:rsidR="006C6F09">
        <w:t xml:space="preserve"> </w:t>
      </w:r>
      <w:r>
        <w:t>the</w:t>
      </w:r>
      <w:r w:rsidR="006C6F09">
        <w:t xml:space="preserve"> </w:t>
      </w:r>
      <w:r>
        <w:t>relocation</w:t>
      </w:r>
      <w:r w:rsidR="006C6F09">
        <w:t xml:space="preserve"> </w:t>
      </w:r>
      <w:r>
        <w:t>assistance</w:t>
      </w:r>
      <w:r w:rsidR="006C6F09">
        <w:t xml:space="preserve"> </w:t>
      </w:r>
      <w:r>
        <w:t>office.</w:t>
      </w:r>
      <w:r w:rsidR="006C6F09">
        <w:t xml:space="preserve"> </w:t>
      </w:r>
      <w:r>
        <w:t>Include</w:t>
      </w:r>
      <w:r w:rsidR="006C6F09">
        <w:t xml:space="preserve"> </w:t>
      </w:r>
      <w:r>
        <w:t>information</w:t>
      </w:r>
      <w:r w:rsidR="006C6F09">
        <w:t xml:space="preserve"> </w:t>
      </w:r>
      <w:r>
        <w:t>that</w:t>
      </w:r>
      <w:r w:rsidR="006C6F09">
        <w:t xml:space="preserve"> </w:t>
      </w:r>
      <w:r>
        <w:t>the</w:t>
      </w:r>
      <w:r w:rsidR="006C6F09">
        <w:t xml:space="preserve"> </w:t>
      </w:r>
      <w:r>
        <w:t>tentative</w:t>
      </w:r>
      <w:r w:rsidR="006C6F09">
        <w:t xml:space="preserve"> </w:t>
      </w:r>
      <w:r>
        <w:t>schedule</w:t>
      </w:r>
      <w:r w:rsidR="006C6F09">
        <w:t xml:space="preserve"> </w:t>
      </w:r>
      <w:r>
        <w:t>for</w:t>
      </w:r>
      <w:r w:rsidR="006C6F09">
        <w:t xml:space="preserve"> </w:t>
      </w:r>
      <w:r>
        <w:t>ROW</w:t>
      </w:r>
      <w:r w:rsidR="006C6F09">
        <w:t xml:space="preserve"> </w:t>
      </w:r>
      <w:r>
        <w:t>acquisition</w:t>
      </w:r>
      <w:r w:rsidR="006C6F09">
        <w:t xml:space="preserve"> </w:t>
      </w:r>
      <w:r>
        <w:t>can</w:t>
      </w:r>
      <w:r w:rsidR="006C6F09">
        <w:t xml:space="preserve"> </w:t>
      </w:r>
      <w:r>
        <w:t>be</w:t>
      </w:r>
      <w:r w:rsidR="006C6F09">
        <w:t xml:space="preserve"> </w:t>
      </w:r>
      <w:r>
        <w:t>obtained</w:t>
      </w:r>
      <w:r w:rsidR="006C6F09">
        <w:t xml:space="preserve"> </w:t>
      </w:r>
      <w:r>
        <w:t>from</w:t>
      </w:r>
      <w:r w:rsidR="006C6F09">
        <w:t xml:space="preserve"> </w:t>
      </w:r>
      <w:r>
        <w:t>the</w:t>
      </w:r>
      <w:r w:rsidR="006C6F09">
        <w:t xml:space="preserve"> </w:t>
      </w:r>
      <w:r>
        <w:t>district</w:t>
      </w:r>
      <w:r w:rsidR="006C6F09">
        <w:t xml:space="preserve"> </w:t>
      </w:r>
      <w:r>
        <w:t>and</w:t>
      </w:r>
      <w:r w:rsidR="006C6F09">
        <w:t xml:space="preserve"> </w:t>
      </w:r>
      <w:proofErr w:type="gramStart"/>
      <w:r>
        <w:t>or</w:t>
      </w:r>
      <w:proofErr w:type="gramEnd"/>
      <w:r w:rsidR="006C6F09">
        <w:t xml:space="preserve"> </w:t>
      </w:r>
      <w:r>
        <w:t>area</w:t>
      </w:r>
      <w:r w:rsidR="006C6F09">
        <w:t xml:space="preserve"> </w:t>
      </w:r>
      <w:r>
        <w:t>office.</w:t>
      </w:r>
    </w:p>
    <w:p w14:paraId="3CEF6D9F" w14:textId="578AE003" w:rsidR="00457754" w:rsidRDefault="00457754" w:rsidP="00457754">
      <w:pPr>
        <w:pStyle w:val="ListNumber"/>
        <w:ind w:left="360" w:hanging="360"/>
      </w:pPr>
      <w:r>
        <w:t>Include</w:t>
      </w:r>
      <w:r w:rsidR="006C6F09">
        <w:t xml:space="preserve"> </w:t>
      </w:r>
      <w:r>
        <w:t>a</w:t>
      </w:r>
      <w:r w:rsidR="006C6F09">
        <w:t xml:space="preserve"> </w:t>
      </w:r>
      <w:r>
        <w:t>statement</w:t>
      </w:r>
      <w:r w:rsidR="006C6F09">
        <w:t xml:space="preserve"> </w:t>
      </w:r>
      <w:r>
        <w:t>that</w:t>
      </w:r>
      <w:r w:rsidR="006C6F09">
        <w:t xml:space="preserve"> </w:t>
      </w:r>
      <w:r>
        <w:t>written</w:t>
      </w:r>
      <w:r w:rsidR="006C6F09">
        <w:t xml:space="preserve"> </w:t>
      </w:r>
      <w:r>
        <w:t>comments</w:t>
      </w:r>
      <w:r w:rsidR="006C6F09">
        <w:t xml:space="preserve"> </w:t>
      </w:r>
      <w:r>
        <w:t>may</w:t>
      </w:r>
      <w:r w:rsidR="006C6F09">
        <w:t xml:space="preserve"> </w:t>
      </w:r>
      <w:r>
        <w:t>be</w:t>
      </w:r>
      <w:r w:rsidR="006C6F09">
        <w:t xml:space="preserve"> </w:t>
      </w:r>
      <w:r>
        <w:t>submitted</w:t>
      </w:r>
      <w:r w:rsidR="006C6F09">
        <w:t xml:space="preserve"> </w:t>
      </w:r>
      <w:r>
        <w:t>for</w:t>
      </w:r>
      <w:r w:rsidR="006C6F09">
        <w:t xml:space="preserve"> </w:t>
      </w:r>
      <w:r>
        <w:t>a</w:t>
      </w:r>
      <w:r w:rsidR="006C6F09">
        <w:t xml:space="preserve"> </w:t>
      </w:r>
      <w:r>
        <w:t>period</w:t>
      </w:r>
      <w:r w:rsidR="006C6F09">
        <w:t xml:space="preserve"> </w:t>
      </w:r>
      <w:r>
        <w:t>of</w:t>
      </w:r>
      <w:r w:rsidR="006C6F09">
        <w:t xml:space="preserve"> </w:t>
      </w:r>
      <w:r>
        <w:t>15</w:t>
      </w:r>
      <w:r w:rsidR="006C6F09">
        <w:t xml:space="preserve"> </w:t>
      </w:r>
      <w:r>
        <w:t>calendar</w:t>
      </w:r>
      <w:r w:rsidR="006C6F09">
        <w:t xml:space="preserve"> </w:t>
      </w:r>
      <w:r>
        <w:t>days</w:t>
      </w:r>
      <w:r w:rsidR="006C6F09">
        <w:t xml:space="preserve"> </w:t>
      </w:r>
      <w:r>
        <w:t>after</w:t>
      </w:r>
      <w:r w:rsidR="006C6F09">
        <w:t xml:space="preserve"> </w:t>
      </w:r>
      <w:r>
        <w:t>the</w:t>
      </w:r>
      <w:r w:rsidR="006C6F09">
        <w:t xml:space="preserve"> </w:t>
      </w:r>
      <w:r>
        <w:t>public</w:t>
      </w:r>
      <w:r w:rsidR="006C6F09">
        <w:t xml:space="preserve"> </w:t>
      </w:r>
      <w:r>
        <w:t>meeting</w:t>
      </w:r>
      <w:r w:rsidR="006C6F09">
        <w:t xml:space="preserve"> </w:t>
      </w:r>
      <w:r>
        <w:t>and</w:t>
      </w:r>
      <w:r w:rsidR="006C6F09">
        <w:t xml:space="preserve"> </w:t>
      </w:r>
      <w:r>
        <w:t>the</w:t>
      </w:r>
      <w:r w:rsidR="006C6F09">
        <w:t xml:space="preserve"> </w:t>
      </w:r>
      <w:r>
        <w:t>address</w:t>
      </w:r>
      <w:r w:rsidR="006C6F09">
        <w:t xml:space="preserve"> </w:t>
      </w:r>
      <w:r>
        <w:t>where</w:t>
      </w:r>
      <w:r w:rsidR="006C6F09">
        <w:t xml:space="preserve"> </w:t>
      </w:r>
      <w:r>
        <w:t>written</w:t>
      </w:r>
      <w:r w:rsidR="006C6F09">
        <w:t xml:space="preserve"> </w:t>
      </w:r>
      <w:r>
        <w:t>comments</w:t>
      </w:r>
      <w:r w:rsidR="006C6F09">
        <w:t xml:space="preserve"> </w:t>
      </w:r>
      <w:r>
        <w:t>may</w:t>
      </w:r>
      <w:r w:rsidR="006C6F09">
        <w:t xml:space="preserve"> </w:t>
      </w:r>
      <w:r>
        <w:t>be</w:t>
      </w:r>
      <w:r w:rsidR="006C6F09">
        <w:t xml:space="preserve"> </w:t>
      </w:r>
      <w:r>
        <w:t>submitted.</w:t>
      </w:r>
      <w:r w:rsidR="006C6F09">
        <w:t xml:space="preserve"> </w:t>
      </w:r>
      <w:r>
        <w:t>If</w:t>
      </w:r>
      <w:r w:rsidR="006C6F09">
        <w:t xml:space="preserve"> </w:t>
      </w:r>
      <w:r>
        <w:t>available,</w:t>
      </w:r>
      <w:r w:rsidR="006C6F09">
        <w:t xml:space="preserve"> </w:t>
      </w:r>
      <w:r>
        <w:t>provide</w:t>
      </w:r>
      <w:r w:rsidR="006C6F09">
        <w:t xml:space="preserve"> </w:t>
      </w:r>
      <w:r>
        <w:t>an</w:t>
      </w:r>
      <w:r w:rsidR="006C6F09">
        <w:t xml:space="preserve"> </w:t>
      </w:r>
      <w:r>
        <w:t>email</w:t>
      </w:r>
      <w:r w:rsidR="006C6F09">
        <w:t xml:space="preserve"> </w:t>
      </w:r>
      <w:r>
        <w:t>address</w:t>
      </w:r>
      <w:r w:rsidR="006C6F09">
        <w:t xml:space="preserve"> </w:t>
      </w:r>
      <w:r>
        <w:t>where</w:t>
      </w:r>
      <w:r w:rsidR="006C6F09">
        <w:t xml:space="preserve"> </w:t>
      </w:r>
      <w:r>
        <w:t>comments</w:t>
      </w:r>
      <w:r w:rsidR="006C6F09">
        <w:t xml:space="preserve"> </w:t>
      </w:r>
      <w:r>
        <w:t>may</w:t>
      </w:r>
      <w:r w:rsidR="006C6F09">
        <w:t xml:space="preserve"> </w:t>
      </w:r>
      <w:r>
        <w:t>be</w:t>
      </w:r>
      <w:r w:rsidR="006C6F09">
        <w:t xml:space="preserve"> </w:t>
      </w:r>
      <w:r>
        <w:t>submitted.</w:t>
      </w:r>
    </w:p>
    <w:p w14:paraId="484D4720" w14:textId="5B7670AC" w:rsidR="00457754" w:rsidRDefault="00457754" w:rsidP="00457754">
      <w:pPr>
        <w:pStyle w:val="ListNumber"/>
        <w:ind w:left="360" w:hanging="360"/>
      </w:pPr>
      <w:r>
        <w:t>The</w:t>
      </w:r>
      <w:r w:rsidR="006C6F09">
        <w:t xml:space="preserve"> </w:t>
      </w:r>
      <w:r>
        <w:t>English</w:t>
      </w:r>
      <w:r w:rsidR="006C6F09">
        <w:t xml:space="preserve"> </w:t>
      </w:r>
      <w:r>
        <w:t>version</w:t>
      </w:r>
      <w:r w:rsidR="006C6F09">
        <w:t xml:space="preserve"> </w:t>
      </w:r>
      <w:r>
        <w:t>of</w:t>
      </w:r>
      <w:r w:rsidR="006C6F09">
        <w:t xml:space="preserve"> </w:t>
      </w:r>
      <w:r>
        <w:t>the</w:t>
      </w:r>
      <w:r w:rsidR="006C6F09">
        <w:t xml:space="preserve"> </w:t>
      </w:r>
      <w:r>
        <w:t>notice</w:t>
      </w:r>
      <w:r w:rsidR="006C6F09">
        <w:t xml:space="preserve"> </w:t>
      </w:r>
      <w:r>
        <w:t>must</w:t>
      </w:r>
      <w:r w:rsidR="006C6F09">
        <w:t xml:space="preserve"> </w:t>
      </w:r>
      <w:r>
        <w:t>include</w:t>
      </w:r>
      <w:r w:rsidR="006C6F09">
        <w:t xml:space="preserve"> </w:t>
      </w:r>
      <w:r>
        <w:t>the</w:t>
      </w:r>
      <w:r w:rsidR="006C6F09">
        <w:t xml:space="preserve"> </w:t>
      </w:r>
      <w:r>
        <w:t>following</w:t>
      </w:r>
      <w:r w:rsidR="006C6F09">
        <w:t xml:space="preserve"> </w:t>
      </w:r>
      <w:r>
        <w:t>language</w:t>
      </w:r>
      <w:r w:rsidR="006C6F09">
        <w:t xml:space="preserve"> </w:t>
      </w:r>
      <w:r>
        <w:t>in</w:t>
      </w:r>
      <w:r w:rsidR="006C6F09">
        <w:t xml:space="preserve"> </w:t>
      </w:r>
      <w:r>
        <w:t>at</w:t>
      </w:r>
      <w:r w:rsidR="006C6F09">
        <w:t xml:space="preserve"> </w:t>
      </w:r>
      <w:r>
        <w:t>least</w:t>
      </w:r>
      <w:r w:rsidR="006C6F09">
        <w:t xml:space="preserve"> </w:t>
      </w:r>
      <w:r>
        <w:t>both</w:t>
      </w:r>
      <w:r w:rsidR="006C6F09">
        <w:t xml:space="preserve"> </w:t>
      </w:r>
      <w:r>
        <w:t>English</w:t>
      </w:r>
      <w:r w:rsidR="006C6F09">
        <w:t xml:space="preserve"> </w:t>
      </w:r>
      <w:r>
        <w:t>and</w:t>
      </w:r>
      <w:r w:rsidR="006C6F09">
        <w:t xml:space="preserve"> </w:t>
      </w:r>
      <w:r>
        <w:t>Spanish.</w:t>
      </w:r>
      <w:r>
        <w:rPr>
          <w:rStyle w:val="FootnoteReference"/>
        </w:rPr>
        <w:footnoteReference w:id="2"/>
      </w:r>
      <w:r w:rsidR="006C6F09">
        <w:t xml:space="preserve"> </w:t>
      </w:r>
    </w:p>
    <w:p w14:paraId="57AE72B6" w14:textId="5DFBBC2D" w:rsidR="00457754" w:rsidRDefault="00457754" w:rsidP="00457754">
      <w:pPr>
        <w:pStyle w:val="ListNumber"/>
        <w:numPr>
          <w:ilvl w:val="0"/>
          <w:numId w:val="0"/>
        </w:numPr>
        <w:ind w:left="360"/>
      </w:pPr>
      <w:r>
        <w:t>The</w:t>
      </w:r>
      <w:r w:rsidR="006C6F09">
        <w:t xml:space="preserve"> </w:t>
      </w:r>
      <w:r>
        <w:rPr>
          <w:highlight w:val="darkGray"/>
        </w:rPr>
        <w:t>[Insert</w:t>
      </w:r>
      <w:r w:rsidR="006C6F09">
        <w:rPr>
          <w:highlight w:val="darkGray"/>
        </w:rPr>
        <w:t xml:space="preserve"> </w:t>
      </w:r>
      <w:r>
        <w:rPr>
          <w:highlight w:val="darkGray"/>
        </w:rPr>
        <w:t>text</w:t>
      </w:r>
      <w:r w:rsidR="006C6F09">
        <w:rPr>
          <w:highlight w:val="darkGray"/>
        </w:rPr>
        <w:t xml:space="preserve"> </w:t>
      </w:r>
      <w:r>
        <w:rPr>
          <w:highlight w:val="darkGray"/>
        </w:rPr>
        <w:t>-</w:t>
      </w:r>
      <w:r w:rsidR="006C6F09">
        <w:rPr>
          <w:highlight w:val="darkGray"/>
        </w:rPr>
        <w:t xml:space="preserve"> </w:t>
      </w:r>
      <w:r w:rsidRPr="00D25C8C">
        <w:rPr>
          <w:highlight w:val="darkGray"/>
        </w:rPr>
        <w:t>event</w:t>
      </w:r>
      <w:r w:rsidR="006C6F09">
        <w:rPr>
          <w:highlight w:val="darkGray"/>
        </w:rPr>
        <w:t xml:space="preserve"> </w:t>
      </w:r>
      <w:r w:rsidRPr="00D25C8C">
        <w:rPr>
          <w:highlight w:val="darkGray"/>
        </w:rPr>
        <w:t>name</w:t>
      </w:r>
      <w:r>
        <w:rPr>
          <w:highlight w:val="darkGray"/>
        </w:rPr>
        <w:t>]</w:t>
      </w:r>
      <w:r w:rsidR="006C6F09">
        <w:t xml:space="preserve"> </w:t>
      </w:r>
      <w:r>
        <w:t>will</w:t>
      </w:r>
      <w:r w:rsidR="006C6F09">
        <w:t xml:space="preserve"> </w:t>
      </w:r>
      <w:r>
        <w:t>be</w:t>
      </w:r>
      <w:r w:rsidR="006C6F09">
        <w:t xml:space="preserve"> </w:t>
      </w:r>
      <w:r>
        <w:t>conducted</w:t>
      </w:r>
      <w:r w:rsidR="006C6F09">
        <w:t xml:space="preserve"> </w:t>
      </w:r>
      <w:r>
        <w:t>in</w:t>
      </w:r>
      <w:r w:rsidR="006C6F09">
        <w:t xml:space="preserve"> </w:t>
      </w:r>
      <w:r>
        <w:t>English.</w:t>
      </w:r>
      <w:r w:rsidR="006C6F09">
        <w:t xml:space="preserve"> </w:t>
      </w:r>
      <w:r>
        <w:t>If</w:t>
      </w:r>
      <w:r w:rsidR="006C6F09">
        <w:t xml:space="preserve"> </w:t>
      </w:r>
      <w:r>
        <w:t>you</w:t>
      </w:r>
      <w:r w:rsidR="006C6F09">
        <w:t xml:space="preserve"> </w:t>
      </w:r>
      <w:r>
        <w:t>need</w:t>
      </w:r>
      <w:r w:rsidR="006C6F09">
        <w:t xml:space="preserve"> </w:t>
      </w:r>
      <w:r>
        <w:t>an</w:t>
      </w:r>
      <w:r w:rsidR="006C6F09">
        <w:t xml:space="preserve"> </w:t>
      </w:r>
      <w:r>
        <w:t>interpreter</w:t>
      </w:r>
      <w:r w:rsidR="006C6F09">
        <w:t xml:space="preserve"> </w:t>
      </w:r>
      <w:r>
        <w:t>or</w:t>
      </w:r>
      <w:r w:rsidR="006C6F09">
        <w:t xml:space="preserve"> </w:t>
      </w:r>
      <w:r>
        <w:t>document</w:t>
      </w:r>
      <w:r w:rsidR="006C6F09">
        <w:t xml:space="preserve"> </w:t>
      </w:r>
      <w:r>
        <w:t>translator</w:t>
      </w:r>
      <w:r w:rsidR="006C6F09">
        <w:t xml:space="preserve"> </w:t>
      </w:r>
      <w:r>
        <w:t>because</w:t>
      </w:r>
      <w:r w:rsidR="006C6F09">
        <w:t xml:space="preserve"> </w:t>
      </w:r>
      <w:r>
        <w:t>English</w:t>
      </w:r>
      <w:r w:rsidR="006C6F09">
        <w:t xml:space="preserve"> </w:t>
      </w:r>
      <w:r>
        <w:t>is</w:t>
      </w:r>
      <w:r w:rsidR="006C6F09">
        <w:t xml:space="preserve"> </w:t>
      </w:r>
      <w:r>
        <w:t>not</w:t>
      </w:r>
      <w:r w:rsidR="006C6F09">
        <w:t xml:space="preserve"> </w:t>
      </w:r>
      <w:r>
        <w:t>your</w:t>
      </w:r>
      <w:r w:rsidR="006C6F09">
        <w:t xml:space="preserve"> </w:t>
      </w:r>
      <w:r>
        <w:t>primary</w:t>
      </w:r>
      <w:r w:rsidR="006C6F09">
        <w:t xml:space="preserve"> </w:t>
      </w:r>
      <w:r>
        <w:t>language</w:t>
      </w:r>
      <w:r w:rsidR="006C6F09">
        <w:t xml:space="preserve"> </w:t>
      </w:r>
      <w:r>
        <w:t>or</w:t>
      </w:r>
      <w:r w:rsidR="006C6F09">
        <w:t xml:space="preserve"> </w:t>
      </w:r>
      <w:r>
        <w:t>have</w:t>
      </w:r>
      <w:r w:rsidR="006C6F09">
        <w:t xml:space="preserve"> </w:t>
      </w:r>
      <w:r>
        <w:t>difficulty</w:t>
      </w:r>
      <w:r w:rsidR="006C6F09">
        <w:t xml:space="preserve"> </w:t>
      </w:r>
      <w:r>
        <w:t>communicating</w:t>
      </w:r>
      <w:r w:rsidR="006C6F09">
        <w:t xml:space="preserve"> </w:t>
      </w:r>
      <w:r>
        <w:t>effectively</w:t>
      </w:r>
      <w:r w:rsidR="006C6F09">
        <w:t xml:space="preserve"> </w:t>
      </w:r>
      <w:r>
        <w:t>in</w:t>
      </w:r>
      <w:r w:rsidR="006C6F09">
        <w:t xml:space="preserve"> </w:t>
      </w:r>
      <w:r>
        <w:t>English,</w:t>
      </w:r>
      <w:r w:rsidR="006C6F09">
        <w:t xml:space="preserve"> </w:t>
      </w:r>
      <w:r>
        <w:t>one</w:t>
      </w:r>
      <w:r w:rsidR="006C6F09">
        <w:t xml:space="preserve"> </w:t>
      </w:r>
      <w:r>
        <w:t>will</w:t>
      </w:r>
      <w:r w:rsidR="006C6F09">
        <w:t xml:space="preserve"> </w:t>
      </w:r>
      <w:r>
        <w:t>be</w:t>
      </w:r>
      <w:r w:rsidR="006C6F09">
        <w:t xml:space="preserve"> </w:t>
      </w:r>
      <w:r>
        <w:t>provided</w:t>
      </w:r>
      <w:r w:rsidR="006C6F09">
        <w:t xml:space="preserve"> </w:t>
      </w:r>
      <w:r>
        <w:t>to</w:t>
      </w:r>
      <w:r w:rsidR="006C6F09">
        <w:t xml:space="preserve"> </w:t>
      </w:r>
      <w:r>
        <w:t>you.</w:t>
      </w:r>
      <w:r w:rsidR="006C6F09">
        <w:t xml:space="preserve"> </w:t>
      </w:r>
      <w:r>
        <w:t>If</w:t>
      </w:r>
      <w:r w:rsidR="006C6F09">
        <w:t xml:space="preserve"> </w:t>
      </w:r>
      <w:r>
        <w:t>you</w:t>
      </w:r>
      <w:r w:rsidR="006C6F09">
        <w:t xml:space="preserve"> </w:t>
      </w:r>
      <w:r>
        <w:t>have</w:t>
      </w:r>
      <w:r w:rsidR="006C6F09">
        <w:t xml:space="preserve"> </w:t>
      </w:r>
      <w:r>
        <w:t>a</w:t>
      </w:r>
      <w:r w:rsidR="006C6F09">
        <w:t xml:space="preserve"> </w:t>
      </w:r>
      <w:r>
        <w:t>disability</w:t>
      </w:r>
      <w:r w:rsidR="006C6F09">
        <w:t xml:space="preserve"> </w:t>
      </w:r>
      <w:r>
        <w:t>and</w:t>
      </w:r>
      <w:r w:rsidR="006C6F09">
        <w:t xml:space="preserve"> </w:t>
      </w:r>
      <w:r>
        <w:t>need</w:t>
      </w:r>
      <w:r w:rsidR="006C6F09">
        <w:t xml:space="preserve"> </w:t>
      </w:r>
      <w:r>
        <w:t>assistance,</w:t>
      </w:r>
      <w:r w:rsidR="006C6F09">
        <w:t xml:space="preserve"> </w:t>
      </w:r>
      <w:r>
        <w:t>special</w:t>
      </w:r>
      <w:r w:rsidR="006C6F09">
        <w:t xml:space="preserve"> </w:t>
      </w:r>
      <w:r>
        <w:t>arrangements</w:t>
      </w:r>
      <w:r w:rsidR="006C6F09">
        <w:t xml:space="preserve"> </w:t>
      </w:r>
      <w:r>
        <w:t>can</w:t>
      </w:r>
      <w:r w:rsidR="006C6F09">
        <w:t xml:space="preserve"> </w:t>
      </w:r>
      <w:r>
        <w:t>be</w:t>
      </w:r>
      <w:r w:rsidR="006C6F09">
        <w:t xml:space="preserve"> </w:t>
      </w:r>
      <w:r>
        <w:t>made</w:t>
      </w:r>
      <w:r w:rsidR="006C6F09">
        <w:t xml:space="preserve"> </w:t>
      </w:r>
      <w:r>
        <w:t>to</w:t>
      </w:r>
      <w:r w:rsidR="006C6F09">
        <w:t xml:space="preserve"> </w:t>
      </w:r>
      <w:r>
        <w:t>accommodate</w:t>
      </w:r>
      <w:r w:rsidR="006C6F09">
        <w:t xml:space="preserve"> </w:t>
      </w:r>
      <w:r>
        <w:t>most</w:t>
      </w:r>
      <w:r w:rsidR="006C6F09">
        <w:t xml:space="preserve"> </w:t>
      </w:r>
      <w:r>
        <w:t>needs.</w:t>
      </w:r>
      <w:r w:rsidR="006C6F09">
        <w:t xml:space="preserve"> </w:t>
      </w:r>
      <w:r>
        <w:t>If</w:t>
      </w:r>
      <w:r w:rsidR="006C6F09">
        <w:t xml:space="preserve"> </w:t>
      </w:r>
      <w:r>
        <w:t>you</w:t>
      </w:r>
      <w:r w:rsidR="006C6F09">
        <w:t xml:space="preserve"> </w:t>
      </w:r>
      <w:r>
        <w:t>need</w:t>
      </w:r>
      <w:r w:rsidR="006C6F09">
        <w:t xml:space="preserve"> </w:t>
      </w:r>
      <w:r>
        <w:t>interpretation</w:t>
      </w:r>
      <w:r w:rsidR="006C6F09">
        <w:t xml:space="preserve"> </w:t>
      </w:r>
      <w:r>
        <w:t>or</w:t>
      </w:r>
      <w:r w:rsidR="006C6F09">
        <w:t xml:space="preserve"> </w:t>
      </w:r>
      <w:r>
        <w:t>translation</w:t>
      </w:r>
      <w:r w:rsidR="006C6F09">
        <w:t xml:space="preserve"> </w:t>
      </w:r>
      <w:r>
        <w:t>services</w:t>
      </w:r>
      <w:r w:rsidR="006C6F09">
        <w:t xml:space="preserve"> </w:t>
      </w:r>
      <w:r>
        <w:t>or</w:t>
      </w:r>
      <w:r w:rsidR="006C6F09">
        <w:t xml:space="preserve"> </w:t>
      </w:r>
      <w:r>
        <w:t>you</w:t>
      </w:r>
      <w:r w:rsidR="006C6F09">
        <w:t xml:space="preserve"> </w:t>
      </w:r>
      <w:r>
        <w:t>are</w:t>
      </w:r>
      <w:r w:rsidR="006C6F09">
        <w:t xml:space="preserve"> </w:t>
      </w:r>
      <w:r>
        <w:t>a</w:t>
      </w:r>
      <w:r w:rsidR="006C6F09">
        <w:t xml:space="preserve"> </w:t>
      </w:r>
      <w:r>
        <w:t>person</w:t>
      </w:r>
      <w:r w:rsidR="006C6F09">
        <w:t xml:space="preserve"> </w:t>
      </w:r>
      <w:r>
        <w:t>with</w:t>
      </w:r>
      <w:r w:rsidR="006C6F09">
        <w:t xml:space="preserve"> </w:t>
      </w:r>
      <w:r>
        <w:t>a</w:t>
      </w:r>
      <w:r w:rsidR="006C6F09">
        <w:t xml:space="preserve"> </w:t>
      </w:r>
      <w:r>
        <w:t>disability</w:t>
      </w:r>
      <w:r w:rsidR="006C6F09">
        <w:t xml:space="preserve"> </w:t>
      </w:r>
      <w:r>
        <w:t>who</w:t>
      </w:r>
      <w:r w:rsidR="006C6F09">
        <w:t xml:space="preserve"> </w:t>
      </w:r>
      <w:r>
        <w:t>requires</w:t>
      </w:r>
      <w:r w:rsidR="006C6F09">
        <w:t xml:space="preserve"> </w:t>
      </w:r>
      <w:r>
        <w:t>an</w:t>
      </w:r>
      <w:r w:rsidR="006C6F09">
        <w:t xml:space="preserve"> </w:t>
      </w:r>
      <w:r>
        <w:t>accommodation</w:t>
      </w:r>
      <w:r w:rsidR="006C6F09">
        <w:t xml:space="preserve"> </w:t>
      </w:r>
      <w:r>
        <w:t>to</w:t>
      </w:r>
      <w:r w:rsidR="006C6F09">
        <w:t xml:space="preserve"> </w:t>
      </w:r>
      <w:r>
        <w:t>attend</w:t>
      </w:r>
      <w:r w:rsidR="006C6F09">
        <w:t xml:space="preserve"> </w:t>
      </w:r>
      <w:r>
        <w:t>and</w:t>
      </w:r>
      <w:r w:rsidR="006C6F09">
        <w:t xml:space="preserve"> </w:t>
      </w:r>
      <w:r>
        <w:t>participate</w:t>
      </w:r>
      <w:r w:rsidR="006C6F09">
        <w:t xml:space="preserve"> </w:t>
      </w:r>
      <w:r>
        <w:t>in</w:t>
      </w:r>
      <w:r w:rsidR="006C6F09">
        <w:t xml:space="preserve"> </w:t>
      </w:r>
      <w:r>
        <w:rPr>
          <w:highlight w:val="darkGray"/>
        </w:rPr>
        <w:t>[Insert</w:t>
      </w:r>
      <w:r w:rsidR="006C6F09">
        <w:rPr>
          <w:highlight w:val="darkGray"/>
        </w:rPr>
        <w:t xml:space="preserve"> </w:t>
      </w:r>
      <w:r>
        <w:rPr>
          <w:highlight w:val="darkGray"/>
        </w:rPr>
        <w:t>text</w:t>
      </w:r>
      <w:r w:rsidR="006C6F09">
        <w:rPr>
          <w:highlight w:val="darkGray"/>
        </w:rPr>
        <w:t xml:space="preserve"> </w:t>
      </w:r>
      <w:r>
        <w:rPr>
          <w:highlight w:val="darkGray"/>
        </w:rPr>
        <w:t>-</w:t>
      </w:r>
      <w:r w:rsidR="006C6F09">
        <w:rPr>
          <w:highlight w:val="darkGray"/>
        </w:rPr>
        <w:t xml:space="preserve"> </w:t>
      </w:r>
      <w:r w:rsidRPr="00D25C8C">
        <w:rPr>
          <w:highlight w:val="darkGray"/>
        </w:rPr>
        <w:t>event</w:t>
      </w:r>
      <w:r w:rsidR="006C6F09">
        <w:rPr>
          <w:highlight w:val="darkGray"/>
        </w:rPr>
        <w:t xml:space="preserve"> </w:t>
      </w:r>
      <w:r w:rsidRPr="00D25C8C">
        <w:rPr>
          <w:highlight w:val="darkGray"/>
        </w:rPr>
        <w:t>name</w:t>
      </w:r>
      <w:r>
        <w:rPr>
          <w:highlight w:val="darkGray"/>
        </w:rPr>
        <w:t>]</w:t>
      </w:r>
      <w:r>
        <w:t>,</w:t>
      </w:r>
      <w:r w:rsidR="006C6F09">
        <w:t xml:space="preserve"> </w:t>
      </w:r>
      <w:r>
        <w:t>please</w:t>
      </w:r>
      <w:r w:rsidR="006C6F09">
        <w:t xml:space="preserve"> </w:t>
      </w:r>
      <w:r>
        <w:t>contact</w:t>
      </w:r>
      <w:r w:rsidR="006C6F09">
        <w:t xml:space="preserve"> </w:t>
      </w:r>
      <w:r>
        <w:rPr>
          <w:highlight w:val="darkGray"/>
        </w:rPr>
        <w:t>[Insert</w:t>
      </w:r>
      <w:r w:rsidR="006C6F09">
        <w:rPr>
          <w:highlight w:val="darkGray"/>
        </w:rPr>
        <w:t xml:space="preserve"> </w:t>
      </w:r>
      <w:r>
        <w:rPr>
          <w:highlight w:val="darkGray"/>
        </w:rPr>
        <w:t>text</w:t>
      </w:r>
      <w:r w:rsidR="006C6F09">
        <w:rPr>
          <w:highlight w:val="darkGray"/>
        </w:rPr>
        <w:t xml:space="preserve"> </w:t>
      </w:r>
      <w:r>
        <w:rPr>
          <w:highlight w:val="darkGray"/>
        </w:rPr>
        <w:t>-</w:t>
      </w:r>
      <w:r w:rsidR="006C6F09">
        <w:rPr>
          <w:highlight w:val="darkGray"/>
        </w:rPr>
        <w:t xml:space="preserve"> </w:t>
      </w:r>
      <w:r w:rsidRPr="00D25C8C">
        <w:rPr>
          <w:highlight w:val="darkGray"/>
        </w:rPr>
        <w:t>contact</w:t>
      </w:r>
      <w:r w:rsidR="006C6F09">
        <w:rPr>
          <w:highlight w:val="darkGray"/>
        </w:rPr>
        <w:t xml:space="preserve"> </w:t>
      </w:r>
      <w:r w:rsidRPr="00D25C8C">
        <w:rPr>
          <w:highlight w:val="darkGray"/>
        </w:rPr>
        <w:t>name</w:t>
      </w:r>
      <w:r w:rsidR="006C6F09">
        <w:rPr>
          <w:highlight w:val="darkGray"/>
        </w:rPr>
        <w:t xml:space="preserve"> </w:t>
      </w:r>
      <w:r w:rsidRPr="00D25C8C">
        <w:rPr>
          <w:highlight w:val="darkGray"/>
        </w:rPr>
        <w:t>(PIO</w:t>
      </w:r>
      <w:r w:rsidR="006C6F09">
        <w:rPr>
          <w:highlight w:val="darkGray"/>
        </w:rPr>
        <w:t xml:space="preserve"> </w:t>
      </w:r>
      <w:r>
        <w:rPr>
          <w:highlight w:val="darkGray"/>
        </w:rPr>
        <w:t>o</w:t>
      </w:r>
      <w:r w:rsidRPr="00D25C8C">
        <w:rPr>
          <w:highlight w:val="darkGray"/>
        </w:rPr>
        <w:t>r</w:t>
      </w:r>
      <w:r w:rsidR="006C6F09">
        <w:rPr>
          <w:highlight w:val="darkGray"/>
        </w:rPr>
        <w:t xml:space="preserve"> </w:t>
      </w:r>
      <w:r w:rsidRPr="00D25C8C">
        <w:rPr>
          <w:highlight w:val="darkGray"/>
        </w:rPr>
        <w:t>other</w:t>
      </w:r>
      <w:r w:rsidR="006C6F09">
        <w:rPr>
          <w:highlight w:val="darkGray"/>
        </w:rPr>
        <w:t xml:space="preserve"> </w:t>
      </w:r>
      <w:r w:rsidRPr="00D25C8C">
        <w:rPr>
          <w:highlight w:val="darkGray"/>
        </w:rPr>
        <w:lastRenderedPageBreak/>
        <w:t>appropriate</w:t>
      </w:r>
      <w:r w:rsidR="006C6F09">
        <w:rPr>
          <w:highlight w:val="darkGray"/>
        </w:rPr>
        <w:t xml:space="preserve"> </w:t>
      </w:r>
      <w:r w:rsidRPr="00D25C8C">
        <w:rPr>
          <w:highlight w:val="darkGray"/>
        </w:rPr>
        <w:t>contact),</w:t>
      </w:r>
      <w:r w:rsidR="006C6F09">
        <w:rPr>
          <w:highlight w:val="darkGray"/>
        </w:rPr>
        <w:t xml:space="preserve"> </w:t>
      </w:r>
      <w:r w:rsidRPr="00D25C8C">
        <w:rPr>
          <w:highlight w:val="darkGray"/>
        </w:rPr>
        <w:t>District</w:t>
      </w:r>
      <w:r w:rsidR="006C6F09">
        <w:rPr>
          <w:highlight w:val="darkGray"/>
        </w:rPr>
        <w:t xml:space="preserve"> </w:t>
      </w:r>
      <w:r w:rsidRPr="00D25C8C">
        <w:rPr>
          <w:highlight w:val="darkGray"/>
        </w:rPr>
        <w:t>or</w:t>
      </w:r>
      <w:r w:rsidR="006C6F09">
        <w:rPr>
          <w:highlight w:val="darkGray"/>
        </w:rPr>
        <w:t xml:space="preserve"> </w:t>
      </w:r>
      <w:r w:rsidRPr="00D25C8C">
        <w:rPr>
          <w:highlight w:val="darkGray"/>
        </w:rPr>
        <w:t>Division</w:t>
      </w:r>
      <w:r w:rsidR="006C6F09">
        <w:rPr>
          <w:highlight w:val="darkGray"/>
        </w:rPr>
        <w:t xml:space="preserve"> </w:t>
      </w:r>
      <w:r w:rsidRPr="00D25C8C">
        <w:rPr>
          <w:highlight w:val="darkGray"/>
        </w:rPr>
        <w:t>Name</w:t>
      </w:r>
      <w:r>
        <w:rPr>
          <w:highlight w:val="darkGray"/>
        </w:rPr>
        <w:t>]</w:t>
      </w:r>
      <w:r>
        <w:t>,</w:t>
      </w:r>
      <w:r w:rsidR="006C6F09">
        <w:t xml:space="preserve"> </w:t>
      </w:r>
      <w:r>
        <w:t>at</w:t>
      </w:r>
      <w:r w:rsidR="006C6F09">
        <w:t xml:space="preserve"> </w:t>
      </w:r>
      <w:r>
        <w:rPr>
          <w:highlight w:val="darkGray"/>
        </w:rPr>
        <w:t>[Insert</w:t>
      </w:r>
      <w:r w:rsidR="006C6F09">
        <w:rPr>
          <w:highlight w:val="darkGray"/>
        </w:rPr>
        <w:t xml:space="preserve"> </w:t>
      </w:r>
      <w:r>
        <w:rPr>
          <w:highlight w:val="darkGray"/>
        </w:rPr>
        <w:t>text</w:t>
      </w:r>
      <w:r w:rsidR="006C6F09">
        <w:rPr>
          <w:highlight w:val="darkGray"/>
        </w:rPr>
        <w:t xml:space="preserve"> </w:t>
      </w:r>
      <w:r>
        <w:rPr>
          <w:highlight w:val="darkGray"/>
        </w:rPr>
        <w:t>-</w:t>
      </w:r>
      <w:r w:rsidR="006C6F09">
        <w:rPr>
          <w:highlight w:val="darkGray"/>
        </w:rPr>
        <w:t xml:space="preserve"> </w:t>
      </w:r>
      <w:r w:rsidRPr="00D25C8C">
        <w:rPr>
          <w:highlight w:val="darkGray"/>
        </w:rPr>
        <w:t>phone</w:t>
      </w:r>
      <w:r w:rsidR="006C6F09">
        <w:rPr>
          <w:highlight w:val="darkGray"/>
        </w:rPr>
        <w:t xml:space="preserve"> </w:t>
      </w:r>
      <w:r w:rsidRPr="00D25C8C">
        <w:rPr>
          <w:highlight w:val="darkGray"/>
        </w:rPr>
        <w:t>number</w:t>
      </w:r>
      <w:r w:rsidR="006C6F09">
        <w:rPr>
          <w:highlight w:val="darkGray"/>
        </w:rPr>
        <w:t xml:space="preserve"> </w:t>
      </w:r>
      <w:r w:rsidRPr="00D25C8C">
        <w:rPr>
          <w:highlight w:val="darkGray"/>
        </w:rPr>
        <w:t>with</w:t>
      </w:r>
      <w:r w:rsidR="006C6F09">
        <w:rPr>
          <w:highlight w:val="darkGray"/>
        </w:rPr>
        <w:t xml:space="preserve"> </w:t>
      </w:r>
      <w:r w:rsidRPr="00D25C8C">
        <w:rPr>
          <w:highlight w:val="darkGray"/>
        </w:rPr>
        <w:t>area</w:t>
      </w:r>
      <w:r w:rsidR="006C6F09">
        <w:rPr>
          <w:highlight w:val="darkGray"/>
        </w:rPr>
        <w:t xml:space="preserve"> </w:t>
      </w:r>
      <w:r w:rsidRPr="00D25C8C">
        <w:rPr>
          <w:highlight w:val="darkGray"/>
        </w:rPr>
        <w:t>code</w:t>
      </w:r>
      <w:r>
        <w:rPr>
          <w:highlight w:val="darkGray"/>
        </w:rPr>
        <w:t>]</w:t>
      </w:r>
      <w:r w:rsidR="006C6F09">
        <w:t xml:space="preserve"> </w:t>
      </w:r>
      <w:r>
        <w:t>no</w:t>
      </w:r>
      <w:r w:rsidR="006C6F09">
        <w:t xml:space="preserve"> </w:t>
      </w:r>
      <w:r>
        <w:t>later</w:t>
      </w:r>
      <w:r w:rsidR="006C6F09">
        <w:t xml:space="preserve"> </w:t>
      </w:r>
      <w:r>
        <w:t>than</w:t>
      </w:r>
      <w:r w:rsidR="006C6F09">
        <w:t xml:space="preserve"> </w:t>
      </w:r>
      <w:r>
        <w:t>4</w:t>
      </w:r>
      <w:r w:rsidR="006C6F09">
        <w:t xml:space="preserve"> </w:t>
      </w:r>
      <w:r>
        <w:t>p.m.</w:t>
      </w:r>
      <w:r w:rsidR="006C6F09">
        <w:t xml:space="preserve"> </w:t>
      </w:r>
      <w:r>
        <w:t>CT,</w:t>
      </w:r>
      <w:r w:rsidR="006C6F09">
        <w:t xml:space="preserve"> </w:t>
      </w:r>
      <w:r>
        <w:rPr>
          <w:highlight w:val="darkGray"/>
        </w:rPr>
        <w:t>[Insert</w:t>
      </w:r>
      <w:r w:rsidR="006C6F09">
        <w:rPr>
          <w:highlight w:val="darkGray"/>
        </w:rPr>
        <w:t xml:space="preserve"> </w:t>
      </w:r>
      <w:r>
        <w:rPr>
          <w:highlight w:val="darkGray"/>
        </w:rPr>
        <w:t>text</w:t>
      </w:r>
      <w:r w:rsidR="006C6F09">
        <w:rPr>
          <w:highlight w:val="darkGray"/>
        </w:rPr>
        <w:t xml:space="preserve"> </w:t>
      </w:r>
      <w:r>
        <w:rPr>
          <w:highlight w:val="darkGray"/>
        </w:rPr>
        <w:t>-specific</w:t>
      </w:r>
      <w:r w:rsidR="006C6F09">
        <w:rPr>
          <w:highlight w:val="darkGray"/>
        </w:rPr>
        <w:t xml:space="preserve"> </w:t>
      </w:r>
      <w:r>
        <w:rPr>
          <w:highlight w:val="darkGray"/>
        </w:rPr>
        <w:t>date</w:t>
      </w:r>
      <w:r w:rsidR="006C6F09">
        <w:rPr>
          <w:highlight w:val="darkGray"/>
        </w:rPr>
        <w:t xml:space="preserve"> </w:t>
      </w:r>
      <w:r>
        <w:rPr>
          <w:highlight w:val="darkGray"/>
        </w:rPr>
        <w:t>that</w:t>
      </w:r>
      <w:r w:rsidR="006C6F09">
        <w:rPr>
          <w:highlight w:val="darkGray"/>
        </w:rPr>
        <w:t xml:space="preserve"> </w:t>
      </w:r>
      <w:r>
        <w:rPr>
          <w:highlight w:val="darkGray"/>
        </w:rPr>
        <w:t>is</w:t>
      </w:r>
      <w:r w:rsidR="006C6F09">
        <w:rPr>
          <w:highlight w:val="darkGray"/>
        </w:rPr>
        <w:t xml:space="preserve"> </w:t>
      </w:r>
      <w:r>
        <w:rPr>
          <w:highlight w:val="darkGray"/>
        </w:rPr>
        <w:t>at</w:t>
      </w:r>
      <w:r w:rsidR="006C6F09">
        <w:rPr>
          <w:highlight w:val="darkGray"/>
        </w:rPr>
        <w:t xml:space="preserve"> </w:t>
      </w:r>
      <w:r>
        <w:rPr>
          <w:highlight w:val="darkGray"/>
        </w:rPr>
        <w:t>least</w:t>
      </w:r>
      <w:r w:rsidR="006C6F09">
        <w:rPr>
          <w:highlight w:val="darkGray"/>
        </w:rPr>
        <w:t xml:space="preserve"> </w:t>
      </w:r>
      <w:r>
        <w:rPr>
          <w:highlight w:val="darkGray"/>
        </w:rPr>
        <w:t>three</w:t>
      </w:r>
      <w:r w:rsidR="006C6F09">
        <w:rPr>
          <w:highlight w:val="darkGray"/>
        </w:rPr>
        <w:t xml:space="preserve"> </w:t>
      </w:r>
      <w:r w:rsidRPr="00D25C8C">
        <w:rPr>
          <w:highlight w:val="darkGray"/>
        </w:rPr>
        <w:t>business</w:t>
      </w:r>
      <w:r w:rsidR="006C6F09">
        <w:rPr>
          <w:highlight w:val="darkGray"/>
        </w:rPr>
        <w:t xml:space="preserve"> </w:t>
      </w:r>
      <w:r w:rsidRPr="00D25C8C">
        <w:rPr>
          <w:highlight w:val="darkGray"/>
        </w:rPr>
        <w:t>days</w:t>
      </w:r>
      <w:r w:rsidR="006C6F09">
        <w:rPr>
          <w:highlight w:val="darkGray"/>
        </w:rPr>
        <w:t xml:space="preserve"> </w:t>
      </w:r>
      <w:r w:rsidRPr="00D25C8C">
        <w:rPr>
          <w:highlight w:val="darkGray"/>
        </w:rPr>
        <w:t>before</w:t>
      </w:r>
      <w:r w:rsidR="006C6F09">
        <w:rPr>
          <w:highlight w:val="darkGray"/>
        </w:rPr>
        <w:t xml:space="preserve"> </w:t>
      </w:r>
      <w:r w:rsidRPr="00D25C8C">
        <w:rPr>
          <w:highlight w:val="darkGray"/>
        </w:rPr>
        <w:t>the</w:t>
      </w:r>
      <w:r w:rsidR="006C6F09">
        <w:rPr>
          <w:highlight w:val="darkGray"/>
        </w:rPr>
        <w:t xml:space="preserve"> </w:t>
      </w:r>
      <w:r w:rsidRPr="00D25C8C">
        <w:rPr>
          <w:highlight w:val="darkGray"/>
        </w:rPr>
        <w:t>event</w:t>
      </w:r>
      <w:r>
        <w:rPr>
          <w:highlight w:val="darkGray"/>
        </w:rPr>
        <w:t>]</w:t>
      </w:r>
      <w:r>
        <w:t>.</w:t>
      </w:r>
      <w:r w:rsidR="006C6F09">
        <w:t xml:space="preserve"> </w:t>
      </w:r>
      <w:r>
        <w:t>Please</w:t>
      </w:r>
      <w:r w:rsidR="006C6F09">
        <w:t xml:space="preserve"> </w:t>
      </w:r>
      <w:r>
        <w:t>be</w:t>
      </w:r>
      <w:r w:rsidR="006C6F09">
        <w:t xml:space="preserve"> </w:t>
      </w:r>
      <w:r>
        <w:t>aware</w:t>
      </w:r>
      <w:r w:rsidR="006C6F09">
        <w:t xml:space="preserve"> </w:t>
      </w:r>
      <w:r>
        <w:t>that</w:t>
      </w:r>
      <w:r w:rsidR="006C6F09">
        <w:t xml:space="preserve"> </w:t>
      </w:r>
      <w:r>
        <w:t>advance</w:t>
      </w:r>
      <w:r w:rsidR="006C6F09">
        <w:t xml:space="preserve"> </w:t>
      </w:r>
      <w:r>
        <w:t>notice</w:t>
      </w:r>
      <w:r w:rsidR="006C6F09">
        <w:t xml:space="preserve"> </w:t>
      </w:r>
      <w:r>
        <w:t>is</w:t>
      </w:r>
      <w:r w:rsidR="006C6F09">
        <w:t xml:space="preserve"> </w:t>
      </w:r>
      <w:r>
        <w:t>required</w:t>
      </w:r>
      <w:r w:rsidR="006C6F09">
        <w:t xml:space="preserve"> </w:t>
      </w:r>
      <w:r>
        <w:t>as</w:t>
      </w:r>
      <w:r w:rsidR="006C6F09">
        <w:t xml:space="preserve"> </w:t>
      </w:r>
      <w:r>
        <w:t>some</w:t>
      </w:r>
      <w:r w:rsidR="006C6F09">
        <w:t xml:space="preserve"> </w:t>
      </w:r>
      <w:r>
        <w:t>services</w:t>
      </w:r>
      <w:r w:rsidR="006C6F09">
        <w:t xml:space="preserve"> </w:t>
      </w:r>
      <w:r>
        <w:t>and</w:t>
      </w:r>
      <w:r w:rsidR="006C6F09">
        <w:t xml:space="preserve"> </w:t>
      </w:r>
      <w:proofErr w:type="gramStart"/>
      <w:r>
        <w:t>accommodations</w:t>
      </w:r>
      <w:proofErr w:type="gramEnd"/>
      <w:r w:rsidR="006C6F09">
        <w:t xml:space="preserve"> </w:t>
      </w:r>
      <w:r>
        <w:t>may</w:t>
      </w:r>
      <w:r w:rsidR="006C6F09">
        <w:t xml:space="preserve"> </w:t>
      </w:r>
      <w:r>
        <w:t>require</w:t>
      </w:r>
      <w:r w:rsidR="006C6F09">
        <w:t xml:space="preserve"> </w:t>
      </w:r>
      <w:r>
        <w:t>time</w:t>
      </w:r>
      <w:r w:rsidR="006C6F09">
        <w:t xml:space="preserve"> </w:t>
      </w:r>
      <w:r>
        <w:t>for</w:t>
      </w:r>
      <w:r w:rsidR="006C6F09">
        <w:t xml:space="preserve"> </w:t>
      </w:r>
      <w:r>
        <w:t>the</w:t>
      </w:r>
      <w:r w:rsidR="006C6F09">
        <w:t xml:space="preserve"> </w:t>
      </w:r>
      <w:r>
        <w:t>Texas</w:t>
      </w:r>
      <w:r w:rsidR="006C6F09">
        <w:t xml:space="preserve"> </w:t>
      </w:r>
      <w:r>
        <w:t>Department</w:t>
      </w:r>
      <w:r w:rsidR="006C6F09">
        <w:t xml:space="preserve"> </w:t>
      </w:r>
      <w:r>
        <w:t>of</w:t>
      </w:r>
      <w:r w:rsidR="006C6F09">
        <w:t xml:space="preserve"> </w:t>
      </w:r>
      <w:r>
        <w:t>Transportation</w:t>
      </w:r>
      <w:r w:rsidR="006C6F09">
        <w:t xml:space="preserve"> </w:t>
      </w:r>
      <w:r>
        <w:t>to</w:t>
      </w:r>
      <w:r w:rsidR="006C6F09">
        <w:t xml:space="preserve"> </w:t>
      </w:r>
      <w:r>
        <w:t>arrange.</w:t>
      </w:r>
    </w:p>
    <w:p w14:paraId="5A739305" w14:textId="225035FC" w:rsidR="00457754" w:rsidRPr="00CA6995" w:rsidRDefault="00457754" w:rsidP="00457754">
      <w:pPr>
        <w:spacing w:after="0"/>
        <w:ind w:left="360"/>
        <w:rPr>
          <w:i/>
          <w:iCs/>
          <w:lang w:val="es-MX"/>
        </w:rPr>
      </w:pPr>
      <w:r w:rsidRPr="00CA6995">
        <w:rPr>
          <w:i/>
          <w:iCs/>
          <w:lang w:val="es-MX"/>
        </w:rPr>
        <w:t>El</w:t>
      </w:r>
      <w:r w:rsidR="006C6F09">
        <w:rPr>
          <w:i/>
          <w:iCs/>
          <w:lang w:val="es-MX"/>
        </w:rPr>
        <w:t xml:space="preserve"> </w:t>
      </w:r>
      <w:r w:rsidRPr="00CA6995">
        <w:rPr>
          <w:i/>
          <w:iCs/>
          <w:highlight w:val="darkGray"/>
          <w:lang w:val="es-MX"/>
        </w:rPr>
        <w:t>[</w:t>
      </w:r>
      <w:proofErr w:type="spellStart"/>
      <w:r w:rsidRPr="00CA6995">
        <w:rPr>
          <w:i/>
          <w:iCs/>
          <w:highlight w:val="darkGray"/>
          <w:lang w:val="es-MX"/>
        </w:rPr>
        <w:t>Insert</w:t>
      </w:r>
      <w:proofErr w:type="spellEnd"/>
      <w:r w:rsidR="006C6F09">
        <w:rPr>
          <w:i/>
          <w:iCs/>
          <w:highlight w:val="darkGray"/>
          <w:lang w:val="es-MX"/>
        </w:rPr>
        <w:t xml:space="preserve"> </w:t>
      </w:r>
      <w:proofErr w:type="spellStart"/>
      <w:r w:rsidRPr="00CA6995">
        <w:rPr>
          <w:i/>
          <w:iCs/>
          <w:highlight w:val="darkGray"/>
          <w:lang w:val="es-MX"/>
        </w:rPr>
        <w:t>text</w:t>
      </w:r>
      <w:proofErr w:type="spellEnd"/>
      <w:r w:rsidR="006C6F09">
        <w:rPr>
          <w:i/>
          <w:iCs/>
          <w:highlight w:val="darkGray"/>
          <w:lang w:val="es-MX"/>
        </w:rPr>
        <w:t xml:space="preserve"> </w:t>
      </w:r>
      <w:r w:rsidRPr="00CA6995">
        <w:rPr>
          <w:i/>
          <w:iCs/>
          <w:highlight w:val="darkGray"/>
          <w:lang w:val="es-MX"/>
        </w:rPr>
        <w:t>-</w:t>
      </w:r>
      <w:r w:rsidR="006C6F09">
        <w:rPr>
          <w:i/>
          <w:iCs/>
          <w:highlight w:val="darkGray"/>
          <w:lang w:val="es-MX"/>
        </w:rPr>
        <w:t xml:space="preserve"> </w:t>
      </w:r>
      <w:proofErr w:type="spellStart"/>
      <w:r w:rsidRPr="00CA6995">
        <w:rPr>
          <w:i/>
          <w:iCs/>
          <w:highlight w:val="darkGray"/>
          <w:lang w:val="es-MX"/>
        </w:rPr>
        <w:t>Spanish</w:t>
      </w:r>
      <w:proofErr w:type="spellEnd"/>
      <w:r w:rsidR="006C6F09">
        <w:rPr>
          <w:i/>
          <w:iCs/>
          <w:highlight w:val="darkGray"/>
          <w:lang w:val="es-MX"/>
        </w:rPr>
        <w:t xml:space="preserve"> </w:t>
      </w:r>
      <w:proofErr w:type="spellStart"/>
      <w:r w:rsidRPr="00CA6995">
        <w:rPr>
          <w:i/>
          <w:iCs/>
          <w:highlight w:val="darkGray"/>
          <w:lang w:val="es-MX"/>
        </w:rPr>
        <w:t>language</w:t>
      </w:r>
      <w:proofErr w:type="spellEnd"/>
      <w:r w:rsidR="006C6F09">
        <w:rPr>
          <w:i/>
          <w:iCs/>
          <w:highlight w:val="darkGray"/>
          <w:lang w:val="es-MX"/>
        </w:rPr>
        <w:t xml:space="preserve"> </w:t>
      </w:r>
      <w:proofErr w:type="spellStart"/>
      <w:r w:rsidRPr="00CA6995">
        <w:rPr>
          <w:i/>
          <w:iCs/>
          <w:highlight w:val="darkGray"/>
          <w:lang w:val="es-MX"/>
        </w:rPr>
        <w:t>event</w:t>
      </w:r>
      <w:proofErr w:type="spellEnd"/>
      <w:r w:rsidR="006C6F09">
        <w:rPr>
          <w:i/>
          <w:iCs/>
          <w:highlight w:val="darkGray"/>
          <w:lang w:val="es-MX"/>
        </w:rPr>
        <w:t xml:space="preserve"> </w:t>
      </w:r>
      <w:proofErr w:type="spellStart"/>
      <w:r w:rsidRPr="00CA6995">
        <w:rPr>
          <w:i/>
          <w:iCs/>
          <w:highlight w:val="darkGray"/>
          <w:lang w:val="es-MX"/>
        </w:rPr>
        <w:t>name</w:t>
      </w:r>
      <w:proofErr w:type="spellEnd"/>
      <w:r w:rsidR="006C6F09">
        <w:rPr>
          <w:i/>
          <w:iCs/>
          <w:highlight w:val="darkGray"/>
          <w:lang w:val="es-MX"/>
        </w:rPr>
        <w:t xml:space="preserve"> </w:t>
      </w:r>
      <w:r w:rsidRPr="00CA6995">
        <w:rPr>
          <w:i/>
          <w:iCs/>
          <w:highlight w:val="darkGray"/>
          <w:lang w:val="es-MX"/>
        </w:rPr>
        <w:t>–</w:t>
      </w:r>
      <w:r w:rsidR="006C6F09">
        <w:rPr>
          <w:i/>
          <w:iCs/>
          <w:highlight w:val="darkGray"/>
          <w:lang w:val="es-MX"/>
        </w:rPr>
        <w:t xml:space="preserve"> </w:t>
      </w:r>
      <w:proofErr w:type="spellStart"/>
      <w:r w:rsidRPr="00CA6995">
        <w:rPr>
          <w:i/>
          <w:iCs/>
          <w:highlight w:val="darkGray"/>
          <w:lang w:val="es-MX"/>
        </w:rPr>
        <w:t>Public</w:t>
      </w:r>
      <w:proofErr w:type="spellEnd"/>
      <w:r w:rsidR="006C6F09">
        <w:rPr>
          <w:i/>
          <w:iCs/>
          <w:highlight w:val="darkGray"/>
          <w:lang w:val="es-MX"/>
        </w:rPr>
        <w:t xml:space="preserve"> </w:t>
      </w:r>
      <w:proofErr w:type="gramStart"/>
      <w:r w:rsidRPr="00CA6995">
        <w:rPr>
          <w:i/>
          <w:iCs/>
          <w:highlight w:val="darkGray"/>
          <w:lang w:val="es-MX"/>
        </w:rPr>
        <w:t>Meeting</w:t>
      </w:r>
      <w:proofErr w:type="gramEnd"/>
      <w:r w:rsidR="006C6F09">
        <w:rPr>
          <w:i/>
          <w:iCs/>
          <w:highlight w:val="darkGray"/>
          <w:lang w:val="es-MX"/>
        </w:rPr>
        <w:t xml:space="preserve"> </w:t>
      </w:r>
      <w:r w:rsidRPr="00CA6995">
        <w:rPr>
          <w:i/>
          <w:iCs/>
          <w:highlight w:val="darkGray"/>
          <w:lang w:val="es-MX"/>
        </w:rPr>
        <w:t>–</w:t>
      </w:r>
      <w:r w:rsidR="006C6F09">
        <w:rPr>
          <w:i/>
          <w:iCs/>
          <w:highlight w:val="darkGray"/>
          <w:lang w:val="es-MX"/>
        </w:rPr>
        <w:t xml:space="preserve"> </w:t>
      </w:r>
      <w:r w:rsidRPr="00CA6995">
        <w:rPr>
          <w:i/>
          <w:iCs/>
          <w:highlight w:val="darkGray"/>
          <w:lang w:val="es-MX"/>
        </w:rPr>
        <w:t>La</w:t>
      </w:r>
      <w:r w:rsidR="006C6F09">
        <w:rPr>
          <w:i/>
          <w:iCs/>
          <w:highlight w:val="darkGray"/>
          <w:lang w:val="es-MX"/>
        </w:rPr>
        <w:t xml:space="preserve"> </w:t>
      </w:r>
      <w:r w:rsidRPr="00CA6995">
        <w:rPr>
          <w:i/>
          <w:iCs/>
          <w:highlight w:val="darkGray"/>
          <w:lang w:val="es-MX"/>
        </w:rPr>
        <w:t>reunión</w:t>
      </w:r>
      <w:r w:rsidR="006C6F09">
        <w:rPr>
          <w:i/>
          <w:iCs/>
          <w:highlight w:val="darkGray"/>
          <w:lang w:val="es-MX"/>
        </w:rPr>
        <w:t xml:space="preserve"> </w:t>
      </w:r>
      <w:r w:rsidRPr="00CA6995">
        <w:rPr>
          <w:i/>
          <w:iCs/>
          <w:highlight w:val="darkGray"/>
          <w:lang w:val="es-MX"/>
        </w:rPr>
        <w:t>pública,</w:t>
      </w:r>
      <w:r w:rsidR="006C6F09">
        <w:rPr>
          <w:i/>
          <w:iCs/>
          <w:highlight w:val="darkGray"/>
          <w:lang w:val="es-MX"/>
        </w:rPr>
        <w:t xml:space="preserve"> </w:t>
      </w:r>
      <w:r w:rsidRPr="00CA6995">
        <w:rPr>
          <w:i/>
          <w:iCs/>
          <w:highlight w:val="darkGray"/>
          <w:lang w:val="es-MX"/>
        </w:rPr>
        <w:t>Virtual</w:t>
      </w:r>
      <w:r w:rsidR="006C6F09">
        <w:rPr>
          <w:i/>
          <w:iCs/>
          <w:highlight w:val="darkGray"/>
          <w:lang w:val="es-MX"/>
        </w:rPr>
        <w:t xml:space="preserve"> </w:t>
      </w:r>
      <w:proofErr w:type="spellStart"/>
      <w:r w:rsidRPr="00CA6995">
        <w:rPr>
          <w:i/>
          <w:iCs/>
          <w:highlight w:val="darkGray"/>
          <w:lang w:val="es-MX"/>
        </w:rPr>
        <w:t>Public</w:t>
      </w:r>
      <w:proofErr w:type="spellEnd"/>
      <w:r w:rsidR="006C6F09">
        <w:rPr>
          <w:i/>
          <w:iCs/>
          <w:highlight w:val="darkGray"/>
          <w:lang w:val="es-MX"/>
        </w:rPr>
        <w:t xml:space="preserve"> </w:t>
      </w:r>
      <w:r w:rsidRPr="00CA6995">
        <w:rPr>
          <w:i/>
          <w:iCs/>
          <w:highlight w:val="darkGray"/>
          <w:lang w:val="es-MX"/>
        </w:rPr>
        <w:t>Meeting</w:t>
      </w:r>
      <w:r w:rsidR="006C6F09">
        <w:rPr>
          <w:i/>
          <w:iCs/>
          <w:highlight w:val="darkGray"/>
          <w:lang w:val="es-MX"/>
        </w:rPr>
        <w:t xml:space="preserve"> </w:t>
      </w:r>
      <w:r w:rsidRPr="00CA6995">
        <w:rPr>
          <w:i/>
          <w:iCs/>
          <w:highlight w:val="darkGray"/>
          <w:lang w:val="es-MX"/>
        </w:rPr>
        <w:t>–</w:t>
      </w:r>
      <w:r w:rsidR="006C6F09">
        <w:rPr>
          <w:i/>
          <w:iCs/>
          <w:highlight w:val="darkGray"/>
          <w:lang w:val="es-MX"/>
        </w:rPr>
        <w:t xml:space="preserve"> </w:t>
      </w:r>
      <w:r w:rsidRPr="00CA6995">
        <w:rPr>
          <w:i/>
          <w:iCs/>
          <w:highlight w:val="darkGray"/>
          <w:lang w:val="es-MX"/>
        </w:rPr>
        <w:t>La</w:t>
      </w:r>
      <w:r w:rsidR="006C6F09">
        <w:rPr>
          <w:i/>
          <w:iCs/>
          <w:highlight w:val="darkGray"/>
          <w:lang w:val="es-MX"/>
        </w:rPr>
        <w:t xml:space="preserve"> </w:t>
      </w:r>
      <w:r w:rsidRPr="00CA6995">
        <w:rPr>
          <w:i/>
          <w:iCs/>
          <w:highlight w:val="darkGray"/>
          <w:lang w:val="es-MX"/>
        </w:rPr>
        <w:t>reunión</w:t>
      </w:r>
      <w:r w:rsidR="006C6F09">
        <w:rPr>
          <w:i/>
          <w:iCs/>
          <w:highlight w:val="darkGray"/>
          <w:lang w:val="es-MX"/>
        </w:rPr>
        <w:t xml:space="preserve"> </w:t>
      </w:r>
      <w:r w:rsidRPr="00CA6995">
        <w:rPr>
          <w:i/>
          <w:iCs/>
          <w:highlight w:val="darkGray"/>
          <w:lang w:val="es-MX"/>
        </w:rPr>
        <w:t>pública</w:t>
      </w:r>
      <w:r w:rsidR="006C6F09">
        <w:rPr>
          <w:i/>
          <w:iCs/>
          <w:highlight w:val="darkGray"/>
          <w:lang w:val="es-MX"/>
        </w:rPr>
        <w:t xml:space="preserve"> </w:t>
      </w:r>
      <w:r w:rsidRPr="00CA6995">
        <w:rPr>
          <w:i/>
          <w:iCs/>
          <w:highlight w:val="darkGray"/>
          <w:lang w:val="es-MX"/>
        </w:rPr>
        <w:t>virtual]</w:t>
      </w:r>
      <w:r w:rsidR="006C6F09">
        <w:rPr>
          <w:i/>
          <w:iCs/>
          <w:lang w:val="es-MX"/>
        </w:rPr>
        <w:t xml:space="preserve"> </w:t>
      </w:r>
      <w:r w:rsidRPr="00CA6995">
        <w:rPr>
          <w:i/>
          <w:iCs/>
          <w:lang w:val="es-MX"/>
        </w:rPr>
        <w:t>se</w:t>
      </w:r>
      <w:r w:rsidR="006C6F09">
        <w:rPr>
          <w:i/>
          <w:iCs/>
          <w:lang w:val="es-MX"/>
        </w:rPr>
        <w:t xml:space="preserve"> </w:t>
      </w:r>
      <w:r w:rsidRPr="00CA6995">
        <w:rPr>
          <w:i/>
          <w:iCs/>
          <w:lang w:val="es-MX"/>
        </w:rPr>
        <w:t>llevará</w:t>
      </w:r>
      <w:r w:rsidR="006C6F09">
        <w:rPr>
          <w:i/>
          <w:iCs/>
          <w:lang w:val="es-MX"/>
        </w:rPr>
        <w:t xml:space="preserve"> </w:t>
      </w:r>
      <w:r w:rsidRPr="00CA6995">
        <w:rPr>
          <w:i/>
          <w:iCs/>
          <w:lang w:val="es-MX"/>
        </w:rPr>
        <w:t>a</w:t>
      </w:r>
      <w:r w:rsidR="006C6F09">
        <w:rPr>
          <w:i/>
          <w:iCs/>
          <w:lang w:val="es-MX"/>
        </w:rPr>
        <w:t xml:space="preserve"> </w:t>
      </w:r>
      <w:r w:rsidRPr="00CA6995">
        <w:rPr>
          <w:i/>
          <w:iCs/>
          <w:lang w:val="es-MX"/>
        </w:rPr>
        <w:t>cabo</w:t>
      </w:r>
      <w:r w:rsidR="006C6F09">
        <w:rPr>
          <w:i/>
          <w:iCs/>
          <w:lang w:val="es-MX"/>
        </w:rPr>
        <w:t xml:space="preserve"> </w:t>
      </w:r>
      <w:r w:rsidRPr="00CA6995">
        <w:rPr>
          <w:i/>
          <w:iCs/>
          <w:lang w:val="es-MX"/>
        </w:rPr>
        <w:t>en</w:t>
      </w:r>
      <w:r w:rsidR="006C6F09">
        <w:rPr>
          <w:i/>
          <w:iCs/>
          <w:lang w:val="es-MX"/>
        </w:rPr>
        <w:t xml:space="preserve"> </w:t>
      </w:r>
      <w:r w:rsidRPr="00CA6995">
        <w:rPr>
          <w:i/>
          <w:iCs/>
          <w:lang w:val="es-MX"/>
        </w:rPr>
        <w:t>inglés.</w:t>
      </w:r>
      <w:r w:rsidR="006C6F09">
        <w:rPr>
          <w:i/>
          <w:iCs/>
          <w:lang w:val="es-MX"/>
        </w:rPr>
        <w:t xml:space="preserve"> </w:t>
      </w:r>
      <w:r w:rsidRPr="00CA6995">
        <w:rPr>
          <w:i/>
          <w:iCs/>
          <w:lang w:val="es-MX"/>
        </w:rPr>
        <w:t>Si</w:t>
      </w:r>
      <w:r w:rsidR="006C6F09">
        <w:rPr>
          <w:i/>
          <w:iCs/>
          <w:lang w:val="es-MX"/>
        </w:rPr>
        <w:t xml:space="preserve"> </w:t>
      </w:r>
      <w:r w:rsidRPr="00CA6995">
        <w:rPr>
          <w:i/>
          <w:iCs/>
          <w:lang w:val="es-MX"/>
        </w:rPr>
        <w:t>usted</w:t>
      </w:r>
      <w:r w:rsidR="006C6F09">
        <w:rPr>
          <w:i/>
          <w:iCs/>
          <w:lang w:val="es-MX"/>
        </w:rPr>
        <w:t xml:space="preserve"> </w:t>
      </w:r>
      <w:r w:rsidRPr="00CA6995">
        <w:rPr>
          <w:i/>
          <w:iCs/>
          <w:lang w:val="es-MX"/>
        </w:rPr>
        <w:t>necesita</w:t>
      </w:r>
      <w:r w:rsidR="006C6F09">
        <w:rPr>
          <w:i/>
          <w:iCs/>
          <w:lang w:val="es-MX"/>
        </w:rPr>
        <w:t xml:space="preserve"> </w:t>
      </w:r>
      <w:r w:rsidRPr="00CA6995">
        <w:rPr>
          <w:i/>
          <w:iCs/>
          <w:lang w:val="es-MX"/>
        </w:rPr>
        <w:t>un</w:t>
      </w:r>
      <w:r w:rsidR="006C6F09">
        <w:rPr>
          <w:i/>
          <w:iCs/>
          <w:lang w:val="es-MX"/>
        </w:rPr>
        <w:t xml:space="preserve"> </w:t>
      </w:r>
      <w:r w:rsidRPr="00CA6995">
        <w:rPr>
          <w:i/>
          <w:iCs/>
          <w:lang w:val="es-MX"/>
        </w:rPr>
        <w:t>intérprete</w:t>
      </w:r>
      <w:r w:rsidR="006C6F09">
        <w:rPr>
          <w:i/>
          <w:iCs/>
          <w:lang w:val="es-MX"/>
        </w:rPr>
        <w:t xml:space="preserve"> </w:t>
      </w:r>
      <w:r w:rsidRPr="00CA6995">
        <w:rPr>
          <w:i/>
          <w:iCs/>
          <w:lang w:val="es-MX"/>
        </w:rPr>
        <w:t>o</w:t>
      </w:r>
      <w:r w:rsidR="006C6F09">
        <w:rPr>
          <w:i/>
          <w:iCs/>
          <w:lang w:val="es-MX"/>
        </w:rPr>
        <w:t xml:space="preserve"> </w:t>
      </w:r>
      <w:r w:rsidRPr="00CA6995">
        <w:rPr>
          <w:i/>
          <w:iCs/>
          <w:lang w:val="es-MX"/>
        </w:rPr>
        <w:t>un</w:t>
      </w:r>
      <w:r w:rsidR="006C6F09">
        <w:rPr>
          <w:i/>
          <w:iCs/>
          <w:lang w:val="es-MX"/>
        </w:rPr>
        <w:t xml:space="preserve"> </w:t>
      </w:r>
      <w:r w:rsidRPr="00CA6995">
        <w:rPr>
          <w:i/>
          <w:iCs/>
          <w:lang w:val="es-MX"/>
        </w:rPr>
        <w:t>traductor</w:t>
      </w:r>
      <w:r w:rsidR="006C6F09">
        <w:rPr>
          <w:i/>
          <w:iCs/>
          <w:lang w:val="es-MX"/>
        </w:rPr>
        <w:t xml:space="preserve"> </w:t>
      </w:r>
      <w:r w:rsidRPr="00CA6995">
        <w:rPr>
          <w:i/>
          <w:iCs/>
          <w:lang w:val="es-MX"/>
        </w:rPr>
        <w:t>de</w:t>
      </w:r>
      <w:r w:rsidR="006C6F09">
        <w:rPr>
          <w:i/>
          <w:iCs/>
          <w:lang w:val="es-MX"/>
        </w:rPr>
        <w:t xml:space="preserve"> </w:t>
      </w:r>
      <w:r w:rsidRPr="00CA6995">
        <w:rPr>
          <w:i/>
          <w:iCs/>
          <w:lang w:val="es-MX"/>
        </w:rPr>
        <w:t>documentos</w:t>
      </w:r>
      <w:r w:rsidR="006C6F09">
        <w:rPr>
          <w:i/>
          <w:iCs/>
          <w:lang w:val="es-MX"/>
        </w:rPr>
        <w:t xml:space="preserve"> </w:t>
      </w:r>
      <w:r w:rsidRPr="00CA6995">
        <w:rPr>
          <w:i/>
          <w:iCs/>
          <w:lang w:val="es-MX"/>
        </w:rPr>
        <w:t>porque</w:t>
      </w:r>
      <w:r w:rsidR="006C6F09">
        <w:rPr>
          <w:i/>
          <w:iCs/>
          <w:lang w:val="es-MX"/>
        </w:rPr>
        <w:t xml:space="preserve"> </w:t>
      </w:r>
      <w:r w:rsidRPr="00CA6995">
        <w:rPr>
          <w:i/>
          <w:iCs/>
          <w:lang w:val="es-MX"/>
        </w:rPr>
        <w:t>su</w:t>
      </w:r>
      <w:r w:rsidR="006C6F09">
        <w:rPr>
          <w:i/>
          <w:iCs/>
          <w:lang w:val="es-MX"/>
        </w:rPr>
        <w:t xml:space="preserve"> </w:t>
      </w:r>
      <w:r w:rsidRPr="00CA6995">
        <w:rPr>
          <w:i/>
          <w:iCs/>
          <w:lang w:val="es-MX"/>
        </w:rPr>
        <w:t>idioma</w:t>
      </w:r>
      <w:r w:rsidR="006C6F09">
        <w:rPr>
          <w:i/>
          <w:iCs/>
          <w:lang w:val="es-MX"/>
        </w:rPr>
        <w:t xml:space="preserve"> </w:t>
      </w:r>
      <w:r w:rsidRPr="00CA6995">
        <w:rPr>
          <w:i/>
          <w:iCs/>
          <w:lang w:val="es-MX"/>
        </w:rPr>
        <w:t>principal</w:t>
      </w:r>
      <w:r w:rsidR="006C6F09">
        <w:rPr>
          <w:i/>
          <w:iCs/>
          <w:lang w:val="es-MX"/>
        </w:rPr>
        <w:t xml:space="preserve"> </w:t>
      </w:r>
      <w:r w:rsidRPr="00CA6995">
        <w:rPr>
          <w:i/>
          <w:iCs/>
          <w:lang w:val="es-MX"/>
        </w:rPr>
        <w:t>no</w:t>
      </w:r>
      <w:r w:rsidR="006C6F09">
        <w:rPr>
          <w:i/>
          <w:iCs/>
          <w:lang w:val="es-MX"/>
        </w:rPr>
        <w:t xml:space="preserve"> </w:t>
      </w:r>
      <w:r w:rsidRPr="00CA6995">
        <w:rPr>
          <w:i/>
          <w:iCs/>
          <w:lang w:val="es-MX"/>
        </w:rPr>
        <w:t>es</w:t>
      </w:r>
      <w:r w:rsidR="006C6F09">
        <w:rPr>
          <w:i/>
          <w:iCs/>
          <w:lang w:val="es-MX"/>
        </w:rPr>
        <w:t xml:space="preserve"> </w:t>
      </w:r>
      <w:r w:rsidRPr="00CA6995">
        <w:rPr>
          <w:i/>
          <w:iCs/>
          <w:lang w:val="es-MX"/>
        </w:rPr>
        <w:t>el</w:t>
      </w:r>
      <w:r w:rsidR="006C6F09">
        <w:rPr>
          <w:i/>
          <w:iCs/>
          <w:lang w:val="es-MX"/>
        </w:rPr>
        <w:t xml:space="preserve"> </w:t>
      </w:r>
      <w:r w:rsidRPr="00CA6995">
        <w:rPr>
          <w:i/>
          <w:iCs/>
          <w:lang w:val="es-MX"/>
        </w:rPr>
        <w:t>inglés</w:t>
      </w:r>
      <w:r w:rsidR="006C6F09">
        <w:rPr>
          <w:i/>
          <w:iCs/>
          <w:lang w:val="es-MX"/>
        </w:rPr>
        <w:t xml:space="preserve"> </w:t>
      </w:r>
      <w:r w:rsidRPr="00CA6995">
        <w:rPr>
          <w:i/>
          <w:iCs/>
          <w:lang w:val="es-MX"/>
        </w:rPr>
        <w:t>o</w:t>
      </w:r>
      <w:r w:rsidR="006C6F09">
        <w:rPr>
          <w:i/>
          <w:iCs/>
          <w:lang w:val="es-MX"/>
        </w:rPr>
        <w:t xml:space="preserve"> </w:t>
      </w:r>
      <w:r w:rsidRPr="00CA6995">
        <w:rPr>
          <w:i/>
          <w:iCs/>
          <w:lang w:val="es-MX"/>
        </w:rPr>
        <w:t>tiene</w:t>
      </w:r>
      <w:r w:rsidR="006C6F09">
        <w:rPr>
          <w:i/>
          <w:iCs/>
          <w:lang w:val="es-MX"/>
        </w:rPr>
        <w:t xml:space="preserve"> </w:t>
      </w:r>
      <w:r w:rsidRPr="00CA6995">
        <w:rPr>
          <w:i/>
          <w:iCs/>
          <w:lang w:val="es-MX"/>
        </w:rPr>
        <w:t>alguna</w:t>
      </w:r>
      <w:r w:rsidR="006C6F09">
        <w:rPr>
          <w:i/>
          <w:iCs/>
          <w:lang w:val="es-MX"/>
        </w:rPr>
        <w:t xml:space="preserve"> </w:t>
      </w:r>
      <w:r w:rsidRPr="00CA6995">
        <w:rPr>
          <w:i/>
          <w:iCs/>
          <w:lang w:val="es-MX"/>
        </w:rPr>
        <w:t>dificultad</w:t>
      </w:r>
      <w:r w:rsidR="006C6F09">
        <w:rPr>
          <w:i/>
          <w:iCs/>
          <w:lang w:val="es-MX"/>
        </w:rPr>
        <w:t xml:space="preserve"> </w:t>
      </w:r>
      <w:r w:rsidRPr="00CA6995">
        <w:rPr>
          <w:i/>
          <w:iCs/>
          <w:lang w:val="es-MX"/>
        </w:rPr>
        <w:t>para</w:t>
      </w:r>
      <w:r w:rsidR="006C6F09">
        <w:rPr>
          <w:i/>
          <w:iCs/>
          <w:lang w:val="es-MX"/>
        </w:rPr>
        <w:t xml:space="preserve"> </w:t>
      </w:r>
      <w:r w:rsidRPr="00CA6995">
        <w:rPr>
          <w:i/>
          <w:iCs/>
          <w:lang w:val="es-MX"/>
        </w:rPr>
        <w:t>comunicarse</w:t>
      </w:r>
      <w:r w:rsidR="006C6F09">
        <w:rPr>
          <w:i/>
          <w:iCs/>
          <w:lang w:val="es-MX"/>
        </w:rPr>
        <w:t xml:space="preserve"> </w:t>
      </w:r>
      <w:r w:rsidRPr="00CA6995">
        <w:rPr>
          <w:i/>
          <w:iCs/>
          <w:lang w:val="es-MX"/>
        </w:rPr>
        <w:t>eficazmente</w:t>
      </w:r>
      <w:r w:rsidR="006C6F09">
        <w:rPr>
          <w:i/>
          <w:iCs/>
          <w:lang w:val="es-MX"/>
        </w:rPr>
        <w:t xml:space="preserve"> </w:t>
      </w:r>
      <w:r w:rsidRPr="00CA6995">
        <w:rPr>
          <w:i/>
          <w:iCs/>
          <w:lang w:val="es-MX"/>
        </w:rPr>
        <w:t>en</w:t>
      </w:r>
      <w:r w:rsidR="006C6F09">
        <w:rPr>
          <w:i/>
          <w:iCs/>
          <w:lang w:val="es-MX"/>
        </w:rPr>
        <w:t xml:space="preserve"> </w:t>
      </w:r>
      <w:r w:rsidRPr="00CA6995">
        <w:rPr>
          <w:i/>
          <w:iCs/>
          <w:lang w:val="es-MX"/>
        </w:rPr>
        <w:t>inglés,</w:t>
      </w:r>
      <w:r w:rsidR="006C6F09">
        <w:rPr>
          <w:i/>
          <w:iCs/>
          <w:lang w:val="es-MX"/>
        </w:rPr>
        <w:t xml:space="preserve"> </w:t>
      </w:r>
      <w:r w:rsidRPr="00CA6995">
        <w:rPr>
          <w:i/>
          <w:iCs/>
          <w:lang w:val="es-MX"/>
        </w:rPr>
        <w:t>se</w:t>
      </w:r>
      <w:r w:rsidR="006C6F09">
        <w:rPr>
          <w:i/>
          <w:iCs/>
          <w:lang w:val="es-MX"/>
        </w:rPr>
        <w:t xml:space="preserve"> </w:t>
      </w:r>
      <w:r w:rsidRPr="00CA6995">
        <w:rPr>
          <w:i/>
          <w:iCs/>
          <w:lang w:val="es-MX"/>
        </w:rPr>
        <w:t>le</w:t>
      </w:r>
      <w:r w:rsidR="006C6F09">
        <w:rPr>
          <w:i/>
          <w:iCs/>
          <w:lang w:val="es-MX"/>
        </w:rPr>
        <w:t xml:space="preserve"> </w:t>
      </w:r>
      <w:r w:rsidRPr="00CA6995">
        <w:rPr>
          <w:i/>
          <w:iCs/>
          <w:lang w:val="es-MX"/>
        </w:rPr>
        <w:t>proporcionará</w:t>
      </w:r>
      <w:r w:rsidR="006C6F09">
        <w:rPr>
          <w:i/>
          <w:iCs/>
          <w:lang w:val="es-MX"/>
        </w:rPr>
        <w:t xml:space="preserve"> </w:t>
      </w:r>
      <w:r w:rsidRPr="00CA6995">
        <w:rPr>
          <w:i/>
          <w:iCs/>
          <w:lang w:val="es-MX"/>
        </w:rPr>
        <w:t>uno.</w:t>
      </w:r>
      <w:r w:rsidR="006C6F09">
        <w:rPr>
          <w:i/>
          <w:iCs/>
          <w:lang w:val="es-MX"/>
        </w:rPr>
        <w:t xml:space="preserve"> </w:t>
      </w:r>
      <w:r w:rsidRPr="00CA6995">
        <w:rPr>
          <w:i/>
          <w:iCs/>
          <w:lang w:val="es-MX"/>
        </w:rPr>
        <w:t>Si</w:t>
      </w:r>
      <w:r w:rsidR="006C6F09">
        <w:rPr>
          <w:i/>
          <w:iCs/>
          <w:lang w:val="es-MX"/>
        </w:rPr>
        <w:t xml:space="preserve"> </w:t>
      </w:r>
      <w:r w:rsidRPr="00CA6995">
        <w:rPr>
          <w:i/>
          <w:iCs/>
          <w:lang w:val="es-MX"/>
        </w:rPr>
        <w:t>usted</w:t>
      </w:r>
      <w:r w:rsidR="006C6F09">
        <w:rPr>
          <w:i/>
          <w:iCs/>
          <w:lang w:val="es-MX"/>
        </w:rPr>
        <w:t xml:space="preserve"> </w:t>
      </w:r>
      <w:r w:rsidRPr="00CA6995">
        <w:rPr>
          <w:i/>
          <w:iCs/>
          <w:lang w:val="es-MX"/>
        </w:rPr>
        <w:t>tiene</w:t>
      </w:r>
      <w:r w:rsidR="006C6F09">
        <w:rPr>
          <w:i/>
          <w:iCs/>
          <w:lang w:val="es-MX"/>
        </w:rPr>
        <w:t xml:space="preserve"> </w:t>
      </w:r>
      <w:r w:rsidRPr="00CA6995">
        <w:rPr>
          <w:i/>
          <w:iCs/>
          <w:lang w:val="es-MX"/>
        </w:rPr>
        <w:t>alguna</w:t>
      </w:r>
      <w:r w:rsidR="006C6F09">
        <w:rPr>
          <w:i/>
          <w:iCs/>
          <w:lang w:val="es-MX"/>
        </w:rPr>
        <w:t xml:space="preserve"> </w:t>
      </w:r>
      <w:r w:rsidRPr="00CA6995">
        <w:rPr>
          <w:i/>
          <w:iCs/>
          <w:lang w:val="es-MX"/>
        </w:rPr>
        <w:t>discapacidad</w:t>
      </w:r>
      <w:r w:rsidR="006C6F09">
        <w:rPr>
          <w:i/>
          <w:iCs/>
          <w:lang w:val="es-MX"/>
        </w:rPr>
        <w:t xml:space="preserve"> </w:t>
      </w:r>
      <w:r w:rsidRPr="00CA6995">
        <w:rPr>
          <w:i/>
          <w:iCs/>
          <w:lang w:val="es-MX"/>
        </w:rPr>
        <w:t>y</w:t>
      </w:r>
      <w:r w:rsidR="006C6F09">
        <w:rPr>
          <w:i/>
          <w:iCs/>
          <w:lang w:val="es-MX"/>
        </w:rPr>
        <w:t xml:space="preserve"> </w:t>
      </w:r>
      <w:r w:rsidRPr="00CA6995">
        <w:rPr>
          <w:i/>
          <w:iCs/>
          <w:lang w:val="es-MX"/>
        </w:rPr>
        <w:t>necesita</w:t>
      </w:r>
      <w:r w:rsidR="006C6F09">
        <w:rPr>
          <w:i/>
          <w:iCs/>
          <w:lang w:val="es-MX"/>
        </w:rPr>
        <w:t xml:space="preserve"> </w:t>
      </w:r>
      <w:r w:rsidRPr="00CA6995">
        <w:rPr>
          <w:i/>
          <w:iCs/>
          <w:lang w:val="es-MX"/>
        </w:rPr>
        <w:t>ayuda,</w:t>
      </w:r>
      <w:r w:rsidR="006C6F09">
        <w:rPr>
          <w:i/>
          <w:iCs/>
          <w:lang w:val="es-MX"/>
        </w:rPr>
        <w:t xml:space="preserve"> </w:t>
      </w:r>
      <w:r w:rsidRPr="00CA6995">
        <w:rPr>
          <w:i/>
          <w:iCs/>
          <w:lang w:val="es-MX"/>
        </w:rPr>
        <w:t>se</w:t>
      </w:r>
      <w:r w:rsidR="006C6F09">
        <w:rPr>
          <w:i/>
          <w:iCs/>
          <w:lang w:val="es-MX"/>
        </w:rPr>
        <w:t xml:space="preserve"> </w:t>
      </w:r>
      <w:r w:rsidRPr="00CA6995">
        <w:rPr>
          <w:i/>
          <w:iCs/>
          <w:lang w:val="es-MX"/>
        </w:rPr>
        <w:t>pueden</w:t>
      </w:r>
      <w:r w:rsidR="006C6F09">
        <w:rPr>
          <w:i/>
          <w:iCs/>
          <w:lang w:val="es-MX"/>
        </w:rPr>
        <w:t xml:space="preserve"> </w:t>
      </w:r>
      <w:r w:rsidRPr="00CA6995">
        <w:rPr>
          <w:i/>
          <w:iCs/>
          <w:lang w:val="es-MX"/>
        </w:rPr>
        <w:t>hacer</w:t>
      </w:r>
      <w:r w:rsidR="006C6F09">
        <w:rPr>
          <w:i/>
          <w:iCs/>
          <w:lang w:val="es-MX"/>
        </w:rPr>
        <w:t xml:space="preserve"> </w:t>
      </w:r>
      <w:r w:rsidRPr="00CA6995">
        <w:rPr>
          <w:i/>
          <w:iCs/>
          <w:lang w:val="es-MX"/>
        </w:rPr>
        <w:t>arreglos</w:t>
      </w:r>
      <w:r w:rsidR="006C6F09">
        <w:rPr>
          <w:i/>
          <w:iCs/>
          <w:lang w:val="es-MX"/>
        </w:rPr>
        <w:t xml:space="preserve"> </w:t>
      </w:r>
      <w:r w:rsidRPr="00CA6995">
        <w:rPr>
          <w:i/>
          <w:iCs/>
          <w:lang w:val="es-MX"/>
        </w:rPr>
        <w:t>especiales</w:t>
      </w:r>
      <w:r w:rsidR="006C6F09">
        <w:rPr>
          <w:i/>
          <w:iCs/>
          <w:lang w:val="es-MX"/>
        </w:rPr>
        <w:t xml:space="preserve"> </w:t>
      </w:r>
      <w:r w:rsidRPr="00CA6995">
        <w:rPr>
          <w:i/>
          <w:iCs/>
          <w:lang w:val="es-MX"/>
        </w:rPr>
        <w:t>para</w:t>
      </w:r>
      <w:r w:rsidR="006C6F09">
        <w:rPr>
          <w:i/>
          <w:iCs/>
          <w:lang w:val="es-MX"/>
        </w:rPr>
        <w:t xml:space="preserve"> </w:t>
      </w:r>
      <w:r w:rsidRPr="00CA6995">
        <w:rPr>
          <w:i/>
          <w:iCs/>
          <w:lang w:val="es-MX"/>
        </w:rPr>
        <w:t>atender</w:t>
      </w:r>
      <w:r w:rsidR="006C6F09">
        <w:rPr>
          <w:i/>
          <w:iCs/>
          <w:lang w:val="es-MX"/>
        </w:rPr>
        <w:t xml:space="preserve"> </w:t>
      </w:r>
      <w:r w:rsidRPr="00CA6995">
        <w:rPr>
          <w:i/>
          <w:iCs/>
          <w:lang w:val="es-MX"/>
        </w:rPr>
        <w:t>la</w:t>
      </w:r>
      <w:r w:rsidR="006C6F09">
        <w:rPr>
          <w:i/>
          <w:iCs/>
          <w:lang w:val="es-MX"/>
        </w:rPr>
        <w:t xml:space="preserve"> </w:t>
      </w:r>
      <w:r w:rsidRPr="00CA6995">
        <w:rPr>
          <w:i/>
          <w:iCs/>
          <w:lang w:val="es-MX"/>
        </w:rPr>
        <w:t>mayoría</w:t>
      </w:r>
      <w:r w:rsidR="006C6F09">
        <w:rPr>
          <w:i/>
          <w:iCs/>
          <w:lang w:val="es-MX"/>
        </w:rPr>
        <w:t xml:space="preserve"> </w:t>
      </w:r>
      <w:r w:rsidRPr="00CA6995">
        <w:rPr>
          <w:i/>
          <w:iCs/>
          <w:lang w:val="es-MX"/>
        </w:rPr>
        <w:t>de</w:t>
      </w:r>
      <w:r w:rsidR="006C6F09">
        <w:rPr>
          <w:i/>
          <w:iCs/>
          <w:lang w:val="es-MX"/>
        </w:rPr>
        <w:t xml:space="preserve"> </w:t>
      </w:r>
      <w:r w:rsidRPr="00CA6995">
        <w:rPr>
          <w:i/>
          <w:iCs/>
          <w:lang w:val="es-MX"/>
        </w:rPr>
        <w:t>las</w:t>
      </w:r>
      <w:r w:rsidR="006C6F09">
        <w:rPr>
          <w:i/>
          <w:iCs/>
          <w:lang w:val="es-MX"/>
        </w:rPr>
        <w:t xml:space="preserve"> </w:t>
      </w:r>
      <w:r w:rsidRPr="00CA6995">
        <w:rPr>
          <w:i/>
          <w:iCs/>
          <w:lang w:val="es-MX"/>
        </w:rPr>
        <w:t>necesidades.</w:t>
      </w:r>
      <w:r w:rsidR="006C6F09">
        <w:rPr>
          <w:i/>
          <w:iCs/>
          <w:lang w:val="es-MX"/>
        </w:rPr>
        <w:t xml:space="preserve"> </w:t>
      </w:r>
      <w:r w:rsidRPr="00CA6995">
        <w:rPr>
          <w:i/>
          <w:iCs/>
          <w:lang w:val="es-MX"/>
        </w:rPr>
        <w:t>Si</w:t>
      </w:r>
      <w:r w:rsidR="006C6F09">
        <w:rPr>
          <w:i/>
          <w:iCs/>
          <w:lang w:val="es-MX"/>
        </w:rPr>
        <w:t xml:space="preserve"> </w:t>
      </w:r>
      <w:r w:rsidRPr="00CA6995">
        <w:rPr>
          <w:i/>
          <w:iCs/>
          <w:lang w:val="es-MX"/>
        </w:rPr>
        <w:t>usted</w:t>
      </w:r>
      <w:r w:rsidR="006C6F09">
        <w:rPr>
          <w:i/>
          <w:iCs/>
          <w:lang w:val="es-MX"/>
        </w:rPr>
        <w:t xml:space="preserve"> </w:t>
      </w:r>
      <w:r w:rsidRPr="00CA6995">
        <w:rPr>
          <w:i/>
          <w:iCs/>
          <w:lang w:val="es-MX"/>
        </w:rPr>
        <w:t>necesita</w:t>
      </w:r>
      <w:r w:rsidR="006C6F09">
        <w:rPr>
          <w:i/>
          <w:iCs/>
          <w:lang w:val="es-MX"/>
        </w:rPr>
        <w:t xml:space="preserve"> </w:t>
      </w:r>
      <w:r w:rsidRPr="00CA6995">
        <w:rPr>
          <w:i/>
          <w:iCs/>
          <w:lang w:val="es-MX"/>
        </w:rPr>
        <w:t>servicios</w:t>
      </w:r>
      <w:r w:rsidR="006C6F09">
        <w:rPr>
          <w:i/>
          <w:iCs/>
          <w:lang w:val="es-MX"/>
        </w:rPr>
        <w:t xml:space="preserve"> </w:t>
      </w:r>
      <w:r w:rsidRPr="00CA6995">
        <w:rPr>
          <w:i/>
          <w:iCs/>
          <w:lang w:val="es-MX"/>
        </w:rPr>
        <w:t>de</w:t>
      </w:r>
      <w:r w:rsidR="006C6F09">
        <w:rPr>
          <w:i/>
          <w:iCs/>
          <w:lang w:val="es-MX"/>
        </w:rPr>
        <w:t xml:space="preserve"> </w:t>
      </w:r>
      <w:r w:rsidRPr="00CA6995">
        <w:rPr>
          <w:i/>
          <w:iCs/>
          <w:lang w:val="es-MX"/>
        </w:rPr>
        <w:t>interpretación</w:t>
      </w:r>
      <w:r w:rsidR="006C6F09">
        <w:rPr>
          <w:i/>
          <w:iCs/>
          <w:lang w:val="es-MX"/>
        </w:rPr>
        <w:t xml:space="preserve"> </w:t>
      </w:r>
      <w:r w:rsidRPr="00CA6995">
        <w:rPr>
          <w:i/>
          <w:iCs/>
          <w:lang w:val="es-MX"/>
        </w:rPr>
        <w:t>o</w:t>
      </w:r>
      <w:r w:rsidR="006C6F09">
        <w:rPr>
          <w:i/>
          <w:iCs/>
          <w:lang w:val="es-MX"/>
        </w:rPr>
        <w:t xml:space="preserve"> </w:t>
      </w:r>
      <w:r w:rsidRPr="00CA6995">
        <w:rPr>
          <w:i/>
          <w:iCs/>
          <w:lang w:val="es-MX"/>
        </w:rPr>
        <w:t>traducción</w:t>
      </w:r>
      <w:r w:rsidR="006C6F09">
        <w:rPr>
          <w:i/>
          <w:iCs/>
          <w:lang w:val="es-MX"/>
        </w:rPr>
        <w:t xml:space="preserve"> </w:t>
      </w:r>
      <w:r w:rsidRPr="00CA6995">
        <w:rPr>
          <w:i/>
          <w:iCs/>
          <w:lang w:val="es-MX"/>
        </w:rPr>
        <w:t>o</w:t>
      </w:r>
      <w:r w:rsidR="006C6F09">
        <w:rPr>
          <w:i/>
          <w:iCs/>
          <w:lang w:val="es-MX"/>
        </w:rPr>
        <w:t xml:space="preserve"> </w:t>
      </w:r>
      <w:r w:rsidRPr="00CA6995">
        <w:rPr>
          <w:i/>
          <w:iCs/>
          <w:lang w:val="es-MX"/>
        </w:rPr>
        <w:t>usted</w:t>
      </w:r>
      <w:r w:rsidR="006C6F09">
        <w:rPr>
          <w:i/>
          <w:iCs/>
          <w:lang w:val="es-MX"/>
        </w:rPr>
        <w:t xml:space="preserve"> </w:t>
      </w:r>
      <w:r w:rsidRPr="00CA6995">
        <w:rPr>
          <w:i/>
          <w:iCs/>
          <w:lang w:val="es-MX"/>
        </w:rPr>
        <w:t>es</w:t>
      </w:r>
      <w:r w:rsidR="006C6F09">
        <w:rPr>
          <w:i/>
          <w:iCs/>
          <w:lang w:val="es-MX"/>
        </w:rPr>
        <w:t xml:space="preserve"> </w:t>
      </w:r>
      <w:r w:rsidRPr="00CA6995">
        <w:rPr>
          <w:i/>
          <w:iCs/>
          <w:lang w:val="es-MX"/>
        </w:rPr>
        <w:t>una</w:t>
      </w:r>
      <w:r w:rsidR="006C6F09">
        <w:rPr>
          <w:i/>
          <w:iCs/>
          <w:lang w:val="es-MX"/>
        </w:rPr>
        <w:t xml:space="preserve"> </w:t>
      </w:r>
      <w:r w:rsidRPr="00CA6995">
        <w:rPr>
          <w:i/>
          <w:iCs/>
          <w:lang w:val="es-MX"/>
        </w:rPr>
        <w:t>persona</w:t>
      </w:r>
      <w:r w:rsidR="006C6F09">
        <w:rPr>
          <w:i/>
          <w:iCs/>
          <w:lang w:val="es-MX"/>
        </w:rPr>
        <w:t xml:space="preserve"> </w:t>
      </w:r>
      <w:r w:rsidRPr="00CA6995">
        <w:rPr>
          <w:i/>
          <w:iCs/>
          <w:lang w:val="es-MX"/>
        </w:rPr>
        <w:t>con</w:t>
      </w:r>
      <w:r w:rsidR="006C6F09">
        <w:rPr>
          <w:i/>
          <w:iCs/>
          <w:lang w:val="es-MX"/>
        </w:rPr>
        <w:t xml:space="preserve"> </w:t>
      </w:r>
      <w:r w:rsidRPr="00CA6995">
        <w:rPr>
          <w:i/>
          <w:iCs/>
          <w:lang w:val="es-MX"/>
        </w:rPr>
        <w:t>alguna</w:t>
      </w:r>
      <w:r w:rsidR="006C6F09">
        <w:rPr>
          <w:i/>
          <w:iCs/>
          <w:lang w:val="es-MX"/>
        </w:rPr>
        <w:t xml:space="preserve"> </w:t>
      </w:r>
      <w:r w:rsidRPr="00CA6995">
        <w:rPr>
          <w:i/>
          <w:iCs/>
          <w:lang w:val="es-MX"/>
        </w:rPr>
        <w:t>discapacidad</w:t>
      </w:r>
      <w:r w:rsidR="006C6F09">
        <w:rPr>
          <w:i/>
          <w:iCs/>
          <w:lang w:val="es-MX"/>
        </w:rPr>
        <w:t xml:space="preserve"> </w:t>
      </w:r>
      <w:r w:rsidRPr="00CA6995">
        <w:rPr>
          <w:i/>
          <w:iCs/>
          <w:lang w:val="es-MX"/>
        </w:rPr>
        <w:t>que</w:t>
      </w:r>
      <w:r w:rsidR="006C6F09">
        <w:rPr>
          <w:i/>
          <w:iCs/>
          <w:lang w:val="es-MX"/>
        </w:rPr>
        <w:t xml:space="preserve"> </w:t>
      </w:r>
      <w:r w:rsidRPr="00CA6995">
        <w:rPr>
          <w:i/>
          <w:iCs/>
          <w:lang w:val="es-MX"/>
        </w:rPr>
        <w:t>requiera</w:t>
      </w:r>
      <w:r w:rsidR="006C6F09">
        <w:rPr>
          <w:i/>
          <w:iCs/>
          <w:lang w:val="es-MX"/>
        </w:rPr>
        <w:t xml:space="preserve"> </w:t>
      </w:r>
      <w:r w:rsidRPr="00CA6995">
        <w:rPr>
          <w:i/>
          <w:iCs/>
          <w:lang w:val="es-MX"/>
        </w:rPr>
        <w:t>una</w:t>
      </w:r>
      <w:r w:rsidR="006C6F09">
        <w:rPr>
          <w:i/>
          <w:iCs/>
          <w:lang w:val="es-MX"/>
        </w:rPr>
        <w:t xml:space="preserve"> </w:t>
      </w:r>
      <w:r w:rsidRPr="00CA6995">
        <w:rPr>
          <w:i/>
          <w:iCs/>
          <w:lang w:val="es-MX"/>
        </w:rPr>
        <w:t>adaptación</w:t>
      </w:r>
      <w:r w:rsidR="006C6F09">
        <w:rPr>
          <w:i/>
          <w:iCs/>
          <w:lang w:val="es-MX"/>
        </w:rPr>
        <w:t xml:space="preserve"> </w:t>
      </w:r>
      <w:r w:rsidRPr="00CA6995">
        <w:rPr>
          <w:i/>
          <w:iCs/>
          <w:lang w:val="es-MX"/>
        </w:rPr>
        <w:t>para</w:t>
      </w:r>
      <w:r w:rsidR="006C6F09">
        <w:rPr>
          <w:i/>
          <w:iCs/>
          <w:lang w:val="es-MX"/>
        </w:rPr>
        <w:t xml:space="preserve"> </w:t>
      </w:r>
      <w:r w:rsidRPr="00CA6995">
        <w:rPr>
          <w:i/>
          <w:iCs/>
          <w:lang w:val="es-MX"/>
        </w:rPr>
        <w:t>asistir</w:t>
      </w:r>
      <w:r w:rsidR="006C6F09">
        <w:rPr>
          <w:i/>
          <w:iCs/>
          <w:lang w:val="es-MX"/>
        </w:rPr>
        <w:t xml:space="preserve"> </w:t>
      </w:r>
      <w:r w:rsidRPr="00CA6995">
        <w:rPr>
          <w:i/>
          <w:iCs/>
          <w:lang w:val="es-MX"/>
        </w:rPr>
        <w:t>a</w:t>
      </w:r>
      <w:r w:rsidR="006C6F09">
        <w:rPr>
          <w:i/>
          <w:iCs/>
          <w:lang w:val="es-MX"/>
        </w:rPr>
        <w:t xml:space="preserve"> </w:t>
      </w:r>
      <w:r w:rsidRPr="00CA6995">
        <w:rPr>
          <w:i/>
          <w:iCs/>
          <w:lang w:val="es-MX"/>
        </w:rPr>
        <w:t>y</w:t>
      </w:r>
      <w:r w:rsidR="006C6F09">
        <w:rPr>
          <w:i/>
          <w:iCs/>
          <w:lang w:val="es-MX"/>
        </w:rPr>
        <w:t xml:space="preserve"> </w:t>
      </w:r>
      <w:r w:rsidRPr="00CA6995">
        <w:rPr>
          <w:i/>
          <w:iCs/>
          <w:lang w:val="es-MX"/>
        </w:rPr>
        <w:t>participar</w:t>
      </w:r>
      <w:r w:rsidR="006C6F09">
        <w:rPr>
          <w:i/>
          <w:iCs/>
          <w:lang w:val="es-MX"/>
        </w:rPr>
        <w:t xml:space="preserve"> </w:t>
      </w:r>
      <w:r w:rsidRPr="00CA6995">
        <w:rPr>
          <w:i/>
          <w:iCs/>
          <w:lang w:val="es-MX"/>
        </w:rPr>
        <w:t>en</w:t>
      </w:r>
      <w:r w:rsidR="006C6F09">
        <w:rPr>
          <w:i/>
          <w:iCs/>
          <w:lang w:val="es-MX"/>
        </w:rPr>
        <w:t xml:space="preserve"> </w:t>
      </w:r>
      <w:r w:rsidRPr="00CA6995">
        <w:rPr>
          <w:i/>
          <w:iCs/>
          <w:highlight w:val="darkGray"/>
          <w:lang w:val="es-MX"/>
        </w:rPr>
        <w:t>[</w:t>
      </w:r>
      <w:proofErr w:type="spellStart"/>
      <w:r w:rsidRPr="00CA6995">
        <w:rPr>
          <w:i/>
          <w:iCs/>
          <w:highlight w:val="darkGray"/>
          <w:lang w:val="es-MX"/>
        </w:rPr>
        <w:t>Insert</w:t>
      </w:r>
      <w:proofErr w:type="spellEnd"/>
      <w:r w:rsidR="006C6F09">
        <w:rPr>
          <w:i/>
          <w:iCs/>
          <w:highlight w:val="darkGray"/>
          <w:lang w:val="es-MX"/>
        </w:rPr>
        <w:t xml:space="preserve"> </w:t>
      </w:r>
      <w:proofErr w:type="spellStart"/>
      <w:r w:rsidRPr="00CA6995">
        <w:rPr>
          <w:i/>
          <w:iCs/>
          <w:highlight w:val="darkGray"/>
          <w:lang w:val="es-MX"/>
        </w:rPr>
        <w:t>text</w:t>
      </w:r>
      <w:proofErr w:type="spellEnd"/>
      <w:r w:rsidR="006C6F09">
        <w:rPr>
          <w:i/>
          <w:iCs/>
          <w:highlight w:val="darkGray"/>
          <w:lang w:val="es-MX"/>
        </w:rPr>
        <w:t xml:space="preserve"> </w:t>
      </w:r>
      <w:r w:rsidRPr="00CA6995">
        <w:rPr>
          <w:i/>
          <w:iCs/>
          <w:highlight w:val="darkGray"/>
          <w:lang w:val="es-MX"/>
        </w:rPr>
        <w:t>-</w:t>
      </w:r>
      <w:r w:rsidR="006C6F09">
        <w:rPr>
          <w:i/>
          <w:iCs/>
          <w:highlight w:val="darkGray"/>
          <w:lang w:val="es-MX"/>
        </w:rPr>
        <w:t xml:space="preserve"> </w:t>
      </w:r>
      <w:proofErr w:type="spellStart"/>
      <w:r w:rsidRPr="00CA6995">
        <w:rPr>
          <w:i/>
          <w:iCs/>
          <w:highlight w:val="darkGray"/>
          <w:lang w:val="es-MX"/>
        </w:rPr>
        <w:t>Spanish</w:t>
      </w:r>
      <w:proofErr w:type="spellEnd"/>
      <w:r w:rsidR="006C6F09">
        <w:rPr>
          <w:i/>
          <w:iCs/>
          <w:highlight w:val="darkGray"/>
          <w:lang w:val="es-MX"/>
        </w:rPr>
        <w:t xml:space="preserve"> </w:t>
      </w:r>
      <w:proofErr w:type="spellStart"/>
      <w:r w:rsidRPr="00CA6995">
        <w:rPr>
          <w:i/>
          <w:iCs/>
          <w:highlight w:val="darkGray"/>
          <w:lang w:val="es-MX"/>
        </w:rPr>
        <w:t>language</w:t>
      </w:r>
      <w:proofErr w:type="spellEnd"/>
      <w:r w:rsidR="006C6F09">
        <w:rPr>
          <w:i/>
          <w:iCs/>
          <w:highlight w:val="darkGray"/>
          <w:lang w:val="es-MX"/>
        </w:rPr>
        <w:t xml:space="preserve"> </w:t>
      </w:r>
      <w:proofErr w:type="spellStart"/>
      <w:r w:rsidRPr="00CA6995">
        <w:rPr>
          <w:i/>
          <w:iCs/>
          <w:highlight w:val="darkGray"/>
          <w:lang w:val="es-MX"/>
        </w:rPr>
        <w:t>event</w:t>
      </w:r>
      <w:proofErr w:type="spellEnd"/>
      <w:r w:rsidR="006C6F09">
        <w:rPr>
          <w:i/>
          <w:iCs/>
          <w:highlight w:val="darkGray"/>
          <w:lang w:val="es-MX"/>
        </w:rPr>
        <w:t xml:space="preserve"> </w:t>
      </w:r>
      <w:proofErr w:type="spellStart"/>
      <w:r w:rsidRPr="00CA6995">
        <w:rPr>
          <w:i/>
          <w:iCs/>
          <w:highlight w:val="darkGray"/>
          <w:lang w:val="es-MX"/>
        </w:rPr>
        <w:t>name</w:t>
      </w:r>
      <w:proofErr w:type="spellEnd"/>
      <w:r w:rsidR="006C6F09">
        <w:rPr>
          <w:i/>
          <w:iCs/>
          <w:highlight w:val="darkGray"/>
          <w:lang w:val="es-MX"/>
        </w:rPr>
        <w:t xml:space="preserve"> </w:t>
      </w:r>
      <w:r w:rsidRPr="00CA6995">
        <w:rPr>
          <w:i/>
          <w:iCs/>
          <w:highlight w:val="darkGray"/>
          <w:lang w:val="es-MX"/>
        </w:rPr>
        <w:t>–</w:t>
      </w:r>
      <w:r w:rsidR="006C6F09">
        <w:rPr>
          <w:i/>
          <w:iCs/>
          <w:highlight w:val="darkGray"/>
          <w:lang w:val="es-MX"/>
        </w:rPr>
        <w:t xml:space="preserve"> </w:t>
      </w:r>
      <w:proofErr w:type="spellStart"/>
      <w:r w:rsidRPr="00CA6995">
        <w:rPr>
          <w:i/>
          <w:iCs/>
          <w:highlight w:val="darkGray"/>
          <w:lang w:val="es-MX"/>
        </w:rPr>
        <w:t>Public</w:t>
      </w:r>
      <w:proofErr w:type="spellEnd"/>
      <w:r w:rsidR="006C6F09">
        <w:rPr>
          <w:i/>
          <w:iCs/>
          <w:highlight w:val="darkGray"/>
          <w:lang w:val="es-MX"/>
        </w:rPr>
        <w:t xml:space="preserve"> </w:t>
      </w:r>
      <w:r w:rsidRPr="00CA6995">
        <w:rPr>
          <w:i/>
          <w:iCs/>
          <w:highlight w:val="darkGray"/>
          <w:lang w:val="es-MX"/>
        </w:rPr>
        <w:t>Meeting</w:t>
      </w:r>
      <w:r w:rsidR="006C6F09">
        <w:rPr>
          <w:i/>
          <w:iCs/>
          <w:highlight w:val="darkGray"/>
          <w:lang w:val="es-MX"/>
        </w:rPr>
        <w:t xml:space="preserve"> </w:t>
      </w:r>
      <w:r w:rsidRPr="00CA6995">
        <w:rPr>
          <w:i/>
          <w:iCs/>
          <w:highlight w:val="darkGray"/>
          <w:lang w:val="es-MX"/>
        </w:rPr>
        <w:t>–</w:t>
      </w:r>
      <w:r w:rsidR="006C6F09">
        <w:rPr>
          <w:i/>
          <w:iCs/>
          <w:highlight w:val="darkGray"/>
          <w:lang w:val="es-MX"/>
        </w:rPr>
        <w:t xml:space="preserve"> </w:t>
      </w:r>
      <w:r w:rsidRPr="00CA6995">
        <w:rPr>
          <w:i/>
          <w:iCs/>
          <w:highlight w:val="darkGray"/>
          <w:lang w:val="es-MX"/>
        </w:rPr>
        <w:t>La</w:t>
      </w:r>
      <w:r w:rsidR="006C6F09">
        <w:rPr>
          <w:i/>
          <w:iCs/>
          <w:highlight w:val="darkGray"/>
          <w:lang w:val="es-MX"/>
        </w:rPr>
        <w:t xml:space="preserve"> </w:t>
      </w:r>
      <w:r w:rsidRPr="00CA6995">
        <w:rPr>
          <w:i/>
          <w:iCs/>
          <w:highlight w:val="darkGray"/>
          <w:lang w:val="es-MX"/>
        </w:rPr>
        <w:t>reunión</w:t>
      </w:r>
      <w:r w:rsidR="006C6F09">
        <w:rPr>
          <w:i/>
          <w:iCs/>
          <w:highlight w:val="darkGray"/>
          <w:lang w:val="es-MX"/>
        </w:rPr>
        <w:t xml:space="preserve"> </w:t>
      </w:r>
      <w:r w:rsidRPr="00CA6995">
        <w:rPr>
          <w:i/>
          <w:iCs/>
          <w:highlight w:val="darkGray"/>
          <w:lang w:val="es-MX"/>
        </w:rPr>
        <w:t>pública,</w:t>
      </w:r>
      <w:r w:rsidR="006C6F09">
        <w:rPr>
          <w:i/>
          <w:iCs/>
          <w:highlight w:val="darkGray"/>
          <w:lang w:val="es-MX"/>
        </w:rPr>
        <w:t xml:space="preserve"> </w:t>
      </w:r>
      <w:r w:rsidRPr="00CA6995">
        <w:rPr>
          <w:i/>
          <w:iCs/>
          <w:highlight w:val="darkGray"/>
          <w:lang w:val="es-MX"/>
        </w:rPr>
        <w:t>Virtual</w:t>
      </w:r>
      <w:r w:rsidR="006C6F09">
        <w:rPr>
          <w:i/>
          <w:iCs/>
          <w:highlight w:val="darkGray"/>
          <w:lang w:val="es-MX"/>
        </w:rPr>
        <w:t xml:space="preserve"> </w:t>
      </w:r>
      <w:proofErr w:type="spellStart"/>
      <w:r w:rsidRPr="00CA6995">
        <w:rPr>
          <w:i/>
          <w:iCs/>
          <w:highlight w:val="darkGray"/>
          <w:lang w:val="es-MX"/>
        </w:rPr>
        <w:t>Public</w:t>
      </w:r>
      <w:proofErr w:type="spellEnd"/>
      <w:r w:rsidR="006C6F09">
        <w:rPr>
          <w:i/>
          <w:iCs/>
          <w:highlight w:val="darkGray"/>
          <w:lang w:val="es-MX"/>
        </w:rPr>
        <w:t xml:space="preserve"> </w:t>
      </w:r>
      <w:r w:rsidRPr="00CA6995">
        <w:rPr>
          <w:i/>
          <w:iCs/>
          <w:highlight w:val="darkGray"/>
          <w:lang w:val="es-MX"/>
        </w:rPr>
        <w:t>Meeting</w:t>
      </w:r>
      <w:r w:rsidR="006C6F09">
        <w:rPr>
          <w:i/>
          <w:iCs/>
          <w:highlight w:val="darkGray"/>
          <w:lang w:val="es-MX"/>
        </w:rPr>
        <w:t xml:space="preserve"> </w:t>
      </w:r>
      <w:r w:rsidRPr="00CA6995">
        <w:rPr>
          <w:i/>
          <w:iCs/>
          <w:highlight w:val="darkGray"/>
          <w:lang w:val="es-MX"/>
        </w:rPr>
        <w:t>–</w:t>
      </w:r>
      <w:r w:rsidR="006C6F09">
        <w:rPr>
          <w:i/>
          <w:iCs/>
          <w:highlight w:val="darkGray"/>
          <w:lang w:val="es-MX"/>
        </w:rPr>
        <w:t xml:space="preserve"> </w:t>
      </w:r>
      <w:r w:rsidRPr="00CA6995">
        <w:rPr>
          <w:i/>
          <w:iCs/>
          <w:highlight w:val="darkGray"/>
          <w:lang w:val="es-MX"/>
        </w:rPr>
        <w:t>La</w:t>
      </w:r>
      <w:r w:rsidR="006C6F09">
        <w:rPr>
          <w:i/>
          <w:iCs/>
          <w:highlight w:val="darkGray"/>
          <w:lang w:val="es-MX"/>
        </w:rPr>
        <w:t xml:space="preserve"> </w:t>
      </w:r>
      <w:r w:rsidRPr="00CA6995">
        <w:rPr>
          <w:i/>
          <w:iCs/>
          <w:highlight w:val="darkGray"/>
          <w:lang w:val="es-MX"/>
        </w:rPr>
        <w:t>reunión</w:t>
      </w:r>
      <w:r w:rsidR="006C6F09">
        <w:rPr>
          <w:i/>
          <w:iCs/>
          <w:highlight w:val="darkGray"/>
          <w:lang w:val="es-MX"/>
        </w:rPr>
        <w:t xml:space="preserve"> </w:t>
      </w:r>
      <w:r w:rsidRPr="00CA6995">
        <w:rPr>
          <w:i/>
          <w:iCs/>
          <w:highlight w:val="darkGray"/>
          <w:lang w:val="es-MX"/>
        </w:rPr>
        <w:t>pública</w:t>
      </w:r>
      <w:r w:rsidR="006C6F09">
        <w:rPr>
          <w:i/>
          <w:iCs/>
          <w:highlight w:val="darkGray"/>
          <w:lang w:val="es-MX"/>
        </w:rPr>
        <w:t xml:space="preserve"> </w:t>
      </w:r>
      <w:r w:rsidRPr="00CA6995">
        <w:rPr>
          <w:i/>
          <w:iCs/>
          <w:highlight w:val="darkGray"/>
          <w:lang w:val="es-MX"/>
        </w:rPr>
        <w:t>virtual]</w:t>
      </w:r>
      <w:r w:rsidRPr="00CA6995">
        <w:rPr>
          <w:i/>
          <w:iCs/>
          <w:lang w:val="es-MX"/>
        </w:rPr>
        <w:t>,</w:t>
      </w:r>
      <w:r w:rsidR="006C6F09">
        <w:rPr>
          <w:i/>
          <w:iCs/>
          <w:lang w:val="es-MX"/>
        </w:rPr>
        <w:t xml:space="preserve"> </w:t>
      </w:r>
      <w:r w:rsidRPr="00CA6995">
        <w:rPr>
          <w:i/>
          <w:iCs/>
          <w:lang w:val="es-MX"/>
        </w:rPr>
        <w:t>por</w:t>
      </w:r>
      <w:r w:rsidR="006C6F09">
        <w:rPr>
          <w:i/>
          <w:iCs/>
          <w:lang w:val="es-MX"/>
        </w:rPr>
        <w:t xml:space="preserve"> </w:t>
      </w:r>
      <w:r w:rsidRPr="00CA6995">
        <w:rPr>
          <w:i/>
          <w:iCs/>
          <w:lang w:val="es-MX"/>
        </w:rPr>
        <w:t>favor</w:t>
      </w:r>
      <w:r w:rsidR="006C6F09">
        <w:rPr>
          <w:i/>
          <w:iCs/>
          <w:lang w:val="es-MX"/>
        </w:rPr>
        <w:t xml:space="preserve"> </w:t>
      </w:r>
      <w:r w:rsidRPr="00CA6995">
        <w:rPr>
          <w:i/>
          <w:iCs/>
          <w:lang w:val="es-MX"/>
        </w:rPr>
        <w:t>póngase</w:t>
      </w:r>
      <w:r w:rsidR="006C6F09">
        <w:rPr>
          <w:i/>
          <w:iCs/>
          <w:lang w:val="es-MX"/>
        </w:rPr>
        <w:t xml:space="preserve"> </w:t>
      </w:r>
      <w:r w:rsidRPr="00CA6995">
        <w:rPr>
          <w:i/>
          <w:iCs/>
          <w:lang w:val="es-MX"/>
        </w:rPr>
        <w:t>en</w:t>
      </w:r>
      <w:r w:rsidR="006C6F09">
        <w:rPr>
          <w:i/>
          <w:iCs/>
          <w:lang w:val="es-MX"/>
        </w:rPr>
        <w:t xml:space="preserve"> </w:t>
      </w:r>
      <w:r w:rsidRPr="00CA6995">
        <w:rPr>
          <w:i/>
          <w:iCs/>
          <w:lang w:val="es-MX"/>
        </w:rPr>
        <w:t>contacto</w:t>
      </w:r>
      <w:r w:rsidR="006C6F09">
        <w:rPr>
          <w:i/>
          <w:iCs/>
          <w:lang w:val="es-MX"/>
        </w:rPr>
        <w:t xml:space="preserve"> </w:t>
      </w:r>
      <w:r w:rsidRPr="00CA6995">
        <w:rPr>
          <w:i/>
          <w:iCs/>
          <w:lang w:val="es-MX"/>
        </w:rPr>
        <w:t>con</w:t>
      </w:r>
      <w:r w:rsidR="006C6F09">
        <w:rPr>
          <w:i/>
          <w:iCs/>
          <w:lang w:val="es-MX"/>
        </w:rPr>
        <w:t xml:space="preserve"> </w:t>
      </w:r>
      <w:r w:rsidRPr="00CA6995">
        <w:rPr>
          <w:i/>
          <w:iCs/>
          <w:highlight w:val="darkGray"/>
          <w:lang w:val="es-MX"/>
        </w:rPr>
        <w:t>[</w:t>
      </w:r>
      <w:proofErr w:type="spellStart"/>
      <w:r w:rsidRPr="00CA6995">
        <w:rPr>
          <w:i/>
          <w:iCs/>
          <w:highlight w:val="darkGray"/>
          <w:lang w:val="es-MX"/>
        </w:rPr>
        <w:t>Insert</w:t>
      </w:r>
      <w:proofErr w:type="spellEnd"/>
      <w:r w:rsidR="006C6F09">
        <w:rPr>
          <w:i/>
          <w:iCs/>
          <w:highlight w:val="darkGray"/>
          <w:lang w:val="es-MX"/>
        </w:rPr>
        <w:t xml:space="preserve"> </w:t>
      </w:r>
      <w:proofErr w:type="spellStart"/>
      <w:r w:rsidRPr="00CA6995">
        <w:rPr>
          <w:i/>
          <w:iCs/>
          <w:highlight w:val="darkGray"/>
          <w:lang w:val="es-MX"/>
        </w:rPr>
        <w:t>text</w:t>
      </w:r>
      <w:proofErr w:type="spellEnd"/>
      <w:r w:rsidR="006C6F09">
        <w:rPr>
          <w:i/>
          <w:iCs/>
          <w:highlight w:val="darkGray"/>
          <w:lang w:val="es-MX"/>
        </w:rPr>
        <w:t xml:space="preserve"> </w:t>
      </w:r>
      <w:r w:rsidRPr="00CA6995">
        <w:rPr>
          <w:i/>
          <w:iCs/>
          <w:highlight w:val="darkGray"/>
          <w:lang w:val="es-MX"/>
        </w:rPr>
        <w:t>-</w:t>
      </w:r>
      <w:r w:rsidR="006C6F09">
        <w:rPr>
          <w:i/>
          <w:iCs/>
          <w:highlight w:val="darkGray"/>
          <w:lang w:val="es-MX"/>
        </w:rPr>
        <w:t xml:space="preserve"> </w:t>
      </w:r>
      <w:proofErr w:type="spellStart"/>
      <w:r w:rsidRPr="00CA6995">
        <w:rPr>
          <w:i/>
          <w:iCs/>
          <w:highlight w:val="darkGray"/>
          <w:lang w:val="es-MX"/>
        </w:rPr>
        <w:t>contact</w:t>
      </w:r>
      <w:proofErr w:type="spellEnd"/>
      <w:r w:rsidR="006C6F09">
        <w:rPr>
          <w:i/>
          <w:iCs/>
          <w:highlight w:val="darkGray"/>
          <w:lang w:val="es-MX"/>
        </w:rPr>
        <w:t xml:space="preserve"> </w:t>
      </w:r>
      <w:proofErr w:type="spellStart"/>
      <w:r w:rsidRPr="00CA6995">
        <w:rPr>
          <w:i/>
          <w:iCs/>
          <w:highlight w:val="darkGray"/>
          <w:lang w:val="es-MX"/>
        </w:rPr>
        <w:t>name</w:t>
      </w:r>
      <w:proofErr w:type="spellEnd"/>
      <w:r w:rsidR="006C6F09">
        <w:rPr>
          <w:i/>
          <w:iCs/>
          <w:highlight w:val="darkGray"/>
          <w:lang w:val="es-MX"/>
        </w:rPr>
        <w:t xml:space="preserve"> </w:t>
      </w:r>
      <w:r w:rsidRPr="00CA6995">
        <w:rPr>
          <w:i/>
          <w:iCs/>
          <w:highlight w:val="darkGray"/>
          <w:lang w:val="es-MX"/>
        </w:rPr>
        <w:t>(PIO</w:t>
      </w:r>
      <w:r w:rsidR="006C6F09">
        <w:rPr>
          <w:i/>
          <w:iCs/>
          <w:highlight w:val="darkGray"/>
          <w:lang w:val="es-MX"/>
        </w:rPr>
        <w:t xml:space="preserve"> </w:t>
      </w:r>
      <w:proofErr w:type="spellStart"/>
      <w:r w:rsidRPr="00CA6995">
        <w:rPr>
          <w:i/>
          <w:iCs/>
          <w:highlight w:val="darkGray"/>
          <w:lang w:val="es-MX"/>
        </w:rPr>
        <w:t>or</w:t>
      </w:r>
      <w:proofErr w:type="spellEnd"/>
      <w:r w:rsidR="006C6F09">
        <w:rPr>
          <w:i/>
          <w:iCs/>
          <w:highlight w:val="darkGray"/>
          <w:lang w:val="es-MX"/>
        </w:rPr>
        <w:t xml:space="preserve"> </w:t>
      </w:r>
      <w:proofErr w:type="spellStart"/>
      <w:r w:rsidRPr="00CA6995">
        <w:rPr>
          <w:i/>
          <w:iCs/>
          <w:highlight w:val="darkGray"/>
          <w:lang w:val="es-MX"/>
        </w:rPr>
        <w:t>other</w:t>
      </w:r>
      <w:proofErr w:type="spellEnd"/>
      <w:r w:rsidR="006C6F09">
        <w:rPr>
          <w:i/>
          <w:iCs/>
          <w:highlight w:val="darkGray"/>
          <w:lang w:val="es-MX"/>
        </w:rPr>
        <w:t xml:space="preserve"> </w:t>
      </w:r>
      <w:proofErr w:type="spellStart"/>
      <w:r w:rsidRPr="00CA6995">
        <w:rPr>
          <w:i/>
          <w:iCs/>
          <w:highlight w:val="darkGray"/>
          <w:lang w:val="es-MX"/>
        </w:rPr>
        <w:t>appropriate</w:t>
      </w:r>
      <w:proofErr w:type="spellEnd"/>
      <w:r w:rsidR="006C6F09">
        <w:rPr>
          <w:i/>
          <w:iCs/>
          <w:highlight w:val="darkGray"/>
          <w:lang w:val="es-MX"/>
        </w:rPr>
        <w:t xml:space="preserve"> </w:t>
      </w:r>
      <w:proofErr w:type="spellStart"/>
      <w:r w:rsidRPr="00CA6995">
        <w:rPr>
          <w:i/>
          <w:iCs/>
          <w:highlight w:val="darkGray"/>
          <w:lang w:val="es-MX"/>
        </w:rPr>
        <w:t>contact</w:t>
      </w:r>
      <w:proofErr w:type="spellEnd"/>
      <w:r w:rsidRPr="00CA6995">
        <w:rPr>
          <w:i/>
          <w:iCs/>
          <w:highlight w:val="darkGray"/>
          <w:lang w:val="es-MX"/>
        </w:rPr>
        <w:t>),</w:t>
      </w:r>
      <w:r w:rsidR="006C6F09">
        <w:rPr>
          <w:i/>
          <w:iCs/>
          <w:highlight w:val="darkGray"/>
          <w:lang w:val="es-MX"/>
        </w:rPr>
        <w:t xml:space="preserve"> </w:t>
      </w:r>
      <w:proofErr w:type="spellStart"/>
      <w:r w:rsidRPr="00CA6995">
        <w:rPr>
          <w:i/>
          <w:iCs/>
          <w:highlight w:val="darkGray"/>
          <w:lang w:val="es-MX"/>
        </w:rPr>
        <w:t>District</w:t>
      </w:r>
      <w:proofErr w:type="spellEnd"/>
      <w:r w:rsidR="006C6F09">
        <w:rPr>
          <w:i/>
          <w:iCs/>
          <w:highlight w:val="darkGray"/>
          <w:lang w:val="es-MX"/>
        </w:rPr>
        <w:t xml:space="preserve"> </w:t>
      </w:r>
      <w:proofErr w:type="spellStart"/>
      <w:r w:rsidRPr="00CA6995">
        <w:rPr>
          <w:i/>
          <w:iCs/>
          <w:highlight w:val="darkGray"/>
          <w:lang w:val="es-MX"/>
        </w:rPr>
        <w:t>or</w:t>
      </w:r>
      <w:proofErr w:type="spellEnd"/>
      <w:r w:rsidR="006C6F09">
        <w:rPr>
          <w:i/>
          <w:iCs/>
          <w:highlight w:val="darkGray"/>
          <w:lang w:val="es-MX"/>
        </w:rPr>
        <w:t xml:space="preserve"> </w:t>
      </w:r>
      <w:proofErr w:type="spellStart"/>
      <w:r w:rsidRPr="00CA6995">
        <w:rPr>
          <w:i/>
          <w:iCs/>
          <w:highlight w:val="darkGray"/>
          <w:lang w:val="es-MX"/>
        </w:rPr>
        <w:t>Division</w:t>
      </w:r>
      <w:proofErr w:type="spellEnd"/>
      <w:r w:rsidR="006C6F09">
        <w:rPr>
          <w:i/>
          <w:iCs/>
          <w:highlight w:val="darkGray"/>
          <w:lang w:val="es-MX"/>
        </w:rPr>
        <w:t xml:space="preserve"> </w:t>
      </w:r>
      <w:proofErr w:type="spellStart"/>
      <w:r w:rsidRPr="00CA6995">
        <w:rPr>
          <w:i/>
          <w:iCs/>
          <w:highlight w:val="darkGray"/>
          <w:lang w:val="es-MX"/>
        </w:rPr>
        <w:t>Name</w:t>
      </w:r>
      <w:proofErr w:type="spellEnd"/>
      <w:r w:rsidRPr="00CA6995">
        <w:rPr>
          <w:i/>
          <w:iCs/>
          <w:highlight w:val="darkGray"/>
          <w:lang w:val="es-MX"/>
        </w:rPr>
        <w:t>]</w:t>
      </w:r>
      <w:r w:rsidRPr="00CA6995">
        <w:rPr>
          <w:i/>
          <w:iCs/>
          <w:lang w:val="es-MX"/>
        </w:rPr>
        <w:t>,</w:t>
      </w:r>
      <w:r w:rsidR="006C6F09">
        <w:rPr>
          <w:i/>
          <w:iCs/>
          <w:lang w:val="es-MX"/>
        </w:rPr>
        <w:t xml:space="preserve"> </w:t>
      </w:r>
      <w:r w:rsidRPr="00CA6995">
        <w:rPr>
          <w:i/>
          <w:iCs/>
          <w:lang w:val="es-MX"/>
        </w:rPr>
        <w:t>al</w:t>
      </w:r>
      <w:r w:rsidR="006C6F09">
        <w:rPr>
          <w:i/>
          <w:iCs/>
          <w:lang w:val="es-MX"/>
        </w:rPr>
        <w:t xml:space="preserve"> </w:t>
      </w:r>
      <w:r w:rsidRPr="00CA6995">
        <w:rPr>
          <w:i/>
          <w:iCs/>
          <w:lang w:val="es-MX"/>
        </w:rPr>
        <w:t>número</w:t>
      </w:r>
      <w:r w:rsidR="006C6F09">
        <w:rPr>
          <w:i/>
          <w:iCs/>
          <w:lang w:val="es-MX"/>
        </w:rPr>
        <w:t xml:space="preserve"> </w:t>
      </w:r>
      <w:r w:rsidRPr="00CA6995">
        <w:rPr>
          <w:i/>
          <w:iCs/>
          <w:highlight w:val="darkGray"/>
          <w:lang w:val="es-MX"/>
        </w:rPr>
        <w:t>[</w:t>
      </w:r>
      <w:proofErr w:type="spellStart"/>
      <w:r w:rsidRPr="00CA6995">
        <w:rPr>
          <w:i/>
          <w:iCs/>
          <w:highlight w:val="darkGray"/>
          <w:lang w:val="es-MX"/>
        </w:rPr>
        <w:t>Insert</w:t>
      </w:r>
      <w:proofErr w:type="spellEnd"/>
      <w:r w:rsidR="006C6F09">
        <w:rPr>
          <w:i/>
          <w:iCs/>
          <w:highlight w:val="darkGray"/>
          <w:lang w:val="es-MX"/>
        </w:rPr>
        <w:t xml:space="preserve"> </w:t>
      </w:r>
      <w:proofErr w:type="spellStart"/>
      <w:r w:rsidRPr="00CA6995">
        <w:rPr>
          <w:i/>
          <w:iCs/>
          <w:highlight w:val="darkGray"/>
          <w:lang w:val="es-MX"/>
        </w:rPr>
        <w:t>text</w:t>
      </w:r>
      <w:proofErr w:type="spellEnd"/>
      <w:r w:rsidR="006C6F09">
        <w:rPr>
          <w:i/>
          <w:iCs/>
          <w:highlight w:val="darkGray"/>
          <w:lang w:val="es-MX"/>
        </w:rPr>
        <w:t xml:space="preserve"> </w:t>
      </w:r>
      <w:r w:rsidRPr="00CA6995">
        <w:rPr>
          <w:i/>
          <w:iCs/>
          <w:highlight w:val="darkGray"/>
          <w:lang w:val="es-MX"/>
        </w:rPr>
        <w:t>-</w:t>
      </w:r>
      <w:r w:rsidR="006C6F09">
        <w:rPr>
          <w:i/>
          <w:iCs/>
          <w:highlight w:val="darkGray"/>
          <w:lang w:val="es-MX"/>
        </w:rPr>
        <w:t xml:space="preserve"> </w:t>
      </w:r>
      <w:proofErr w:type="spellStart"/>
      <w:r w:rsidRPr="00CA6995">
        <w:rPr>
          <w:i/>
          <w:iCs/>
          <w:highlight w:val="darkGray"/>
          <w:lang w:val="es-MX"/>
        </w:rPr>
        <w:t>phone</w:t>
      </w:r>
      <w:proofErr w:type="spellEnd"/>
      <w:r w:rsidR="006C6F09">
        <w:rPr>
          <w:i/>
          <w:iCs/>
          <w:highlight w:val="darkGray"/>
          <w:lang w:val="es-MX"/>
        </w:rPr>
        <w:t xml:space="preserve"> </w:t>
      </w:r>
      <w:proofErr w:type="spellStart"/>
      <w:r w:rsidRPr="00CA6995">
        <w:rPr>
          <w:i/>
          <w:iCs/>
          <w:highlight w:val="darkGray"/>
          <w:lang w:val="es-MX"/>
        </w:rPr>
        <w:t>number</w:t>
      </w:r>
      <w:proofErr w:type="spellEnd"/>
      <w:r w:rsidR="006C6F09">
        <w:rPr>
          <w:i/>
          <w:iCs/>
          <w:highlight w:val="darkGray"/>
          <w:lang w:val="es-MX"/>
        </w:rPr>
        <w:t xml:space="preserve"> </w:t>
      </w:r>
      <w:proofErr w:type="spellStart"/>
      <w:r w:rsidRPr="00CA6995">
        <w:rPr>
          <w:i/>
          <w:iCs/>
          <w:highlight w:val="darkGray"/>
          <w:lang w:val="es-MX"/>
        </w:rPr>
        <w:t>with</w:t>
      </w:r>
      <w:proofErr w:type="spellEnd"/>
      <w:r w:rsidR="006C6F09">
        <w:rPr>
          <w:i/>
          <w:iCs/>
          <w:highlight w:val="darkGray"/>
          <w:lang w:val="es-MX"/>
        </w:rPr>
        <w:t xml:space="preserve"> </w:t>
      </w:r>
      <w:proofErr w:type="spellStart"/>
      <w:r w:rsidRPr="00CA6995">
        <w:rPr>
          <w:i/>
          <w:iCs/>
          <w:highlight w:val="darkGray"/>
          <w:lang w:val="es-MX"/>
        </w:rPr>
        <w:t>area</w:t>
      </w:r>
      <w:proofErr w:type="spellEnd"/>
      <w:r w:rsidR="006C6F09">
        <w:rPr>
          <w:i/>
          <w:iCs/>
          <w:highlight w:val="darkGray"/>
          <w:lang w:val="es-MX"/>
        </w:rPr>
        <w:t xml:space="preserve"> </w:t>
      </w:r>
      <w:proofErr w:type="spellStart"/>
      <w:r w:rsidRPr="00CA6995">
        <w:rPr>
          <w:i/>
          <w:iCs/>
          <w:highlight w:val="darkGray"/>
          <w:lang w:val="es-MX"/>
        </w:rPr>
        <w:t>code</w:t>
      </w:r>
      <w:proofErr w:type="spellEnd"/>
      <w:r w:rsidRPr="00CA6995">
        <w:rPr>
          <w:i/>
          <w:iCs/>
          <w:highlight w:val="darkGray"/>
          <w:lang w:val="es-MX"/>
        </w:rPr>
        <w:t>]</w:t>
      </w:r>
      <w:r w:rsidR="006C6F09">
        <w:rPr>
          <w:i/>
          <w:iCs/>
          <w:lang w:val="es-MX"/>
        </w:rPr>
        <w:t xml:space="preserve"> </w:t>
      </w:r>
      <w:r w:rsidRPr="00CA6995">
        <w:rPr>
          <w:i/>
          <w:iCs/>
          <w:lang w:val="es-MX"/>
        </w:rPr>
        <w:t>a</w:t>
      </w:r>
      <w:r w:rsidR="006C6F09">
        <w:rPr>
          <w:i/>
          <w:iCs/>
          <w:lang w:val="es-MX"/>
        </w:rPr>
        <w:t xml:space="preserve"> </w:t>
      </w:r>
      <w:r w:rsidRPr="00CA6995">
        <w:rPr>
          <w:i/>
          <w:iCs/>
          <w:lang w:val="es-MX"/>
        </w:rPr>
        <w:t>más</w:t>
      </w:r>
      <w:r w:rsidR="006C6F09">
        <w:rPr>
          <w:i/>
          <w:iCs/>
          <w:lang w:val="es-MX"/>
        </w:rPr>
        <w:t xml:space="preserve"> </w:t>
      </w:r>
      <w:r w:rsidRPr="00CA6995">
        <w:rPr>
          <w:i/>
          <w:iCs/>
          <w:lang w:val="es-MX"/>
        </w:rPr>
        <w:t>tardar</w:t>
      </w:r>
      <w:r w:rsidR="006C6F09">
        <w:rPr>
          <w:i/>
          <w:iCs/>
          <w:lang w:val="es-MX"/>
        </w:rPr>
        <w:t xml:space="preserve"> </w:t>
      </w:r>
      <w:r w:rsidRPr="00CA6995">
        <w:rPr>
          <w:i/>
          <w:iCs/>
          <w:lang w:val="es-MX"/>
        </w:rPr>
        <w:t>a</w:t>
      </w:r>
      <w:r w:rsidR="006C6F09">
        <w:rPr>
          <w:i/>
          <w:iCs/>
          <w:lang w:val="es-MX"/>
        </w:rPr>
        <w:t xml:space="preserve"> </w:t>
      </w:r>
      <w:r w:rsidRPr="00CA6995">
        <w:rPr>
          <w:i/>
          <w:iCs/>
          <w:lang w:val="es-MX"/>
        </w:rPr>
        <w:t>las</w:t>
      </w:r>
      <w:r w:rsidR="006C6F09">
        <w:rPr>
          <w:i/>
          <w:iCs/>
          <w:lang w:val="es-MX"/>
        </w:rPr>
        <w:t xml:space="preserve"> </w:t>
      </w:r>
      <w:r w:rsidRPr="00CA6995">
        <w:rPr>
          <w:i/>
          <w:iCs/>
          <w:lang w:val="es-MX"/>
        </w:rPr>
        <w:t>4:00</w:t>
      </w:r>
      <w:r w:rsidR="006C6F09">
        <w:rPr>
          <w:i/>
          <w:iCs/>
          <w:lang w:val="es-MX"/>
        </w:rPr>
        <w:t xml:space="preserve"> </w:t>
      </w:r>
      <w:r w:rsidRPr="00CA6995">
        <w:rPr>
          <w:i/>
          <w:iCs/>
          <w:lang w:val="es-MX"/>
        </w:rPr>
        <w:t>p.m.</w:t>
      </w:r>
      <w:r w:rsidR="006C6F09">
        <w:rPr>
          <w:i/>
          <w:iCs/>
          <w:lang w:val="es-MX"/>
        </w:rPr>
        <w:t xml:space="preserve"> </w:t>
      </w:r>
      <w:r w:rsidRPr="0042237E">
        <w:rPr>
          <w:i/>
          <w:iCs/>
          <w:lang w:val="es-MX"/>
        </w:rPr>
        <w:t>hora</w:t>
      </w:r>
      <w:r w:rsidR="006C6F09" w:rsidRPr="0042237E">
        <w:rPr>
          <w:i/>
          <w:iCs/>
          <w:lang w:val="es-MX"/>
        </w:rPr>
        <w:t xml:space="preserve"> </w:t>
      </w:r>
      <w:r w:rsidRPr="0042237E">
        <w:rPr>
          <w:i/>
          <w:iCs/>
          <w:lang w:val="es-MX"/>
        </w:rPr>
        <w:t>central,</w:t>
      </w:r>
      <w:r w:rsidR="006C6F09" w:rsidRPr="0042237E">
        <w:rPr>
          <w:i/>
          <w:iCs/>
          <w:lang w:val="es-MX"/>
        </w:rPr>
        <w:t xml:space="preserve"> </w:t>
      </w:r>
      <w:r w:rsidRPr="0042237E">
        <w:rPr>
          <w:i/>
          <w:iCs/>
          <w:highlight w:val="darkGray"/>
          <w:lang w:val="es-MX"/>
        </w:rPr>
        <w:t>[</w:t>
      </w:r>
      <w:proofErr w:type="spellStart"/>
      <w:r w:rsidRPr="0042237E">
        <w:rPr>
          <w:i/>
          <w:iCs/>
          <w:highlight w:val="darkGray"/>
          <w:lang w:val="es-MX"/>
        </w:rPr>
        <w:t>Insert</w:t>
      </w:r>
      <w:proofErr w:type="spellEnd"/>
      <w:r w:rsidR="006C6F09" w:rsidRPr="0042237E">
        <w:rPr>
          <w:i/>
          <w:iCs/>
          <w:highlight w:val="darkGray"/>
          <w:lang w:val="es-MX"/>
        </w:rPr>
        <w:t xml:space="preserve"> </w:t>
      </w:r>
      <w:proofErr w:type="spellStart"/>
      <w:r w:rsidRPr="0042237E">
        <w:rPr>
          <w:i/>
          <w:iCs/>
          <w:highlight w:val="darkGray"/>
          <w:lang w:val="es-MX"/>
        </w:rPr>
        <w:t>text</w:t>
      </w:r>
      <w:proofErr w:type="spellEnd"/>
      <w:r w:rsidR="006C6F09" w:rsidRPr="0042237E">
        <w:rPr>
          <w:i/>
          <w:iCs/>
          <w:highlight w:val="darkGray"/>
          <w:lang w:val="es-MX"/>
        </w:rPr>
        <w:t xml:space="preserve"> </w:t>
      </w:r>
      <w:r w:rsidRPr="0042237E">
        <w:rPr>
          <w:i/>
          <w:iCs/>
          <w:highlight w:val="darkGray"/>
          <w:lang w:val="es-MX"/>
        </w:rPr>
        <w:t>-</w:t>
      </w:r>
      <w:r w:rsidR="006C6F09" w:rsidRPr="0042237E">
        <w:rPr>
          <w:i/>
          <w:iCs/>
          <w:highlight w:val="darkGray"/>
          <w:lang w:val="es-MX"/>
        </w:rPr>
        <w:t xml:space="preserve"> </w:t>
      </w:r>
      <w:proofErr w:type="spellStart"/>
      <w:r w:rsidRPr="0042237E">
        <w:rPr>
          <w:i/>
          <w:iCs/>
          <w:highlight w:val="darkGray"/>
          <w:lang w:val="es-MX"/>
        </w:rPr>
        <w:t>Enter</w:t>
      </w:r>
      <w:proofErr w:type="spellEnd"/>
      <w:r w:rsidR="006C6F09" w:rsidRPr="0042237E">
        <w:rPr>
          <w:i/>
          <w:iCs/>
          <w:highlight w:val="darkGray"/>
          <w:lang w:val="es-MX"/>
        </w:rPr>
        <w:t xml:space="preserve"> </w:t>
      </w:r>
      <w:r w:rsidRPr="0042237E">
        <w:rPr>
          <w:i/>
          <w:iCs/>
          <w:highlight w:val="darkGray"/>
          <w:lang w:val="es-MX"/>
        </w:rPr>
        <w:t>a</w:t>
      </w:r>
      <w:r w:rsidR="006C6F09" w:rsidRPr="0042237E">
        <w:rPr>
          <w:i/>
          <w:iCs/>
          <w:highlight w:val="darkGray"/>
          <w:lang w:val="es-MX"/>
        </w:rPr>
        <w:t xml:space="preserve"> </w:t>
      </w:r>
      <w:proofErr w:type="spellStart"/>
      <w:r w:rsidRPr="0042237E">
        <w:rPr>
          <w:i/>
          <w:iCs/>
          <w:highlight w:val="darkGray"/>
          <w:lang w:val="es-MX"/>
        </w:rPr>
        <w:t>specific</w:t>
      </w:r>
      <w:proofErr w:type="spellEnd"/>
      <w:r w:rsidR="006C6F09" w:rsidRPr="0042237E">
        <w:rPr>
          <w:i/>
          <w:iCs/>
          <w:highlight w:val="darkGray"/>
          <w:lang w:val="es-MX"/>
        </w:rPr>
        <w:t xml:space="preserve"> </w:t>
      </w:r>
      <w:r w:rsidRPr="0042237E">
        <w:rPr>
          <w:i/>
          <w:iCs/>
          <w:highlight w:val="darkGray"/>
          <w:lang w:val="es-MX"/>
        </w:rPr>
        <w:t>date</w:t>
      </w:r>
      <w:r w:rsidR="006C6F09" w:rsidRPr="0042237E">
        <w:rPr>
          <w:i/>
          <w:iCs/>
          <w:highlight w:val="darkGray"/>
          <w:lang w:val="es-MX"/>
        </w:rPr>
        <w:t xml:space="preserve"> </w:t>
      </w:r>
      <w:r w:rsidRPr="0042237E">
        <w:rPr>
          <w:i/>
          <w:iCs/>
          <w:highlight w:val="darkGray"/>
          <w:lang w:val="es-MX"/>
        </w:rPr>
        <w:t>in</w:t>
      </w:r>
      <w:r w:rsidR="006C6F09" w:rsidRPr="0042237E">
        <w:rPr>
          <w:i/>
          <w:iCs/>
          <w:highlight w:val="darkGray"/>
          <w:lang w:val="es-MX"/>
        </w:rPr>
        <w:t xml:space="preserve"> </w:t>
      </w:r>
      <w:proofErr w:type="spellStart"/>
      <w:r w:rsidRPr="0042237E">
        <w:rPr>
          <w:i/>
          <w:iCs/>
          <w:highlight w:val="darkGray"/>
          <w:lang w:val="es-MX"/>
        </w:rPr>
        <w:t>Spanish-language</w:t>
      </w:r>
      <w:proofErr w:type="spellEnd"/>
      <w:r w:rsidR="006C6F09" w:rsidRPr="0042237E">
        <w:rPr>
          <w:i/>
          <w:iCs/>
          <w:highlight w:val="darkGray"/>
          <w:lang w:val="es-MX"/>
        </w:rPr>
        <w:t xml:space="preserve"> </w:t>
      </w:r>
      <w:proofErr w:type="spellStart"/>
      <w:r w:rsidRPr="0042237E">
        <w:rPr>
          <w:i/>
          <w:iCs/>
          <w:highlight w:val="darkGray"/>
          <w:lang w:val="es-MX"/>
        </w:rPr>
        <w:t>format</w:t>
      </w:r>
      <w:proofErr w:type="spellEnd"/>
      <w:r w:rsidR="006C6F09" w:rsidRPr="0042237E">
        <w:rPr>
          <w:i/>
          <w:iCs/>
          <w:highlight w:val="darkGray"/>
          <w:lang w:val="es-MX"/>
        </w:rPr>
        <w:t xml:space="preserve"> </w:t>
      </w:r>
      <w:r w:rsidRPr="0042237E">
        <w:rPr>
          <w:i/>
          <w:iCs/>
          <w:highlight w:val="darkGray"/>
          <w:lang w:val="es-MX"/>
        </w:rPr>
        <w:t>(</w:t>
      </w:r>
      <w:proofErr w:type="spellStart"/>
      <w:r w:rsidRPr="0042237E">
        <w:rPr>
          <w:i/>
          <w:iCs/>
          <w:highlight w:val="darkGray"/>
          <w:lang w:val="es-MX"/>
        </w:rPr>
        <w:t>for</w:t>
      </w:r>
      <w:proofErr w:type="spellEnd"/>
      <w:r w:rsidR="006C6F09" w:rsidRPr="0042237E">
        <w:rPr>
          <w:i/>
          <w:iCs/>
          <w:highlight w:val="darkGray"/>
          <w:lang w:val="es-MX"/>
        </w:rPr>
        <w:t xml:space="preserve"> </w:t>
      </w:r>
      <w:proofErr w:type="spellStart"/>
      <w:r w:rsidRPr="0042237E">
        <w:rPr>
          <w:i/>
          <w:iCs/>
          <w:highlight w:val="darkGray"/>
          <w:lang w:val="es-MX"/>
        </w:rPr>
        <w:t>example</w:t>
      </w:r>
      <w:proofErr w:type="spellEnd"/>
      <w:r w:rsidRPr="0042237E">
        <w:rPr>
          <w:i/>
          <w:iCs/>
          <w:highlight w:val="darkGray"/>
          <w:lang w:val="es-MX"/>
        </w:rPr>
        <w:t>,</w:t>
      </w:r>
      <w:r w:rsidR="006C6F09" w:rsidRPr="0042237E">
        <w:rPr>
          <w:i/>
          <w:iCs/>
          <w:highlight w:val="darkGray"/>
          <w:lang w:val="es-MX"/>
        </w:rPr>
        <w:t xml:space="preserve"> </w:t>
      </w:r>
      <w:r w:rsidRPr="0042237E">
        <w:rPr>
          <w:i/>
          <w:iCs/>
          <w:highlight w:val="darkGray"/>
          <w:lang w:val="es-MX"/>
        </w:rPr>
        <w:t>15</w:t>
      </w:r>
      <w:r w:rsidR="006C6F09" w:rsidRPr="0042237E">
        <w:rPr>
          <w:i/>
          <w:iCs/>
          <w:highlight w:val="darkGray"/>
          <w:lang w:val="es-MX"/>
        </w:rPr>
        <w:t xml:space="preserve"> </w:t>
      </w:r>
      <w:proofErr w:type="spellStart"/>
      <w:r w:rsidRPr="0042237E">
        <w:rPr>
          <w:i/>
          <w:iCs/>
          <w:highlight w:val="darkGray"/>
          <w:lang w:val="es-MX"/>
        </w:rPr>
        <w:t>demarzo</w:t>
      </w:r>
      <w:proofErr w:type="spellEnd"/>
      <w:r w:rsidR="006C6F09" w:rsidRPr="0042237E">
        <w:rPr>
          <w:i/>
          <w:iCs/>
          <w:highlight w:val="darkGray"/>
          <w:lang w:val="es-MX"/>
        </w:rPr>
        <w:t xml:space="preserve"> </w:t>
      </w:r>
      <w:r w:rsidRPr="0042237E">
        <w:rPr>
          <w:i/>
          <w:iCs/>
          <w:highlight w:val="darkGray"/>
          <w:lang w:val="es-MX"/>
        </w:rPr>
        <w:t>de</w:t>
      </w:r>
      <w:r w:rsidR="006C6F09" w:rsidRPr="0042237E">
        <w:rPr>
          <w:i/>
          <w:iCs/>
          <w:highlight w:val="darkGray"/>
          <w:lang w:val="es-MX"/>
        </w:rPr>
        <w:t xml:space="preserve"> </w:t>
      </w:r>
      <w:r w:rsidRPr="0042237E">
        <w:rPr>
          <w:i/>
          <w:iCs/>
          <w:highlight w:val="darkGray"/>
          <w:lang w:val="es-MX"/>
        </w:rPr>
        <w:t>2026)</w:t>
      </w:r>
      <w:r w:rsidR="006C6F09" w:rsidRPr="0042237E">
        <w:rPr>
          <w:i/>
          <w:iCs/>
          <w:highlight w:val="darkGray"/>
          <w:lang w:val="es-MX"/>
        </w:rPr>
        <w:t xml:space="preserve"> </w:t>
      </w:r>
      <w:proofErr w:type="spellStart"/>
      <w:r w:rsidRPr="0042237E">
        <w:rPr>
          <w:i/>
          <w:iCs/>
          <w:highlight w:val="darkGray"/>
          <w:lang w:val="es-MX"/>
        </w:rPr>
        <w:t>that</w:t>
      </w:r>
      <w:proofErr w:type="spellEnd"/>
      <w:r w:rsidR="006C6F09" w:rsidRPr="0042237E">
        <w:rPr>
          <w:i/>
          <w:iCs/>
          <w:highlight w:val="darkGray"/>
          <w:lang w:val="es-MX"/>
        </w:rPr>
        <w:t xml:space="preserve"> </w:t>
      </w:r>
      <w:proofErr w:type="spellStart"/>
      <w:r w:rsidRPr="0042237E">
        <w:rPr>
          <w:i/>
          <w:iCs/>
          <w:highlight w:val="darkGray"/>
          <w:lang w:val="es-MX"/>
        </w:rPr>
        <w:t>is</w:t>
      </w:r>
      <w:proofErr w:type="spellEnd"/>
      <w:r w:rsidR="006C6F09" w:rsidRPr="0042237E">
        <w:rPr>
          <w:i/>
          <w:iCs/>
          <w:highlight w:val="darkGray"/>
          <w:lang w:val="es-MX"/>
        </w:rPr>
        <w:t xml:space="preserve"> </w:t>
      </w:r>
      <w:r w:rsidRPr="0042237E">
        <w:rPr>
          <w:i/>
          <w:iCs/>
          <w:highlight w:val="darkGray"/>
          <w:lang w:val="es-MX"/>
        </w:rPr>
        <w:t>at</w:t>
      </w:r>
      <w:r w:rsidR="006C6F09" w:rsidRPr="0042237E">
        <w:rPr>
          <w:i/>
          <w:iCs/>
          <w:highlight w:val="darkGray"/>
          <w:lang w:val="es-MX"/>
        </w:rPr>
        <w:t xml:space="preserve"> </w:t>
      </w:r>
      <w:proofErr w:type="spellStart"/>
      <w:r w:rsidRPr="0042237E">
        <w:rPr>
          <w:i/>
          <w:iCs/>
          <w:highlight w:val="darkGray"/>
          <w:lang w:val="es-MX"/>
        </w:rPr>
        <w:t>least</w:t>
      </w:r>
      <w:proofErr w:type="spellEnd"/>
      <w:r w:rsidR="006C6F09" w:rsidRPr="0042237E">
        <w:rPr>
          <w:i/>
          <w:iCs/>
          <w:highlight w:val="darkGray"/>
          <w:lang w:val="es-MX"/>
        </w:rPr>
        <w:t xml:space="preserve"> </w:t>
      </w:r>
      <w:proofErr w:type="spellStart"/>
      <w:r w:rsidRPr="0042237E">
        <w:rPr>
          <w:i/>
          <w:iCs/>
          <w:highlight w:val="darkGray"/>
          <w:lang w:val="es-MX"/>
        </w:rPr>
        <w:t>three</w:t>
      </w:r>
      <w:proofErr w:type="spellEnd"/>
      <w:r w:rsidR="006C6F09" w:rsidRPr="0042237E">
        <w:rPr>
          <w:i/>
          <w:iCs/>
          <w:highlight w:val="darkGray"/>
          <w:lang w:val="es-MX"/>
        </w:rPr>
        <w:t xml:space="preserve"> </w:t>
      </w:r>
      <w:proofErr w:type="spellStart"/>
      <w:r w:rsidRPr="0042237E">
        <w:rPr>
          <w:i/>
          <w:iCs/>
          <w:highlight w:val="darkGray"/>
          <w:lang w:val="es-MX"/>
        </w:rPr>
        <w:t>business</w:t>
      </w:r>
      <w:proofErr w:type="spellEnd"/>
      <w:r w:rsidR="006C6F09" w:rsidRPr="0042237E">
        <w:rPr>
          <w:i/>
          <w:iCs/>
          <w:highlight w:val="darkGray"/>
          <w:lang w:val="es-MX"/>
        </w:rPr>
        <w:t xml:space="preserve"> </w:t>
      </w:r>
      <w:proofErr w:type="spellStart"/>
      <w:r w:rsidRPr="0042237E">
        <w:rPr>
          <w:i/>
          <w:iCs/>
          <w:highlight w:val="darkGray"/>
          <w:lang w:val="es-MX"/>
        </w:rPr>
        <w:t>days</w:t>
      </w:r>
      <w:proofErr w:type="spellEnd"/>
      <w:r w:rsidR="006C6F09" w:rsidRPr="0042237E">
        <w:rPr>
          <w:i/>
          <w:iCs/>
          <w:highlight w:val="darkGray"/>
          <w:lang w:val="es-MX"/>
        </w:rPr>
        <w:t xml:space="preserve"> </w:t>
      </w:r>
      <w:proofErr w:type="spellStart"/>
      <w:r w:rsidRPr="0042237E">
        <w:rPr>
          <w:i/>
          <w:iCs/>
          <w:highlight w:val="darkGray"/>
          <w:lang w:val="es-MX"/>
        </w:rPr>
        <w:t>before</w:t>
      </w:r>
      <w:proofErr w:type="spellEnd"/>
      <w:r w:rsidR="006C6F09" w:rsidRPr="0042237E">
        <w:rPr>
          <w:i/>
          <w:iCs/>
          <w:highlight w:val="darkGray"/>
          <w:lang w:val="es-MX"/>
        </w:rPr>
        <w:t xml:space="preserve"> </w:t>
      </w:r>
      <w:proofErr w:type="spellStart"/>
      <w:r w:rsidRPr="0042237E">
        <w:rPr>
          <w:i/>
          <w:iCs/>
          <w:highlight w:val="darkGray"/>
          <w:lang w:val="es-MX"/>
        </w:rPr>
        <w:t>the</w:t>
      </w:r>
      <w:proofErr w:type="spellEnd"/>
      <w:r w:rsidR="006C6F09" w:rsidRPr="0042237E">
        <w:rPr>
          <w:i/>
          <w:iCs/>
          <w:highlight w:val="darkGray"/>
          <w:lang w:val="es-MX"/>
        </w:rPr>
        <w:t xml:space="preserve"> </w:t>
      </w:r>
      <w:proofErr w:type="spellStart"/>
      <w:r w:rsidRPr="0042237E">
        <w:rPr>
          <w:i/>
          <w:iCs/>
          <w:highlight w:val="darkGray"/>
          <w:lang w:val="es-MX"/>
        </w:rPr>
        <w:t>event</w:t>
      </w:r>
      <w:proofErr w:type="spellEnd"/>
      <w:r w:rsidRPr="0042237E">
        <w:rPr>
          <w:i/>
          <w:iCs/>
          <w:highlight w:val="darkGray"/>
          <w:lang w:val="es-MX"/>
        </w:rPr>
        <w:t>]</w:t>
      </w:r>
      <w:r w:rsidRPr="0042237E">
        <w:rPr>
          <w:i/>
          <w:iCs/>
          <w:lang w:val="es-MX"/>
        </w:rPr>
        <w:t>.</w:t>
      </w:r>
      <w:r w:rsidR="006C6F09" w:rsidRPr="0042237E">
        <w:rPr>
          <w:i/>
          <w:iCs/>
          <w:lang w:val="es-MX"/>
        </w:rPr>
        <w:t xml:space="preserve"> </w:t>
      </w:r>
      <w:r w:rsidRPr="00CA6995">
        <w:rPr>
          <w:i/>
          <w:iCs/>
          <w:lang w:val="es-MX"/>
        </w:rPr>
        <w:t>Por</w:t>
      </w:r>
      <w:r w:rsidR="006C6F09">
        <w:rPr>
          <w:i/>
          <w:iCs/>
          <w:lang w:val="es-MX"/>
        </w:rPr>
        <w:t xml:space="preserve"> </w:t>
      </w:r>
      <w:r w:rsidRPr="00CA6995">
        <w:rPr>
          <w:i/>
          <w:iCs/>
          <w:lang w:val="es-MX"/>
        </w:rPr>
        <w:t>favor</w:t>
      </w:r>
      <w:r w:rsidR="006C6F09">
        <w:rPr>
          <w:i/>
          <w:iCs/>
          <w:lang w:val="es-MX"/>
        </w:rPr>
        <w:t xml:space="preserve"> </w:t>
      </w:r>
      <w:r w:rsidRPr="00CA6995">
        <w:rPr>
          <w:i/>
          <w:iCs/>
          <w:lang w:val="es-MX"/>
        </w:rPr>
        <w:t>sepa</w:t>
      </w:r>
      <w:r w:rsidR="006C6F09">
        <w:rPr>
          <w:i/>
          <w:iCs/>
          <w:lang w:val="es-MX"/>
        </w:rPr>
        <w:t xml:space="preserve"> </w:t>
      </w:r>
      <w:r w:rsidRPr="00CA6995">
        <w:rPr>
          <w:i/>
          <w:iCs/>
          <w:lang w:val="es-MX"/>
        </w:rPr>
        <w:t>que</w:t>
      </w:r>
      <w:r w:rsidR="006C6F09">
        <w:rPr>
          <w:i/>
          <w:iCs/>
          <w:lang w:val="es-MX"/>
        </w:rPr>
        <w:t xml:space="preserve"> </w:t>
      </w:r>
      <w:r w:rsidRPr="00CA6995">
        <w:rPr>
          <w:i/>
          <w:iCs/>
          <w:lang w:val="es-MX"/>
        </w:rPr>
        <w:t>es</w:t>
      </w:r>
      <w:r w:rsidR="006C6F09">
        <w:rPr>
          <w:i/>
          <w:iCs/>
          <w:lang w:val="es-MX"/>
        </w:rPr>
        <w:t xml:space="preserve"> </w:t>
      </w:r>
      <w:r w:rsidRPr="00CA6995">
        <w:rPr>
          <w:i/>
          <w:iCs/>
          <w:lang w:val="es-MX"/>
        </w:rPr>
        <w:t>necesario</w:t>
      </w:r>
      <w:r w:rsidR="006C6F09">
        <w:rPr>
          <w:i/>
          <w:iCs/>
          <w:lang w:val="es-MX"/>
        </w:rPr>
        <w:t xml:space="preserve"> </w:t>
      </w:r>
      <w:r w:rsidRPr="00CA6995">
        <w:rPr>
          <w:i/>
          <w:iCs/>
          <w:lang w:val="es-MX"/>
        </w:rPr>
        <w:t>dar</w:t>
      </w:r>
      <w:r w:rsidR="006C6F09">
        <w:rPr>
          <w:i/>
          <w:iCs/>
          <w:lang w:val="es-MX"/>
        </w:rPr>
        <w:t xml:space="preserve"> </w:t>
      </w:r>
      <w:r w:rsidRPr="00CA6995">
        <w:rPr>
          <w:i/>
          <w:iCs/>
          <w:lang w:val="es-MX"/>
        </w:rPr>
        <w:t>aviso</w:t>
      </w:r>
      <w:r w:rsidR="006C6F09">
        <w:rPr>
          <w:i/>
          <w:iCs/>
          <w:lang w:val="es-MX"/>
        </w:rPr>
        <w:t xml:space="preserve"> </w:t>
      </w:r>
      <w:r w:rsidRPr="00CA6995">
        <w:rPr>
          <w:i/>
          <w:iCs/>
          <w:lang w:val="es-MX"/>
        </w:rPr>
        <w:t>con</w:t>
      </w:r>
      <w:r w:rsidR="006C6F09">
        <w:rPr>
          <w:i/>
          <w:iCs/>
          <w:lang w:val="es-MX"/>
        </w:rPr>
        <w:t xml:space="preserve"> </w:t>
      </w:r>
      <w:r w:rsidRPr="00CA6995">
        <w:rPr>
          <w:i/>
          <w:iCs/>
          <w:lang w:val="es-MX"/>
        </w:rPr>
        <w:t>anticipación,</w:t>
      </w:r>
      <w:r w:rsidR="006C6F09">
        <w:rPr>
          <w:i/>
          <w:iCs/>
          <w:lang w:val="es-MX"/>
        </w:rPr>
        <w:t xml:space="preserve"> </w:t>
      </w:r>
      <w:r w:rsidRPr="00CA6995">
        <w:rPr>
          <w:i/>
          <w:iCs/>
          <w:lang w:val="es-MX"/>
        </w:rPr>
        <w:t>ya</w:t>
      </w:r>
      <w:r w:rsidR="006C6F09">
        <w:rPr>
          <w:i/>
          <w:iCs/>
          <w:lang w:val="es-MX"/>
        </w:rPr>
        <w:t xml:space="preserve"> </w:t>
      </w:r>
      <w:r w:rsidRPr="00CA6995">
        <w:rPr>
          <w:i/>
          <w:iCs/>
          <w:lang w:val="es-MX"/>
        </w:rPr>
        <w:t>que</w:t>
      </w:r>
      <w:r w:rsidR="006C6F09">
        <w:rPr>
          <w:i/>
          <w:iCs/>
          <w:lang w:val="es-MX"/>
        </w:rPr>
        <w:t xml:space="preserve"> </w:t>
      </w:r>
      <w:r w:rsidRPr="00CA6995">
        <w:rPr>
          <w:i/>
          <w:iCs/>
          <w:lang w:val="es-MX"/>
        </w:rPr>
        <w:t>algunos</w:t>
      </w:r>
      <w:r w:rsidR="006C6F09">
        <w:rPr>
          <w:i/>
          <w:iCs/>
          <w:lang w:val="es-MX"/>
        </w:rPr>
        <w:t xml:space="preserve"> </w:t>
      </w:r>
      <w:r w:rsidRPr="00CA6995">
        <w:rPr>
          <w:i/>
          <w:iCs/>
          <w:lang w:val="es-MX"/>
        </w:rPr>
        <w:t>servicios</w:t>
      </w:r>
      <w:r w:rsidR="006C6F09">
        <w:rPr>
          <w:i/>
          <w:iCs/>
          <w:lang w:val="es-MX"/>
        </w:rPr>
        <w:t xml:space="preserve"> </w:t>
      </w:r>
      <w:r w:rsidRPr="00CA6995">
        <w:rPr>
          <w:i/>
          <w:iCs/>
          <w:lang w:val="es-MX"/>
        </w:rPr>
        <w:t>y</w:t>
      </w:r>
      <w:r w:rsidR="006C6F09">
        <w:rPr>
          <w:i/>
          <w:iCs/>
          <w:lang w:val="es-MX"/>
        </w:rPr>
        <w:t xml:space="preserve"> </w:t>
      </w:r>
      <w:r w:rsidRPr="00CA6995">
        <w:rPr>
          <w:i/>
          <w:iCs/>
          <w:lang w:val="es-MX"/>
        </w:rPr>
        <w:t>adaptaciones</w:t>
      </w:r>
      <w:r w:rsidR="006C6F09">
        <w:rPr>
          <w:i/>
          <w:iCs/>
          <w:lang w:val="es-MX"/>
        </w:rPr>
        <w:t xml:space="preserve"> </w:t>
      </w:r>
      <w:r w:rsidRPr="00CA6995">
        <w:rPr>
          <w:i/>
          <w:iCs/>
          <w:lang w:val="es-MX"/>
        </w:rPr>
        <w:t>pueden</w:t>
      </w:r>
      <w:r w:rsidR="006C6F09">
        <w:rPr>
          <w:i/>
          <w:iCs/>
          <w:lang w:val="es-MX"/>
        </w:rPr>
        <w:t xml:space="preserve"> </w:t>
      </w:r>
      <w:r w:rsidRPr="00CA6995">
        <w:rPr>
          <w:i/>
          <w:iCs/>
          <w:lang w:val="es-MX"/>
        </w:rPr>
        <w:t>requerir</w:t>
      </w:r>
      <w:r w:rsidR="006C6F09">
        <w:rPr>
          <w:i/>
          <w:iCs/>
          <w:lang w:val="es-MX"/>
        </w:rPr>
        <w:t xml:space="preserve"> </w:t>
      </w:r>
      <w:r w:rsidRPr="00CA6995">
        <w:rPr>
          <w:i/>
          <w:iCs/>
          <w:lang w:val="es-MX"/>
        </w:rPr>
        <w:t>tiempo</w:t>
      </w:r>
      <w:r w:rsidR="006C6F09">
        <w:rPr>
          <w:i/>
          <w:iCs/>
          <w:lang w:val="es-MX"/>
        </w:rPr>
        <w:t xml:space="preserve"> </w:t>
      </w:r>
      <w:r w:rsidRPr="00CA6995">
        <w:rPr>
          <w:i/>
          <w:iCs/>
          <w:lang w:val="es-MX"/>
        </w:rPr>
        <w:t>para</w:t>
      </w:r>
      <w:r w:rsidR="006C6F09">
        <w:rPr>
          <w:i/>
          <w:iCs/>
          <w:lang w:val="es-MX"/>
        </w:rPr>
        <w:t xml:space="preserve"> </w:t>
      </w:r>
      <w:r w:rsidRPr="00CA6995">
        <w:rPr>
          <w:i/>
          <w:iCs/>
          <w:lang w:val="es-MX"/>
        </w:rPr>
        <w:t>que</w:t>
      </w:r>
      <w:r w:rsidR="006C6F09" w:rsidRPr="00263E76">
        <w:rPr>
          <w:i/>
          <w:iCs/>
          <w:lang w:val="es-ES"/>
        </w:rPr>
        <w:t xml:space="preserve"> </w:t>
      </w:r>
      <w:r w:rsidRPr="003C2C54">
        <w:rPr>
          <w:i/>
          <w:iCs/>
          <w:lang w:val="es-ES"/>
        </w:rPr>
        <w:t>TxDOT</w:t>
      </w:r>
      <w:r w:rsidR="006C6F09">
        <w:rPr>
          <w:i/>
          <w:iCs/>
          <w:lang w:val="es-MX"/>
        </w:rPr>
        <w:t xml:space="preserve"> </w:t>
      </w:r>
      <w:r w:rsidRPr="00CA6995">
        <w:rPr>
          <w:i/>
          <w:iCs/>
          <w:lang w:val="es-MX"/>
        </w:rPr>
        <w:t>los</w:t>
      </w:r>
      <w:r w:rsidR="006C6F09">
        <w:rPr>
          <w:i/>
          <w:iCs/>
          <w:lang w:val="es-MX"/>
        </w:rPr>
        <w:t xml:space="preserve"> </w:t>
      </w:r>
      <w:r w:rsidRPr="00CA6995">
        <w:rPr>
          <w:i/>
          <w:iCs/>
          <w:lang w:val="es-MX"/>
        </w:rPr>
        <w:t>organice.</w:t>
      </w:r>
    </w:p>
    <w:p w14:paraId="1EDC1E08" w14:textId="5BFF0E29" w:rsidR="00457754" w:rsidRPr="00E27B56" w:rsidRDefault="00457754" w:rsidP="00457754">
      <w:pPr>
        <w:pStyle w:val="ListNumber"/>
        <w:ind w:left="360" w:hanging="360"/>
      </w:pPr>
      <w:r w:rsidRPr="00E27B56">
        <w:t>Include</w:t>
      </w:r>
      <w:r w:rsidR="006C6F09">
        <w:t xml:space="preserve"> </w:t>
      </w:r>
      <w:r w:rsidRPr="00E27B56">
        <w:t>a</w:t>
      </w:r>
      <w:r w:rsidR="006C6F09">
        <w:t xml:space="preserve"> </w:t>
      </w:r>
      <w:r w:rsidRPr="00E27B56">
        <w:t>map</w:t>
      </w:r>
      <w:r w:rsidR="006C6F09">
        <w:t xml:space="preserve"> </w:t>
      </w:r>
      <w:r w:rsidRPr="00E27B56">
        <w:t>of</w:t>
      </w:r>
      <w:r w:rsidR="006C6F09">
        <w:t xml:space="preserve"> </w:t>
      </w:r>
      <w:r w:rsidRPr="00E27B56">
        <w:t>the</w:t>
      </w:r>
      <w:r w:rsidR="006C6F09">
        <w:t xml:space="preserve"> </w:t>
      </w:r>
      <w:r w:rsidRPr="00E27B56">
        <w:t>location</w:t>
      </w:r>
      <w:r w:rsidR="006C6F09">
        <w:t xml:space="preserve"> </w:t>
      </w:r>
      <w:r w:rsidRPr="00E27B56">
        <w:t>of</w:t>
      </w:r>
      <w:r w:rsidR="006C6F09">
        <w:t xml:space="preserve"> </w:t>
      </w:r>
      <w:r w:rsidRPr="00E27B56">
        <w:t>the</w:t>
      </w:r>
      <w:r w:rsidR="006C6F09">
        <w:t xml:space="preserve"> </w:t>
      </w:r>
      <w:r w:rsidRPr="00E27B56">
        <w:t>public</w:t>
      </w:r>
      <w:r w:rsidR="006C6F09">
        <w:t xml:space="preserve"> </w:t>
      </w:r>
      <w:r w:rsidRPr="00E27B56">
        <w:t>meeting.</w:t>
      </w:r>
    </w:p>
    <w:p w14:paraId="7D78CC01" w14:textId="57B6D0A9" w:rsidR="00457754" w:rsidRPr="00E27B56" w:rsidRDefault="00457754" w:rsidP="00457754">
      <w:pPr>
        <w:pStyle w:val="ListNumber"/>
        <w:ind w:left="360" w:hanging="360"/>
      </w:pPr>
      <w:r w:rsidRPr="00E27B56">
        <w:t>Include</w:t>
      </w:r>
      <w:r w:rsidR="006C6F09">
        <w:t xml:space="preserve"> </w:t>
      </w:r>
      <w:r w:rsidRPr="00E27B56">
        <w:t>a</w:t>
      </w:r>
      <w:r w:rsidR="006C6F09">
        <w:t xml:space="preserve"> </w:t>
      </w:r>
      <w:r w:rsidRPr="00E27B56">
        <w:t>statement</w:t>
      </w:r>
      <w:r w:rsidR="006C6F09">
        <w:t xml:space="preserve"> </w:t>
      </w:r>
      <w:r w:rsidRPr="00E27B56">
        <w:t>identifying</w:t>
      </w:r>
      <w:r w:rsidR="006C6F09">
        <w:t xml:space="preserve"> </w:t>
      </w:r>
      <w:r w:rsidRPr="00E27B56">
        <w:t>a</w:t>
      </w:r>
      <w:r w:rsidR="006C6F09">
        <w:t xml:space="preserve"> </w:t>
      </w:r>
      <w:r w:rsidRPr="00E27B56">
        <w:t>contact</w:t>
      </w:r>
      <w:r w:rsidR="006C6F09">
        <w:t xml:space="preserve"> </w:t>
      </w:r>
      <w:r w:rsidRPr="00E27B56">
        <w:t>person</w:t>
      </w:r>
      <w:r w:rsidR="006C6F09">
        <w:t xml:space="preserve"> </w:t>
      </w:r>
      <w:r w:rsidRPr="00E27B56">
        <w:t>or</w:t>
      </w:r>
      <w:r w:rsidR="006C6F09">
        <w:t xml:space="preserve"> </w:t>
      </w:r>
      <w:r w:rsidRPr="00E27B56">
        <w:t>office</w:t>
      </w:r>
      <w:r w:rsidR="006C6F09">
        <w:t xml:space="preserve"> </w:t>
      </w:r>
      <w:r w:rsidRPr="00E27B56">
        <w:t>for</w:t>
      </w:r>
      <w:r w:rsidR="006C6F09">
        <w:t xml:space="preserve"> </w:t>
      </w:r>
      <w:r w:rsidRPr="00E27B56">
        <w:t>questions.</w:t>
      </w:r>
    </w:p>
    <w:p w14:paraId="1E373DEC" w14:textId="6B1EF85C" w:rsidR="00457754" w:rsidRPr="00E27B56" w:rsidRDefault="00457754" w:rsidP="00457754">
      <w:pPr>
        <w:pStyle w:val="ListNumber"/>
        <w:ind w:left="360" w:hanging="360"/>
      </w:pPr>
      <w:r w:rsidRPr="00E27B56">
        <w:t>For</w:t>
      </w:r>
      <w:r w:rsidR="006C6F09">
        <w:t xml:space="preserve"> </w:t>
      </w:r>
      <w:r w:rsidRPr="00E27B56">
        <w:t>projects</w:t>
      </w:r>
      <w:r w:rsidR="006C6F09">
        <w:t xml:space="preserve"> </w:t>
      </w:r>
      <w:r w:rsidRPr="00E27B56">
        <w:t>assigned</w:t>
      </w:r>
      <w:r w:rsidR="006C6F09">
        <w:t xml:space="preserve"> </w:t>
      </w:r>
      <w:r w:rsidRPr="00E27B56">
        <w:t>under</w:t>
      </w:r>
      <w:r w:rsidR="006C6F09">
        <w:t xml:space="preserve"> </w:t>
      </w:r>
      <w:r w:rsidRPr="00E27B56">
        <w:t>the</w:t>
      </w:r>
      <w:r w:rsidR="006C6F09">
        <w:t xml:space="preserve"> </w:t>
      </w:r>
      <w:r w:rsidRPr="00E27B56">
        <w:t>Assignment</w:t>
      </w:r>
      <w:r w:rsidR="006C6F09">
        <w:t xml:space="preserve"> </w:t>
      </w:r>
      <w:r w:rsidRPr="00E27B56">
        <w:t>MOU,</w:t>
      </w:r>
      <w:r w:rsidR="006C6F09">
        <w:t xml:space="preserve"> </w:t>
      </w:r>
      <w:r w:rsidRPr="00E27B56">
        <w:t>the</w:t>
      </w:r>
      <w:r w:rsidR="006C6F09">
        <w:t xml:space="preserve"> </w:t>
      </w:r>
      <w:r w:rsidRPr="00E27B56">
        <w:t>following</w:t>
      </w:r>
      <w:r w:rsidR="006C6F09">
        <w:t xml:space="preserve"> </w:t>
      </w:r>
      <w:r w:rsidRPr="00E27B56">
        <w:t>language</w:t>
      </w:r>
      <w:r w:rsidR="006C6F09">
        <w:t xml:space="preserve"> </w:t>
      </w:r>
      <w:r w:rsidRPr="00E27B56">
        <w:t>must</w:t>
      </w:r>
      <w:r w:rsidR="006C6F09">
        <w:t xml:space="preserve"> </w:t>
      </w:r>
      <w:r w:rsidRPr="00E27B56">
        <w:t>be</w:t>
      </w:r>
      <w:r w:rsidR="006C6F09">
        <w:t xml:space="preserve"> </w:t>
      </w:r>
      <w:r w:rsidRPr="00E27B56">
        <w:t>included</w:t>
      </w:r>
      <w:r w:rsidR="006C6F09">
        <w:t xml:space="preserve"> </w:t>
      </w:r>
      <w:r w:rsidRPr="00E27B56">
        <w:t>in</w:t>
      </w:r>
      <w:r w:rsidR="006C6F09">
        <w:t xml:space="preserve"> </w:t>
      </w:r>
      <w:r w:rsidRPr="00E27B56">
        <w:t>the</w:t>
      </w:r>
      <w:r w:rsidR="006C6F09">
        <w:t xml:space="preserve"> </w:t>
      </w:r>
      <w:r w:rsidRPr="00E27B56">
        <w:t>public</w:t>
      </w:r>
      <w:r w:rsidR="006C6F09">
        <w:t xml:space="preserve"> </w:t>
      </w:r>
      <w:r w:rsidRPr="00E27B56">
        <w:t>notice.</w:t>
      </w:r>
    </w:p>
    <w:p w14:paraId="484F4E71" w14:textId="15633788" w:rsidR="00457754" w:rsidRPr="00C60741" w:rsidRDefault="00457754" w:rsidP="00457754">
      <w:pPr>
        <w:rPr>
          <w:i/>
          <w:iCs/>
        </w:rPr>
      </w:pPr>
      <w:r w:rsidRPr="00C60741">
        <w:rPr>
          <w:i/>
          <w:iCs/>
        </w:rPr>
        <w:lastRenderedPageBreak/>
        <w:t>The</w:t>
      </w:r>
      <w:r w:rsidR="006C6F09">
        <w:rPr>
          <w:i/>
          <w:iCs/>
        </w:rPr>
        <w:t xml:space="preserve"> </w:t>
      </w:r>
      <w:r w:rsidRPr="00C60741">
        <w:rPr>
          <w:i/>
          <w:iCs/>
        </w:rPr>
        <w:t>environmental</w:t>
      </w:r>
      <w:r w:rsidR="006C6F09">
        <w:rPr>
          <w:i/>
          <w:iCs/>
        </w:rPr>
        <w:t xml:space="preserve"> </w:t>
      </w:r>
      <w:r w:rsidRPr="00C60741">
        <w:rPr>
          <w:i/>
          <w:iCs/>
        </w:rPr>
        <w:t>review,</w:t>
      </w:r>
      <w:r w:rsidR="006C6F09">
        <w:rPr>
          <w:i/>
          <w:iCs/>
        </w:rPr>
        <w:t xml:space="preserve"> </w:t>
      </w:r>
      <w:r w:rsidRPr="00C60741">
        <w:rPr>
          <w:i/>
          <w:iCs/>
        </w:rPr>
        <w:t>consultation,</w:t>
      </w:r>
      <w:r w:rsidR="006C6F09">
        <w:rPr>
          <w:i/>
          <w:iCs/>
        </w:rPr>
        <w:t xml:space="preserve"> </w:t>
      </w:r>
      <w:r w:rsidRPr="00C60741">
        <w:rPr>
          <w:i/>
          <w:iCs/>
        </w:rPr>
        <w:t>and</w:t>
      </w:r>
      <w:r w:rsidR="006C6F09">
        <w:rPr>
          <w:i/>
          <w:iCs/>
        </w:rPr>
        <w:t xml:space="preserve"> </w:t>
      </w:r>
      <w:r w:rsidRPr="00C60741">
        <w:rPr>
          <w:i/>
          <w:iCs/>
        </w:rPr>
        <w:t>other</w:t>
      </w:r>
      <w:r w:rsidR="006C6F09">
        <w:rPr>
          <w:i/>
          <w:iCs/>
        </w:rPr>
        <w:t xml:space="preserve"> </w:t>
      </w:r>
      <w:r w:rsidRPr="00C60741">
        <w:rPr>
          <w:i/>
          <w:iCs/>
        </w:rPr>
        <w:t>actions</w:t>
      </w:r>
      <w:r w:rsidR="006C6F09">
        <w:rPr>
          <w:i/>
          <w:iCs/>
        </w:rPr>
        <w:t xml:space="preserve"> </w:t>
      </w:r>
      <w:r w:rsidRPr="00C60741">
        <w:rPr>
          <w:i/>
          <w:iCs/>
        </w:rPr>
        <w:t>required</w:t>
      </w:r>
      <w:r w:rsidR="006C6F09">
        <w:rPr>
          <w:i/>
          <w:iCs/>
        </w:rPr>
        <w:t xml:space="preserve"> </w:t>
      </w:r>
      <w:r w:rsidRPr="00C60741">
        <w:rPr>
          <w:i/>
          <w:iCs/>
        </w:rPr>
        <w:t>by</w:t>
      </w:r>
      <w:r w:rsidR="006C6F09">
        <w:rPr>
          <w:i/>
          <w:iCs/>
        </w:rPr>
        <w:t xml:space="preserve"> </w:t>
      </w:r>
      <w:r w:rsidRPr="00C60741">
        <w:rPr>
          <w:i/>
          <w:iCs/>
        </w:rPr>
        <w:t>applicable</w:t>
      </w:r>
      <w:r w:rsidR="006C6F09">
        <w:rPr>
          <w:i/>
          <w:iCs/>
        </w:rPr>
        <w:t xml:space="preserve"> </w:t>
      </w:r>
      <w:r w:rsidRPr="00C60741">
        <w:rPr>
          <w:i/>
          <w:iCs/>
        </w:rPr>
        <w:t>Federal</w:t>
      </w:r>
      <w:r w:rsidR="006C6F09">
        <w:rPr>
          <w:i/>
          <w:iCs/>
        </w:rPr>
        <w:t xml:space="preserve"> </w:t>
      </w:r>
      <w:r w:rsidRPr="00C60741">
        <w:rPr>
          <w:i/>
          <w:iCs/>
        </w:rPr>
        <w:t>environmental</w:t>
      </w:r>
      <w:r w:rsidR="006C6F09">
        <w:rPr>
          <w:i/>
          <w:iCs/>
        </w:rPr>
        <w:t xml:space="preserve"> </w:t>
      </w:r>
      <w:r w:rsidRPr="00C60741">
        <w:rPr>
          <w:i/>
          <w:iCs/>
        </w:rPr>
        <w:t>laws</w:t>
      </w:r>
      <w:r w:rsidR="006C6F09">
        <w:rPr>
          <w:i/>
          <w:iCs/>
        </w:rPr>
        <w:t xml:space="preserve"> </w:t>
      </w:r>
      <w:r w:rsidRPr="00C60741">
        <w:rPr>
          <w:i/>
          <w:iCs/>
        </w:rPr>
        <w:t>for</w:t>
      </w:r>
      <w:r w:rsidR="006C6F09">
        <w:rPr>
          <w:i/>
          <w:iCs/>
        </w:rPr>
        <w:t xml:space="preserve"> </w:t>
      </w:r>
      <w:r w:rsidRPr="00C60741">
        <w:rPr>
          <w:i/>
          <w:iCs/>
        </w:rPr>
        <w:t>this</w:t>
      </w:r>
      <w:r w:rsidR="006C6F09">
        <w:rPr>
          <w:i/>
          <w:iCs/>
        </w:rPr>
        <w:t xml:space="preserve"> </w:t>
      </w:r>
      <w:r w:rsidRPr="00C60741">
        <w:rPr>
          <w:i/>
          <w:iCs/>
        </w:rPr>
        <w:t>project</w:t>
      </w:r>
      <w:r w:rsidR="006C6F09">
        <w:rPr>
          <w:i/>
          <w:iCs/>
        </w:rPr>
        <w:t xml:space="preserve"> </w:t>
      </w:r>
      <w:r w:rsidRPr="00C60741">
        <w:rPr>
          <w:i/>
          <w:iCs/>
        </w:rPr>
        <w:t>are</w:t>
      </w:r>
      <w:r w:rsidR="006C6F09">
        <w:rPr>
          <w:i/>
          <w:iCs/>
        </w:rPr>
        <w:t xml:space="preserve"> </w:t>
      </w:r>
      <w:r w:rsidRPr="00C60741">
        <w:rPr>
          <w:i/>
          <w:iCs/>
        </w:rPr>
        <w:t>being,</w:t>
      </w:r>
      <w:r w:rsidR="006C6F09">
        <w:rPr>
          <w:i/>
          <w:iCs/>
        </w:rPr>
        <w:t xml:space="preserve"> </w:t>
      </w:r>
      <w:r w:rsidRPr="00C60741">
        <w:rPr>
          <w:i/>
          <w:iCs/>
        </w:rPr>
        <w:t>or</w:t>
      </w:r>
      <w:r w:rsidR="006C6F09">
        <w:rPr>
          <w:i/>
          <w:iCs/>
        </w:rPr>
        <w:t xml:space="preserve"> </w:t>
      </w:r>
      <w:r w:rsidRPr="00C60741">
        <w:rPr>
          <w:i/>
          <w:iCs/>
        </w:rPr>
        <w:t>have</w:t>
      </w:r>
      <w:r w:rsidR="006C6F09">
        <w:rPr>
          <w:i/>
          <w:iCs/>
        </w:rPr>
        <w:t xml:space="preserve"> </w:t>
      </w:r>
      <w:r w:rsidRPr="00C60741">
        <w:rPr>
          <w:i/>
          <w:iCs/>
        </w:rPr>
        <w:t>been,</w:t>
      </w:r>
      <w:r w:rsidR="006C6F09">
        <w:rPr>
          <w:i/>
          <w:iCs/>
        </w:rPr>
        <w:t xml:space="preserve"> </w:t>
      </w:r>
      <w:r w:rsidR="00D90D13" w:rsidRPr="00C60741">
        <w:rPr>
          <w:i/>
          <w:iCs/>
        </w:rPr>
        <w:t>carried</w:t>
      </w:r>
      <w:r w:rsidR="00D90D13">
        <w:rPr>
          <w:i/>
          <w:iCs/>
        </w:rPr>
        <w:t xml:space="preserve"> out</w:t>
      </w:r>
      <w:r w:rsidR="006C6F09">
        <w:rPr>
          <w:i/>
          <w:iCs/>
        </w:rPr>
        <w:t xml:space="preserve"> </w:t>
      </w:r>
      <w:r w:rsidRPr="00C60741">
        <w:rPr>
          <w:i/>
          <w:iCs/>
        </w:rPr>
        <w:t>by</w:t>
      </w:r>
      <w:r w:rsidR="006C6F09">
        <w:rPr>
          <w:i/>
          <w:iCs/>
        </w:rPr>
        <w:t xml:space="preserve"> </w:t>
      </w:r>
      <w:r w:rsidRPr="00C60741">
        <w:rPr>
          <w:i/>
          <w:iCs/>
        </w:rPr>
        <w:t>TxDOT</w:t>
      </w:r>
      <w:r w:rsidR="006C6F09">
        <w:rPr>
          <w:i/>
          <w:iCs/>
        </w:rPr>
        <w:t xml:space="preserve"> </w:t>
      </w:r>
      <w:r w:rsidRPr="00C60741">
        <w:rPr>
          <w:i/>
          <w:iCs/>
        </w:rPr>
        <w:t>pursuant</w:t>
      </w:r>
      <w:r w:rsidR="006C6F09">
        <w:rPr>
          <w:i/>
          <w:iCs/>
        </w:rPr>
        <w:t xml:space="preserve"> </w:t>
      </w:r>
      <w:r w:rsidRPr="00C60741">
        <w:rPr>
          <w:i/>
          <w:iCs/>
        </w:rPr>
        <w:t>to</w:t>
      </w:r>
      <w:r w:rsidR="006C6F09">
        <w:rPr>
          <w:i/>
          <w:iCs/>
        </w:rPr>
        <w:t xml:space="preserve"> </w:t>
      </w:r>
      <w:r w:rsidRPr="00C60741">
        <w:rPr>
          <w:i/>
          <w:iCs/>
        </w:rPr>
        <w:t>23</w:t>
      </w:r>
      <w:r w:rsidR="006C6F09">
        <w:rPr>
          <w:i/>
          <w:iCs/>
        </w:rPr>
        <w:t xml:space="preserve"> </w:t>
      </w:r>
      <w:r w:rsidRPr="00C60741">
        <w:rPr>
          <w:i/>
          <w:iCs/>
        </w:rPr>
        <w:t>U.S.C.</w:t>
      </w:r>
      <w:r w:rsidR="006C6F09">
        <w:rPr>
          <w:i/>
          <w:iCs/>
        </w:rPr>
        <w:t xml:space="preserve"> </w:t>
      </w:r>
      <w:r w:rsidRPr="00C60741">
        <w:rPr>
          <w:i/>
          <w:iCs/>
        </w:rPr>
        <w:t>327</w:t>
      </w:r>
      <w:r w:rsidR="006C6F09">
        <w:rPr>
          <w:i/>
          <w:iCs/>
        </w:rPr>
        <w:t xml:space="preserve"> </w:t>
      </w:r>
      <w:r w:rsidRPr="00C60741">
        <w:rPr>
          <w:i/>
          <w:iCs/>
        </w:rPr>
        <w:t>and</w:t>
      </w:r>
      <w:r w:rsidR="006C6F09">
        <w:rPr>
          <w:i/>
          <w:iCs/>
        </w:rPr>
        <w:t xml:space="preserve"> </w:t>
      </w:r>
      <w:r w:rsidRPr="00C60741">
        <w:rPr>
          <w:i/>
          <w:iCs/>
        </w:rPr>
        <w:t>a</w:t>
      </w:r>
      <w:r w:rsidR="006C6F09">
        <w:rPr>
          <w:i/>
          <w:iCs/>
        </w:rPr>
        <w:t xml:space="preserve"> </w:t>
      </w:r>
      <w:r w:rsidRPr="00C60741">
        <w:rPr>
          <w:i/>
          <w:iCs/>
        </w:rPr>
        <w:t>Memorandum</w:t>
      </w:r>
      <w:r w:rsidR="006C6F09">
        <w:rPr>
          <w:i/>
          <w:iCs/>
        </w:rPr>
        <w:t xml:space="preserve"> </w:t>
      </w:r>
      <w:r w:rsidRPr="00C60741">
        <w:rPr>
          <w:i/>
          <w:iCs/>
        </w:rPr>
        <w:t>of</w:t>
      </w:r>
      <w:r w:rsidR="006C6F09">
        <w:rPr>
          <w:i/>
          <w:iCs/>
        </w:rPr>
        <w:t xml:space="preserve"> </w:t>
      </w:r>
      <w:r w:rsidRPr="00C60741">
        <w:rPr>
          <w:i/>
          <w:iCs/>
        </w:rPr>
        <w:t>Understanding</w:t>
      </w:r>
      <w:r w:rsidR="006C6F09">
        <w:rPr>
          <w:i/>
          <w:iCs/>
        </w:rPr>
        <w:t xml:space="preserve"> </w:t>
      </w:r>
      <w:r w:rsidRPr="00C60741">
        <w:rPr>
          <w:i/>
          <w:iCs/>
        </w:rPr>
        <w:t>dated</w:t>
      </w:r>
      <w:r w:rsidR="006C6F09">
        <w:rPr>
          <w:i/>
          <w:iCs/>
        </w:rPr>
        <w:t xml:space="preserve"> </w:t>
      </w:r>
      <w:r w:rsidRPr="00C60741">
        <w:rPr>
          <w:i/>
          <w:iCs/>
        </w:rPr>
        <w:t>July</w:t>
      </w:r>
      <w:r w:rsidR="006C6F09">
        <w:rPr>
          <w:i/>
          <w:iCs/>
        </w:rPr>
        <w:t xml:space="preserve"> </w:t>
      </w:r>
      <w:r w:rsidRPr="00C60741">
        <w:rPr>
          <w:i/>
          <w:iCs/>
        </w:rPr>
        <w:t>17,</w:t>
      </w:r>
      <w:r w:rsidR="006C6F09">
        <w:rPr>
          <w:i/>
          <w:iCs/>
        </w:rPr>
        <w:t xml:space="preserve"> </w:t>
      </w:r>
      <w:r w:rsidRPr="00C60741">
        <w:rPr>
          <w:i/>
          <w:iCs/>
        </w:rPr>
        <w:t>2025,</w:t>
      </w:r>
      <w:r w:rsidR="006C6F09">
        <w:rPr>
          <w:i/>
          <w:iCs/>
        </w:rPr>
        <w:t xml:space="preserve"> </w:t>
      </w:r>
      <w:r w:rsidRPr="00C60741">
        <w:rPr>
          <w:i/>
          <w:iCs/>
        </w:rPr>
        <w:t>and</w:t>
      </w:r>
      <w:r w:rsidR="006C6F09">
        <w:rPr>
          <w:i/>
          <w:iCs/>
        </w:rPr>
        <w:t xml:space="preserve"> </w:t>
      </w:r>
      <w:r w:rsidRPr="00C60741">
        <w:rPr>
          <w:i/>
          <w:iCs/>
        </w:rPr>
        <w:t>executed</w:t>
      </w:r>
      <w:r w:rsidR="006C6F09">
        <w:rPr>
          <w:i/>
          <w:iCs/>
        </w:rPr>
        <w:t xml:space="preserve"> </w:t>
      </w:r>
      <w:r w:rsidRPr="00C60741">
        <w:rPr>
          <w:i/>
          <w:iCs/>
        </w:rPr>
        <w:t>by</w:t>
      </w:r>
      <w:r w:rsidR="006C6F09">
        <w:rPr>
          <w:i/>
          <w:iCs/>
        </w:rPr>
        <w:t xml:space="preserve"> </w:t>
      </w:r>
      <w:r w:rsidRPr="00C60741">
        <w:rPr>
          <w:i/>
          <w:iCs/>
        </w:rPr>
        <w:t>FHWA</w:t>
      </w:r>
      <w:r w:rsidR="006C6F09">
        <w:rPr>
          <w:i/>
          <w:iCs/>
        </w:rPr>
        <w:t xml:space="preserve"> </w:t>
      </w:r>
      <w:r w:rsidRPr="00C60741">
        <w:rPr>
          <w:i/>
          <w:iCs/>
        </w:rPr>
        <w:t>and</w:t>
      </w:r>
      <w:r w:rsidR="006C6F09">
        <w:rPr>
          <w:i/>
          <w:iCs/>
        </w:rPr>
        <w:t xml:space="preserve"> </w:t>
      </w:r>
      <w:r w:rsidRPr="00C60741">
        <w:rPr>
          <w:i/>
          <w:iCs/>
        </w:rPr>
        <w:t>TxDOT.</w:t>
      </w:r>
    </w:p>
    <w:p w14:paraId="2581185F" w14:textId="3D2EEF5B" w:rsidR="00457754" w:rsidRPr="00B23AD6" w:rsidRDefault="00457754" w:rsidP="00457754">
      <w:pPr>
        <w:pStyle w:val="Heading3"/>
      </w:pPr>
      <w:bookmarkStart w:id="49" w:name="_Hlk216860205"/>
      <w:bookmarkStart w:id="50" w:name="_Toc224026211"/>
      <w:r w:rsidRPr="00B23AD6">
        <w:t>4.5</w:t>
      </w:r>
      <w:r w:rsidR="006C6F09" w:rsidRPr="00B23AD6">
        <w:t xml:space="preserve"> </w:t>
      </w:r>
      <w:r w:rsidRPr="00B23AD6">
        <w:t>Public</w:t>
      </w:r>
      <w:r w:rsidR="006C6F09" w:rsidRPr="00B23AD6">
        <w:t xml:space="preserve"> </w:t>
      </w:r>
      <w:r w:rsidRPr="00B23AD6">
        <w:t>Meeting</w:t>
      </w:r>
      <w:r w:rsidR="006C6F09" w:rsidRPr="00B23AD6">
        <w:t xml:space="preserve"> </w:t>
      </w:r>
      <w:r w:rsidRPr="00B23AD6">
        <w:t>Types</w:t>
      </w:r>
      <w:bookmarkEnd w:id="50"/>
      <w:r w:rsidR="006C6F09" w:rsidRPr="00B23AD6">
        <w:t xml:space="preserve"> </w:t>
      </w:r>
    </w:p>
    <w:bookmarkEnd w:id="49"/>
    <w:p w14:paraId="6490CDC0" w14:textId="4C0E4EE3" w:rsidR="00457754" w:rsidRDefault="00457754" w:rsidP="00457754">
      <w:pPr>
        <w:spacing w:after="0"/>
      </w:pPr>
      <w:r>
        <w:t>There</w:t>
      </w:r>
      <w:r w:rsidR="006C6F09">
        <w:t xml:space="preserve"> </w:t>
      </w:r>
      <w:r>
        <w:t>are</w:t>
      </w:r>
      <w:r w:rsidR="006C6F09">
        <w:t xml:space="preserve"> </w:t>
      </w:r>
      <w:r>
        <w:t>two</w:t>
      </w:r>
      <w:r w:rsidR="006C6F09">
        <w:t xml:space="preserve"> </w:t>
      </w:r>
      <w:r>
        <w:t>types</w:t>
      </w:r>
      <w:r w:rsidR="006C6F09">
        <w:t xml:space="preserve"> </w:t>
      </w:r>
      <w:r>
        <w:t>of</w:t>
      </w:r>
      <w:r w:rsidR="006C6F09">
        <w:t xml:space="preserve"> </w:t>
      </w:r>
      <w:r>
        <w:t>public</w:t>
      </w:r>
      <w:r w:rsidR="006C6F09">
        <w:t xml:space="preserve"> </w:t>
      </w:r>
      <w:r>
        <w:t>meetings:</w:t>
      </w:r>
    </w:p>
    <w:p w14:paraId="22322567" w14:textId="579D7655" w:rsidR="00457754" w:rsidRDefault="00457754" w:rsidP="00457754">
      <w:pPr>
        <w:pStyle w:val="ListBullet"/>
      </w:pPr>
      <w:r>
        <w:t>Virtual</w:t>
      </w:r>
      <w:r w:rsidR="006C6F09">
        <w:t xml:space="preserve"> </w:t>
      </w:r>
      <w:r>
        <w:t>online-only</w:t>
      </w:r>
      <w:r w:rsidR="006C6F09">
        <w:t xml:space="preserve"> </w:t>
      </w:r>
      <w:r>
        <w:t>public</w:t>
      </w:r>
      <w:r w:rsidR="006C6F09">
        <w:t xml:space="preserve"> </w:t>
      </w:r>
      <w:r>
        <w:t>meeting</w:t>
      </w:r>
      <w:r w:rsidR="006C6F09">
        <w:t xml:space="preserve"> </w:t>
      </w:r>
      <w:r>
        <w:t>(only</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not</w:t>
      </w:r>
      <w:r w:rsidR="006C6F09">
        <w:t xml:space="preserve"> </w:t>
      </w:r>
      <w:r>
        <w:t>going</w:t>
      </w:r>
      <w:r w:rsidR="006C6F09">
        <w:t xml:space="preserve"> </w:t>
      </w:r>
      <w:r>
        <w:t>through</w:t>
      </w:r>
      <w:r w:rsidR="006C6F09">
        <w:t xml:space="preserve"> </w:t>
      </w:r>
      <w:r>
        <w:t>an</w:t>
      </w:r>
      <w:r w:rsidR="006C6F09">
        <w:t xml:space="preserve"> </w:t>
      </w:r>
      <w:r>
        <w:t>area</w:t>
      </w:r>
      <w:r w:rsidR="006C6F09">
        <w:t xml:space="preserve"> </w:t>
      </w:r>
      <w:r>
        <w:t>with</w:t>
      </w:r>
      <w:r w:rsidR="006C6F09">
        <w:t xml:space="preserve"> </w:t>
      </w:r>
      <w:r>
        <w:t>limited</w:t>
      </w:r>
      <w:r w:rsidR="006C6F09">
        <w:t xml:space="preserve"> </w:t>
      </w:r>
      <w:r>
        <w:t>internet</w:t>
      </w:r>
      <w:r w:rsidR="006C6F09">
        <w:t xml:space="preserve"> </w:t>
      </w:r>
      <w:r>
        <w:t>access)</w:t>
      </w:r>
    </w:p>
    <w:p w14:paraId="78D1B469" w14:textId="0FBF9930" w:rsidR="00457754" w:rsidRDefault="00457754" w:rsidP="00457754">
      <w:pPr>
        <w:pStyle w:val="ListBullet"/>
      </w:pPr>
      <w:r>
        <w:t>Virtual</w:t>
      </w:r>
      <w:r w:rsidR="006C6F09">
        <w:t xml:space="preserve"> </w:t>
      </w:r>
      <w:r>
        <w:t>public</w:t>
      </w:r>
      <w:r w:rsidR="006C6F09">
        <w:t xml:space="preserve"> </w:t>
      </w:r>
      <w:r>
        <w:t>meeting</w:t>
      </w:r>
      <w:r w:rsidR="006C6F09">
        <w:t xml:space="preserve"> </w:t>
      </w:r>
      <w:r>
        <w:t>with</w:t>
      </w:r>
      <w:r w:rsidR="006C6F09">
        <w:t xml:space="preserve"> </w:t>
      </w:r>
      <w:r>
        <w:t>in-person</w:t>
      </w:r>
      <w:r w:rsidR="006C6F09">
        <w:t xml:space="preserve"> </w:t>
      </w:r>
      <w:r>
        <w:t>option</w:t>
      </w:r>
    </w:p>
    <w:p w14:paraId="200311BD" w14:textId="4ED8EFED" w:rsidR="00457754" w:rsidRDefault="00457754" w:rsidP="00457754">
      <w:pPr>
        <w:pStyle w:val="ListBullet"/>
      </w:pPr>
      <w:r>
        <w:t>Each</w:t>
      </w:r>
      <w:r w:rsidR="006C6F09">
        <w:t xml:space="preserve"> </w:t>
      </w:r>
      <w:r>
        <w:t>of</w:t>
      </w:r>
      <w:r w:rsidR="006C6F09">
        <w:t xml:space="preserve"> </w:t>
      </w:r>
      <w:r>
        <w:t>these</w:t>
      </w:r>
      <w:r w:rsidR="006C6F09">
        <w:t xml:space="preserve"> </w:t>
      </w:r>
      <w:r>
        <w:t>is</w:t>
      </w:r>
      <w:r w:rsidR="006C6F09">
        <w:t xml:space="preserve"> </w:t>
      </w:r>
      <w:r>
        <w:t>discussed</w:t>
      </w:r>
      <w:r w:rsidR="006C6F09">
        <w:t xml:space="preserve"> </w:t>
      </w:r>
      <w:r>
        <w:t>separately</w:t>
      </w:r>
      <w:r w:rsidR="006C6F09">
        <w:t xml:space="preserve"> </w:t>
      </w:r>
      <w:r>
        <w:t>below.</w:t>
      </w:r>
    </w:p>
    <w:p w14:paraId="30CC4139" w14:textId="05D68B05" w:rsidR="00457754" w:rsidRPr="0087244D" w:rsidRDefault="00457754" w:rsidP="0087244D">
      <w:pPr>
        <w:pStyle w:val="Heading4"/>
      </w:pPr>
      <w:bookmarkStart w:id="51" w:name="_Ref219790253"/>
      <w:bookmarkStart w:id="52" w:name="_Hlk216852095"/>
      <w:r w:rsidRPr="0087244D">
        <w:t>4.5.1</w:t>
      </w:r>
      <w:r w:rsidR="006C6F09">
        <w:t xml:space="preserve"> </w:t>
      </w:r>
      <w:r w:rsidRPr="0087244D">
        <w:t>Virtual</w:t>
      </w:r>
      <w:r w:rsidR="006C6F09">
        <w:t xml:space="preserve"> </w:t>
      </w:r>
      <w:r w:rsidRPr="0087244D">
        <w:t>Online-Only</w:t>
      </w:r>
      <w:r w:rsidR="006C6F09">
        <w:t xml:space="preserve"> </w:t>
      </w:r>
      <w:r w:rsidRPr="0087244D">
        <w:t>Public</w:t>
      </w:r>
      <w:r w:rsidR="006C6F09">
        <w:t xml:space="preserve"> </w:t>
      </w:r>
      <w:r w:rsidRPr="0087244D">
        <w:t>Meeting</w:t>
      </w:r>
      <w:bookmarkEnd w:id="51"/>
    </w:p>
    <w:bookmarkEnd w:id="52"/>
    <w:p w14:paraId="26EEFF13" w14:textId="006902CB" w:rsidR="00457754" w:rsidRDefault="00457754" w:rsidP="00457754">
      <w:r>
        <w:t>A</w:t>
      </w:r>
      <w:r w:rsidR="006C6F09">
        <w:t xml:space="preserve"> </w:t>
      </w:r>
      <w:r>
        <w:t>virtual</w:t>
      </w:r>
      <w:r w:rsidR="006C6F09">
        <w:t xml:space="preserve"> </w:t>
      </w:r>
      <w:r>
        <w:t>online-only</w:t>
      </w:r>
      <w:r w:rsidR="006C6F09">
        <w:t xml:space="preserve"> </w:t>
      </w:r>
      <w:r>
        <w:t>public</w:t>
      </w:r>
      <w:r w:rsidR="006C6F09">
        <w:t xml:space="preserve"> </w:t>
      </w:r>
      <w:r>
        <w:t>meeting</w:t>
      </w:r>
      <w:r w:rsidR="006C6F09">
        <w:t xml:space="preserve"> </w:t>
      </w:r>
      <w:r>
        <w:t>is</w:t>
      </w:r>
      <w:r w:rsidR="006C6F09">
        <w:t xml:space="preserve"> </w:t>
      </w:r>
      <w:r>
        <w:t>not</w:t>
      </w:r>
      <w:r w:rsidR="006C6F09">
        <w:t xml:space="preserve"> </w:t>
      </w:r>
      <w:r>
        <w:t>allowable</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going</w:t>
      </w:r>
      <w:r w:rsidR="006C6F09">
        <w:t xml:space="preserve"> </w:t>
      </w:r>
      <w:r>
        <w:t>through</w:t>
      </w:r>
      <w:r w:rsidR="006C6F09">
        <w:t xml:space="preserve"> </w:t>
      </w:r>
      <w:r>
        <w:t>an</w:t>
      </w:r>
      <w:r w:rsidR="006C6F09">
        <w:t xml:space="preserve"> </w:t>
      </w:r>
      <w:r>
        <w:t>area</w:t>
      </w:r>
      <w:r w:rsidR="006C6F09">
        <w:t xml:space="preserve"> </w:t>
      </w:r>
      <w:r>
        <w:t>with</w:t>
      </w:r>
      <w:r w:rsidR="006C6F09">
        <w:t xml:space="preserve"> </w:t>
      </w:r>
      <w:r>
        <w:t>limited</w:t>
      </w:r>
      <w:r w:rsidR="006C6F09">
        <w:t xml:space="preserve"> </w:t>
      </w:r>
      <w:r>
        <w:t>internet</w:t>
      </w:r>
      <w:r w:rsidR="006C6F09">
        <w:t xml:space="preserve"> </w:t>
      </w:r>
      <w:r>
        <w:t>access.</w:t>
      </w:r>
      <w:r w:rsidR="006C6F09">
        <w:t xml:space="preserve"> </w:t>
      </w:r>
      <w:r>
        <w:t>Whether</w:t>
      </w:r>
      <w:r w:rsidR="006C6F09">
        <w:t xml:space="preserve"> </w:t>
      </w:r>
      <w:r>
        <w:t>the</w:t>
      </w:r>
      <w:r w:rsidR="006C6F09">
        <w:t xml:space="preserve"> </w:t>
      </w:r>
      <w:r>
        <w:t>area</w:t>
      </w:r>
      <w:r w:rsidR="006C6F09">
        <w:t xml:space="preserve"> </w:t>
      </w:r>
      <w:r>
        <w:t>has</w:t>
      </w:r>
      <w:r w:rsidR="006C6F09">
        <w:t xml:space="preserve"> </w:t>
      </w:r>
      <w:r>
        <w:t>limited</w:t>
      </w:r>
      <w:r w:rsidR="006C6F09">
        <w:t xml:space="preserve"> </w:t>
      </w:r>
      <w:r>
        <w:t>internet</w:t>
      </w:r>
      <w:r w:rsidR="006C6F09">
        <w:t xml:space="preserve"> </w:t>
      </w:r>
      <w:r>
        <w:t>access</w:t>
      </w:r>
      <w:r w:rsidR="006C6F09">
        <w:t xml:space="preserve"> </w:t>
      </w:r>
      <w:r>
        <w:t>will</w:t>
      </w:r>
      <w:r w:rsidR="006C6F09">
        <w:t xml:space="preserve"> </w:t>
      </w:r>
      <w:r>
        <w:t>be</w:t>
      </w:r>
      <w:r w:rsidR="006C6F09">
        <w:t xml:space="preserve"> </w:t>
      </w:r>
      <w:r>
        <w:t>based</w:t>
      </w:r>
      <w:r w:rsidR="006C6F09">
        <w:t xml:space="preserve"> </w:t>
      </w:r>
      <w:r>
        <w:t>on</w:t>
      </w:r>
      <w:r w:rsidR="006C6F09">
        <w:t xml:space="preserve"> </w:t>
      </w:r>
      <w:r>
        <w:t>the</w:t>
      </w:r>
      <w:r w:rsidR="006C6F09">
        <w:t xml:space="preserve"> </w:t>
      </w:r>
      <w:r>
        <w:t>community.</w:t>
      </w:r>
      <w:r w:rsidR="006C6F09">
        <w:t xml:space="preserve"> </w:t>
      </w:r>
      <w:r>
        <w:t>District</w:t>
      </w:r>
      <w:r w:rsidR="006C6F09">
        <w:t xml:space="preserve"> </w:t>
      </w:r>
      <w:r>
        <w:t>staff</w:t>
      </w:r>
      <w:r w:rsidR="006C6F09">
        <w:t xml:space="preserve"> </w:t>
      </w:r>
      <w:r>
        <w:t>should</w:t>
      </w:r>
      <w:r w:rsidR="006C6F09">
        <w:t xml:space="preserve"> </w:t>
      </w:r>
      <w:r>
        <w:t>work</w:t>
      </w:r>
      <w:r w:rsidR="006C6F09">
        <w:t xml:space="preserve"> </w:t>
      </w:r>
      <w:r>
        <w:t>with</w:t>
      </w:r>
      <w:r w:rsidR="006C6F09">
        <w:t xml:space="preserve"> </w:t>
      </w:r>
      <w:r>
        <w:t>TPP’s</w:t>
      </w:r>
      <w:r w:rsidR="006C6F09">
        <w:t xml:space="preserve"> </w:t>
      </w:r>
      <w:r>
        <w:t>PI</w:t>
      </w:r>
      <w:r w:rsidR="006C6F09">
        <w:t xml:space="preserve"> </w:t>
      </w:r>
      <w:r>
        <w:t>Section</w:t>
      </w:r>
      <w:r w:rsidR="006C6F09">
        <w:t xml:space="preserve"> </w:t>
      </w:r>
      <w:r>
        <w:t>and</w:t>
      </w:r>
      <w:r w:rsidR="006C6F09">
        <w:t xml:space="preserve"> </w:t>
      </w:r>
      <w:r>
        <w:t>or</w:t>
      </w:r>
      <w:r w:rsidR="006C6F09">
        <w:t xml:space="preserve"> </w:t>
      </w:r>
      <w:r>
        <w:t>ENV’s</w:t>
      </w:r>
      <w:r w:rsidR="006C6F09">
        <w:t xml:space="preserve"> </w:t>
      </w:r>
      <w:proofErr w:type="gramStart"/>
      <w:r>
        <w:t>community</w:t>
      </w:r>
      <w:proofErr w:type="gramEnd"/>
      <w:r w:rsidR="006C6F09">
        <w:t xml:space="preserve"> </w:t>
      </w:r>
      <w:r>
        <w:t>impacts</w:t>
      </w:r>
      <w:r w:rsidR="006C6F09">
        <w:t xml:space="preserve"> </w:t>
      </w:r>
      <w:r>
        <w:t>SMEs</w:t>
      </w:r>
      <w:r w:rsidR="006C6F09">
        <w:t xml:space="preserve"> </w:t>
      </w:r>
      <w:r>
        <w:t>(Subject</w:t>
      </w:r>
      <w:r w:rsidR="006C6F09">
        <w:t xml:space="preserve"> </w:t>
      </w:r>
      <w:r>
        <w:t>Matter</w:t>
      </w:r>
      <w:r w:rsidR="006C6F09">
        <w:t xml:space="preserve"> </w:t>
      </w:r>
      <w:r>
        <w:t>Expert)</w:t>
      </w:r>
      <w:r w:rsidR="006C6F09">
        <w:t xml:space="preserve"> </w:t>
      </w:r>
      <w:r>
        <w:t>for</w:t>
      </w:r>
      <w:r w:rsidR="006C6F09">
        <w:t xml:space="preserve"> </w:t>
      </w:r>
      <w:r>
        <w:t>assistance.</w:t>
      </w:r>
      <w:r w:rsidR="006C6F09">
        <w:t xml:space="preserve"> </w:t>
      </w:r>
      <w:r>
        <w:t>The</w:t>
      </w:r>
      <w:r w:rsidR="006C6F09">
        <w:t xml:space="preserve"> </w:t>
      </w:r>
      <w:r>
        <w:t>following</w:t>
      </w:r>
      <w:r w:rsidR="006C6F09">
        <w:t xml:space="preserve"> </w:t>
      </w:r>
      <w:r>
        <w:t>U.S.</w:t>
      </w:r>
      <w:r w:rsidR="006C6F09">
        <w:t xml:space="preserve"> </w:t>
      </w:r>
      <w:r>
        <w:t>(United</w:t>
      </w:r>
      <w:r w:rsidR="006C6F09">
        <w:t xml:space="preserve"> </w:t>
      </w:r>
      <w:r>
        <w:t>States)</w:t>
      </w:r>
      <w:r w:rsidR="006C6F09">
        <w:t xml:space="preserve"> </w:t>
      </w:r>
      <w:r>
        <w:t>Census</w:t>
      </w:r>
      <w:r w:rsidR="006C6F09">
        <w:t xml:space="preserve"> </w:t>
      </w:r>
      <w:r>
        <w:t>Bureau</w:t>
      </w:r>
      <w:r w:rsidR="006C6F09">
        <w:t xml:space="preserve"> </w:t>
      </w:r>
      <w:r>
        <w:t>link</w:t>
      </w:r>
      <w:r w:rsidR="006C6F09">
        <w:t xml:space="preserve"> </w:t>
      </w:r>
      <w:r>
        <w:t>has</w:t>
      </w:r>
      <w:r w:rsidR="006C6F09">
        <w:t xml:space="preserve"> </w:t>
      </w:r>
      <w:r>
        <w:t>“narrative</w:t>
      </w:r>
      <w:r w:rsidR="006C6F09">
        <w:t xml:space="preserve"> </w:t>
      </w:r>
      <w:r>
        <w:t>profiles”</w:t>
      </w:r>
      <w:r w:rsidR="006C6F09">
        <w:t xml:space="preserve"> </w:t>
      </w:r>
      <w:r>
        <w:t>of</w:t>
      </w:r>
      <w:r w:rsidR="006C6F09">
        <w:t xml:space="preserve"> </w:t>
      </w:r>
      <w:r>
        <w:t>counties,</w:t>
      </w:r>
      <w:r w:rsidR="006C6F09">
        <w:t xml:space="preserve"> </w:t>
      </w:r>
      <w:r>
        <w:t>cities,</w:t>
      </w:r>
      <w:r w:rsidR="006C6F09">
        <w:t xml:space="preserve"> </w:t>
      </w:r>
      <w:r>
        <w:t>and</w:t>
      </w:r>
      <w:r w:rsidR="006C6F09">
        <w:t xml:space="preserve"> </w:t>
      </w:r>
      <w:r>
        <w:t>census</w:t>
      </w:r>
      <w:r w:rsidR="006C6F09">
        <w:t xml:space="preserve"> </w:t>
      </w:r>
      <w:r>
        <w:t>tracts</w:t>
      </w:r>
      <w:r w:rsidR="006C6F09">
        <w:t xml:space="preserve"> </w:t>
      </w:r>
      <w:r>
        <w:t>with</w:t>
      </w:r>
      <w:r w:rsidR="006C6F09">
        <w:t xml:space="preserve"> </w:t>
      </w:r>
      <w:r>
        <w:t>percentages</w:t>
      </w:r>
      <w:r w:rsidR="006C6F09">
        <w:t xml:space="preserve"> </w:t>
      </w:r>
      <w:r>
        <w:t>of</w:t>
      </w:r>
      <w:r w:rsidR="006C6F09">
        <w:t xml:space="preserve"> </w:t>
      </w:r>
      <w:r>
        <w:t>households</w:t>
      </w:r>
      <w:r w:rsidR="006C6F09">
        <w:t xml:space="preserve"> </w:t>
      </w:r>
      <w:r>
        <w:t>that</w:t>
      </w:r>
      <w:r w:rsidR="006C6F09">
        <w:t xml:space="preserve"> </w:t>
      </w:r>
      <w:r>
        <w:t>have</w:t>
      </w:r>
      <w:r w:rsidR="006C6F09">
        <w:t xml:space="preserve"> </w:t>
      </w:r>
      <w:r>
        <w:t>a</w:t>
      </w:r>
      <w:r w:rsidR="006C6F09">
        <w:t xml:space="preserve"> </w:t>
      </w:r>
      <w:r>
        <w:t>computer</w:t>
      </w:r>
      <w:r w:rsidR="006C6F09">
        <w:t xml:space="preserve"> </w:t>
      </w:r>
      <w:r>
        <w:t>and</w:t>
      </w:r>
      <w:r w:rsidR="006C6F09">
        <w:t xml:space="preserve"> </w:t>
      </w:r>
      <w:r>
        <w:t>broadband</w:t>
      </w:r>
      <w:r w:rsidR="006C6F09">
        <w:t xml:space="preserve"> </w:t>
      </w:r>
      <w:r>
        <w:t>internet</w:t>
      </w:r>
      <w:r w:rsidR="006C6F09">
        <w:t xml:space="preserve"> </w:t>
      </w:r>
      <w:r>
        <w:t>subscription:</w:t>
      </w:r>
      <w:r w:rsidR="006C6F09">
        <w:t xml:space="preserve"> </w:t>
      </w:r>
      <w:hyperlink r:id="rId45" w:history="1">
        <w:r>
          <w:rPr>
            <w:rStyle w:val="Hyperlink"/>
          </w:rPr>
          <w:t>United</w:t>
        </w:r>
        <w:r w:rsidR="006C6F09">
          <w:rPr>
            <w:rStyle w:val="Hyperlink"/>
          </w:rPr>
          <w:t xml:space="preserve"> </w:t>
        </w:r>
        <w:r>
          <w:rPr>
            <w:rStyle w:val="Hyperlink"/>
          </w:rPr>
          <w:t>States</w:t>
        </w:r>
        <w:r w:rsidR="006C6F09">
          <w:rPr>
            <w:rStyle w:val="Hyperlink"/>
          </w:rPr>
          <w:t xml:space="preserve"> </w:t>
        </w:r>
        <w:r>
          <w:rPr>
            <w:rStyle w:val="Hyperlink"/>
          </w:rPr>
          <w:t>Census</w:t>
        </w:r>
        <w:r w:rsidR="006C6F09">
          <w:rPr>
            <w:rStyle w:val="Hyperlink"/>
          </w:rPr>
          <w:t xml:space="preserve"> </w:t>
        </w:r>
        <w:r>
          <w:rPr>
            <w:rStyle w:val="Hyperlink"/>
          </w:rPr>
          <w:t>Bureau</w:t>
        </w:r>
        <w:r w:rsidR="006C6F09">
          <w:rPr>
            <w:rStyle w:val="Hyperlink"/>
          </w:rPr>
          <w:t xml:space="preserve"> </w:t>
        </w:r>
        <w:r>
          <w:rPr>
            <w:rStyle w:val="Hyperlink"/>
          </w:rPr>
          <w:t>Narrative</w:t>
        </w:r>
        <w:r w:rsidR="006C6F09">
          <w:rPr>
            <w:rStyle w:val="Hyperlink"/>
          </w:rPr>
          <w:t xml:space="preserve"> </w:t>
        </w:r>
        <w:r>
          <w:rPr>
            <w:rStyle w:val="Hyperlink"/>
          </w:rPr>
          <w:t>Profiles</w:t>
        </w:r>
      </w:hyperlink>
      <w:r>
        <w:t>.</w:t>
      </w:r>
    </w:p>
    <w:p w14:paraId="39BC4DCD" w14:textId="1C97ED5B" w:rsidR="00457754" w:rsidRDefault="00457754" w:rsidP="00457754">
      <w:r>
        <w:t>Notice</w:t>
      </w:r>
      <w:r w:rsidR="006C6F09">
        <w:t xml:space="preserve"> </w:t>
      </w:r>
      <w:r>
        <w:t>of</w:t>
      </w:r>
      <w:r w:rsidR="006C6F09">
        <w:t xml:space="preserve"> </w:t>
      </w:r>
      <w:r>
        <w:t>a</w:t>
      </w:r>
      <w:r w:rsidR="006C6F09">
        <w:t xml:space="preserve"> </w:t>
      </w:r>
      <w:r>
        <w:t>virtual</w:t>
      </w:r>
      <w:r w:rsidR="006C6F09">
        <w:t xml:space="preserve"> </w:t>
      </w:r>
      <w:r>
        <w:t>public</w:t>
      </w:r>
      <w:r w:rsidR="006C6F09">
        <w:t xml:space="preserve"> </w:t>
      </w:r>
      <w:r>
        <w:t>meeting</w:t>
      </w:r>
      <w:r w:rsidR="006C6F09">
        <w:t xml:space="preserve"> </w:t>
      </w:r>
      <w:r>
        <w:t>must</w:t>
      </w:r>
      <w:r w:rsidR="006C6F09">
        <w:t xml:space="preserve"> </w:t>
      </w:r>
      <w:r>
        <w:t>comply</w:t>
      </w:r>
      <w:r w:rsidR="006C6F09">
        <w:t xml:space="preserve"> </w:t>
      </w:r>
      <w:r>
        <w:t>with</w:t>
      </w:r>
      <w:r w:rsidR="006C6F09">
        <w:t xml:space="preserve"> </w:t>
      </w:r>
      <w:r>
        <w:t>the</w:t>
      </w:r>
      <w:r w:rsidR="006C6F09">
        <w:t xml:space="preserve"> </w:t>
      </w:r>
      <w:r>
        <w:t>instructions</w:t>
      </w:r>
      <w:r w:rsidR="006C6F09">
        <w:t xml:space="preserve"> </w:t>
      </w:r>
      <w:r>
        <w:t>stated</w:t>
      </w:r>
      <w:r w:rsidR="006C6F09">
        <w:t xml:space="preserve"> </w:t>
      </w:r>
      <w:r>
        <w:t>in</w:t>
      </w:r>
      <w:r w:rsidR="006C6F09">
        <w:t xml:space="preserve"> </w:t>
      </w:r>
      <w:r>
        <w:t>Subsections</w:t>
      </w:r>
      <w:r w:rsidR="006C6F09">
        <w:t xml:space="preserve"> </w:t>
      </w:r>
      <w:r w:rsidRPr="00263E76">
        <w:rPr>
          <w:u w:val="single"/>
        </w:rPr>
        <w:fldChar w:fldCharType="begin"/>
      </w:r>
      <w:r w:rsidRPr="00263E76">
        <w:rPr>
          <w:u w:val="single"/>
        </w:rPr>
        <w:instrText xml:space="preserve"> REF _Ref219790060 \h  \* MERGEFORMAT </w:instrText>
      </w:r>
      <w:r w:rsidRPr="00263E76">
        <w:rPr>
          <w:u w:val="single"/>
        </w:rPr>
      </w:r>
      <w:r w:rsidRPr="00263E76">
        <w:rPr>
          <w:u w:val="single"/>
        </w:rPr>
        <w:fldChar w:fldCharType="separate"/>
      </w:r>
      <w:r w:rsidRPr="00263E76">
        <w:rPr>
          <w:color w:val="0056A9"/>
          <w:u w:val="single"/>
        </w:rPr>
        <w:t>4.3</w:t>
      </w:r>
      <w:r w:rsidRPr="00263E76">
        <w:rPr>
          <w:u w:val="single"/>
        </w:rPr>
        <w:fldChar w:fldCharType="end"/>
      </w:r>
      <w:r w:rsidR="006C6F09">
        <w:t xml:space="preserve"> </w:t>
      </w:r>
      <w:r>
        <w:t>and</w:t>
      </w:r>
      <w:r w:rsidR="006C6F09">
        <w:t xml:space="preserve"> </w:t>
      </w:r>
      <w:r w:rsidRPr="00263E76">
        <w:rPr>
          <w:u w:val="single"/>
        </w:rPr>
        <w:fldChar w:fldCharType="begin"/>
      </w:r>
      <w:r w:rsidRPr="00263E76">
        <w:rPr>
          <w:u w:val="single"/>
        </w:rPr>
        <w:instrText xml:space="preserve"> REF _Ref219790091 \h  \* MERGEFORMAT </w:instrText>
      </w:r>
      <w:r w:rsidRPr="00263E76">
        <w:rPr>
          <w:u w:val="single"/>
        </w:rPr>
      </w:r>
      <w:r w:rsidRPr="00263E76">
        <w:rPr>
          <w:u w:val="single"/>
        </w:rPr>
        <w:fldChar w:fldCharType="separate"/>
      </w:r>
      <w:r w:rsidRPr="00263E76">
        <w:rPr>
          <w:color w:val="0056A9"/>
          <w:u w:val="single"/>
        </w:rPr>
        <w:t>4.4</w:t>
      </w:r>
      <w:r w:rsidRPr="00263E76">
        <w:rPr>
          <w:u w:val="single"/>
        </w:rPr>
        <w:fldChar w:fldCharType="end"/>
      </w:r>
      <w:r w:rsidR="006C6F09">
        <w:t xml:space="preserve"> </w:t>
      </w:r>
      <w:r>
        <w:t>above,</w:t>
      </w:r>
      <w:r w:rsidR="006C6F09">
        <w:t xml:space="preserve"> </w:t>
      </w:r>
      <w:r>
        <w:t>including</w:t>
      </w:r>
      <w:r w:rsidR="006C6F09">
        <w:t xml:space="preserve"> </w:t>
      </w:r>
      <w:r>
        <w:t>the</w:t>
      </w:r>
      <w:r w:rsidR="006C6F09">
        <w:t xml:space="preserve"> </w:t>
      </w:r>
      <w:r>
        <w:t>requirement</w:t>
      </w:r>
      <w:r w:rsidR="006C6F09">
        <w:t xml:space="preserve"> </w:t>
      </w:r>
      <w:r>
        <w:t>to</w:t>
      </w:r>
      <w:r w:rsidR="006C6F09">
        <w:t xml:space="preserve"> </w:t>
      </w:r>
      <w:r>
        <w:t>develop</w:t>
      </w:r>
      <w:r w:rsidR="006C6F09">
        <w:t xml:space="preserve"> </w:t>
      </w:r>
      <w:r>
        <w:t>and</w:t>
      </w:r>
      <w:r w:rsidR="006C6F09">
        <w:t xml:space="preserve"> </w:t>
      </w:r>
      <w:r>
        <w:t>implement</w:t>
      </w:r>
      <w:r w:rsidR="006C6F09">
        <w:t xml:space="preserve"> </w:t>
      </w:r>
      <w:r>
        <w:t>strategies</w:t>
      </w:r>
      <w:r w:rsidR="006C6F09">
        <w:t xml:space="preserve"> </w:t>
      </w:r>
      <w:r>
        <w:t>to</w:t>
      </w:r>
      <w:r w:rsidR="006C6F09">
        <w:t xml:space="preserve"> </w:t>
      </w:r>
      <w:r>
        <w:t>address</w:t>
      </w:r>
      <w:r w:rsidR="006C6F09">
        <w:t xml:space="preserve"> </w:t>
      </w:r>
      <w:r>
        <w:t>LEP</w:t>
      </w:r>
      <w:r w:rsidR="006C6F09">
        <w:t xml:space="preserve"> </w:t>
      </w:r>
      <w:r>
        <w:t>populations</w:t>
      </w:r>
      <w:r w:rsidR="006C6F09">
        <w:t xml:space="preserve"> </w:t>
      </w:r>
      <w:r>
        <w:t>where</w:t>
      </w:r>
      <w:r w:rsidR="006C6F09">
        <w:t xml:space="preserve"> </w:t>
      </w:r>
      <w:r>
        <w:t>such</w:t>
      </w:r>
      <w:r w:rsidR="006C6F09">
        <w:t xml:space="preserve"> </w:t>
      </w:r>
      <w:r>
        <w:t>populations</w:t>
      </w:r>
      <w:r w:rsidR="006C6F09">
        <w:t xml:space="preserve"> </w:t>
      </w:r>
      <w:r>
        <w:t>are</w:t>
      </w:r>
      <w:r w:rsidR="006C6F09">
        <w:t xml:space="preserve"> </w:t>
      </w:r>
      <w:r>
        <w:t>identified</w:t>
      </w:r>
      <w:r w:rsidR="006C6F09">
        <w:t xml:space="preserve"> </w:t>
      </w:r>
      <w:r>
        <w:t>in</w:t>
      </w:r>
      <w:r w:rsidR="006C6F09">
        <w:t xml:space="preserve"> </w:t>
      </w:r>
      <w:r>
        <w:t>the</w:t>
      </w:r>
      <w:r w:rsidR="006C6F09">
        <w:t xml:space="preserve"> </w:t>
      </w:r>
      <w:r>
        <w:t>project</w:t>
      </w:r>
      <w:r w:rsidR="006C6F09">
        <w:t xml:space="preserve"> </w:t>
      </w:r>
      <w:r>
        <w:t>area.</w:t>
      </w:r>
      <w:r w:rsidR="006C6F09">
        <w:t xml:space="preserve"> </w:t>
      </w:r>
      <w:r>
        <w:t>Notice</w:t>
      </w:r>
      <w:r w:rsidR="006C6F09">
        <w:t xml:space="preserve"> </w:t>
      </w:r>
      <w:r>
        <w:t>of</w:t>
      </w:r>
      <w:r w:rsidR="006C6F09">
        <w:t xml:space="preserve"> </w:t>
      </w:r>
      <w:r>
        <w:t>a</w:t>
      </w:r>
      <w:r w:rsidR="006C6F09">
        <w:t xml:space="preserve"> </w:t>
      </w:r>
      <w:r>
        <w:t>virtual</w:t>
      </w:r>
      <w:r w:rsidR="006C6F09">
        <w:t xml:space="preserve"> </w:t>
      </w:r>
      <w:r>
        <w:t>public</w:t>
      </w:r>
      <w:r w:rsidR="006C6F09">
        <w:t xml:space="preserve"> </w:t>
      </w:r>
      <w:r>
        <w:t>meeting</w:t>
      </w:r>
      <w:r w:rsidR="006C6F09">
        <w:t xml:space="preserve"> </w:t>
      </w:r>
      <w:r>
        <w:t>must</w:t>
      </w:r>
      <w:r w:rsidR="006C6F09">
        <w:t xml:space="preserve"> </w:t>
      </w:r>
      <w:r>
        <w:t>also</w:t>
      </w:r>
      <w:r w:rsidR="006C6F09">
        <w:t xml:space="preserve"> </w:t>
      </w:r>
      <w:r>
        <w:t>include</w:t>
      </w:r>
      <w:r w:rsidR="006C6F09">
        <w:t xml:space="preserve"> </w:t>
      </w:r>
      <w:r>
        <w:t>the</w:t>
      </w:r>
      <w:r w:rsidR="006C6F09">
        <w:t xml:space="preserve"> </w:t>
      </w:r>
      <w:r>
        <w:t>following:</w:t>
      </w:r>
    </w:p>
    <w:p w14:paraId="08017968" w14:textId="4D17A004" w:rsidR="00457754" w:rsidRDefault="00457754" w:rsidP="00457754">
      <w:pPr>
        <w:pStyle w:val="ListBullet"/>
      </w:pPr>
      <w:r w:rsidRPr="00A22A80">
        <w:t>clear</w:t>
      </w:r>
      <w:r w:rsidR="006C6F09">
        <w:t xml:space="preserve"> </w:t>
      </w:r>
      <w:r w:rsidRPr="00A22A80">
        <w:t>instructions</w:t>
      </w:r>
      <w:r w:rsidR="006C6F09">
        <w:t xml:space="preserve"> </w:t>
      </w:r>
      <w:r w:rsidRPr="00A22A80">
        <w:t>about</w:t>
      </w:r>
      <w:r w:rsidR="006C6F09">
        <w:t xml:space="preserve"> </w:t>
      </w:r>
      <w:r w:rsidRPr="00A22A80">
        <w:t>how</w:t>
      </w:r>
      <w:r w:rsidR="006C6F09">
        <w:t xml:space="preserve"> </w:t>
      </w:r>
      <w:r w:rsidRPr="00A22A80">
        <w:t>to</w:t>
      </w:r>
      <w:r w:rsidR="006C6F09">
        <w:t xml:space="preserve"> </w:t>
      </w:r>
      <w:r w:rsidRPr="00A22A80">
        <w:t>view</w:t>
      </w:r>
      <w:r w:rsidR="006C6F09">
        <w:t xml:space="preserve"> </w:t>
      </w:r>
      <w:r w:rsidRPr="00A22A80">
        <w:t>the</w:t>
      </w:r>
      <w:r w:rsidR="006C6F09">
        <w:t xml:space="preserve"> </w:t>
      </w:r>
      <w:r w:rsidRPr="00A22A80">
        <w:t>virtual</w:t>
      </w:r>
      <w:r w:rsidR="006C6F09">
        <w:t xml:space="preserve"> </w:t>
      </w:r>
      <w:r w:rsidRPr="00A22A80">
        <w:t>public</w:t>
      </w:r>
      <w:r w:rsidR="006C6F09">
        <w:t xml:space="preserve"> </w:t>
      </w:r>
      <w:proofErr w:type="gramStart"/>
      <w:r w:rsidRPr="00A22A80">
        <w:t>meeting;</w:t>
      </w:r>
      <w:proofErr w:type="gramEnd"/>
    </w:p>
    <w:p w14:paraId="3B9B4CA5" w14:textId="5E8254FE" w:rsidR="00457754" w:rsidRDefault="00457754" w:rsidP="00457754">
      <w:pPr>
        <w:pStyle w:val="ListBullet"/>
      </w:pPr>
      <w:r w:rsidRPr="00A22A80">
        <w:t>an</w:t>
      </w:r>
      <w:r w:rsidR="006C6F09">
        <w:t xml:space="preserve"> </w:t>
      </w:r>
      <w:r w:rsidRPr="00A22A80">
        <w:t>explanation</w:t>
      </w:r>
      <w:r w:rsidR="006C6F09">
        <w:t xml:space="preserve"> </w:t>
      </w:r>
      <w:r w:rsidRPr="00A22A80">
        <w:t>of</w:t>
      </w:r>
      <w:r w:rsidR="006C6F09">
        <w:t xml:space="preserve"> </w:t>
      </w:r>
      <w:r w:rsidRPr="00A22A80">
        <w:t>how</w:t>
      </w:r>
      <w:r w:rsidR="006C6F09">
        <w:t xml:space="preserve"> </w:t>
      </w:r>
      <w:r w:rsidRPr="00A22A80">
        <w:t>the</w:t>
      </w:r>
      <w:r w:rsidR="006C6F09">
        <w:t xml:space="preserve"> </w:t>
      </w:r>
      <w:r w:rsidRPr="00A22A80">
        <w:t>virtual</w:t>
      </w:r>
      <w:r w:rsidR="006C6F09">
        <w:t xml:space="preserve"> </w:t>
      </w:r>
      <w:r w:rsidRPr="00A22A80">
        <w:t>public</w:t>
      </w:r>
      <w:r w:rsidR="006C6F09">
        <w:t xml:space="preserve"> </w:t>
      </w:r>
      <w:r w:rsidRPr="00A22A80">
        <w:t>meeting</w:t>
      </w:r>
      <w:r w:rsidR="006C6F09">
        <w:t xml:space="preserve"> </w:t>
      </w:r>
      <w:r w:rsidRPr="00A22A80">
        <w:t>will</w:t>
      </w:r>
      <w:r w:rsidR="006C6F09">
        <w:t xml:space="preserve"> </w:t>
      </w:r>
      <w:r w:rsidRPr="00A22A80">
        <w:t>be</w:t>
      </w:r>
      <w:r w:rsidR="006C6F09">
        <w:t xml:space="preserve"> </w:t>
      </w:r>
      <w:r w:rsidRPr="00A22A80">
        <w:t>conducted;</w:t>
      </w:r>
      <w:r w:rsidR="006C6F09">
        <w:t xml:space="preserve"> </w:t>
      </w:r>
      <w:r w:rsidRPr="00A22A80">
        <w:t>and</w:t>
      </w:r>
    </w:p>
    <w:p w14:paraId="4FD822D1" w14:textId="41FCC863" w:rsidR="00457754" w:rsidRDefault="00457754" w:rsidP="00457754">
      <w:pPr>
        <w:pStyle w:val="ListBullet"/>
      </w:pPr>
      <w:r w:rsidRPr="00A22A80">
        <w:t>an</w:t>
      </w:r>
      <w:r w:rsidR="006C6F09">
        <w:t xml:space="preserve"> </w:t>
      </w:r>
      <w:r w:rsidRPr="00A22A80">
        <w:t>explanation</w:t>
      </w:r>
      <w:r w:rsidR="006C6F09">
        <w:t xml:space="preserve"> </w:t>
      </w:r>
      <w:r w:rsidRPr="00A22A80">
        <w:t>that</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may,</w:t>
      </w:r>
      <w:r w:rsidR="006C6F09">
        <w:t xml:space="preserve"> </w:t>
      </w:r>
      <w:r>
        <w:t>as</w:t>
      </w:r>
      <w:r w:rsidR="006C6F09">
        <w:t xml:space="preserve"> </w:t>
      </w:r>
      <w:r>
        <w:t>an</w:t>
      </w:r>
      <w:r w:rsidR="006C6F09">
        <w:t xml:space="preserve"> </w:t>
      </w:r>
      <w:r>
        <w:t>alternative</w:t>
      </w:r>
      <w:r w:rsidR="006C6F09">
        <w:t xml:space="preserve"> </w:t>
      </w:r>
      <w:r>
        <w:t>to</w:t>
      </w:r>
      <w:r w:rsidR="006C6F09">
        <w:t xml:space="preserve"> </w:t>
      </w:r>
      <w:r>
        <w:t>viewing</w:t>
      </w:r>
      <w:r w:rsidR="006C6F09">
        <w:t xml:space="preserve"> </w:t>
      </w:r>
      <w:r>
        <w:t>the</w:t>
      </w:r>
      <w:r w:rsidR="006C6F09">
        <w:t xml:space="preserve"> </w:t>
      </w:r>
      <w:r>
        <w:t>virtual</w:t>
      </w:r>
      <w:r w:rsidR="006C6F09">
        <w:t xml:space="preserve"> </w:t>
      </w:r>
      <w:r>
        <w:t>public</w:t>
      </w:r>
      <w:r w:rsidR="006C6F09">
        <w:t xml:space="preserve"> </w:t>
      </w:r>
      <w:r>
        <w:t>meeting,</w:t>
      </w:r>
      <w:r w:rsidR="006C6F09">
        <w:t xml:space="preserve"> </w:t>
      </w:r>
      <w:r>
        <w:t>call</w:t>
      </w:r>
      <w:r w:rsidR="006C6F09">
        <w:t xml:space="preserve"> </w:t>
      </w:r>
      <w:r>
        <w:t>or</w:t>
      </w:r>
      <w:r w:rsidR="006C6F09">
        <w:t xml:space="preserve"> </w:t>
      </w:r>
      <w:r>
        <w:t>email</w:t>
      </w:r>
      <w:r w:rsidR="006C6F09">
        <w:t xml:space="preserve"> </w:t>
      </w:r>
      <w:r>
        <w:t>district</w:t>
      </w:r>
      <w:r w:rsidR="006C6F09">
        <w:t xml:space="preserve"> </w:t>
      </w:r>
      <w:r>
        <w:t>or</w:t>
      </w:r>
      <w:r w:rsidR="006C6F09">
        <w:t xml:space="preserve"> </w:t>
      </w:r>
      <w:r>
        <w:t>project</w:t>
      </w:r>
      <w:r w:rsidR="006C6F09">
        <w:t xml:space="preserve"> </w:t>
      </w:r>
      <w:r>
        <w:t>staff</w:t>
      </w:r>
      <w:r w:rsidR="006C6F09">
        <w:t xml:space="preserve"> </w:t>
      </w:r>
      <w:r>
        <w:t>to</w:t>
      </w:r>
      <w:r w:rsidR="006C6F09">
        <w:t xml:space="preserve"> </w:t>
      </w:r>
      <w:r>
        <w:lastRenderedPageBreak/>
        <w:t>ask</w:t>
      </w:r>
      <w:r w:rsidR="006C6F09">
        <w:t xml:space="preserve"> </w:t>
      </w:r>
      <w:r>
        <w:t>questions</w:t>
      </w:r>
      <w:r w:rsidR="006C6F09">
        <w:t xml:space="preserve"> </w:t>
      </w:r>
      <w:r>
        <w:t>about</w:t>
      </w:r>
      <w:r w:rsidR="006C6F09">
        <w:t xml:space="preserve"> </w:t>
      </w:r>
      <w:r>
        <w:t>the</w:t>
      </w:r>
      <w:r w:rsidR="006C6F09">
        <w:t xml:space="preserve"> </w:t>
      </w:r>
      <w:r>
        <w:t>project,</w:t>
      </w:r>
      <w:r w:rsidR="006C6F09">
        <w:t xml:space="preserve"> </w:t>
      </w:r>
      <w:r>
        <w:t>access</w:t>
      </w:r>
      <w:r w:rsidR="006C6F09">
        <w:t xml:space="preserve"> </w:t>
      </w:r>
      <w:r>
        <w:t>project</w:t>
      </w:r>
      <w:r w:rsidR="006C6F09">
        <w:t xml:space="preserve"> </w:t>
      </w:r>
      <w:r>
        <w:t>materials,</w:t>
      </w:r>
      <w:r w:rsidR="006C6F09">
        <w:t xml:space="preserve"> </w:t>
      </w:r>
      <w:r>
        <w:t>and</w:t>
      </w:r>
      <w:r w:rsidR="006C6F09">
        <w:t xml:space="preserve"> </w:t>
      </w:r>
      <w:r>
        <w:t>submit</w:t>
      </w:r>
      <w:r w:rsidR="006C6F09">
        <w:t xml:space="preserve"> </w:t>
      </w:r>
      <w:r>
        <w:t>public</w:t>
      </w:r>
      <w:r w:rsidR="006C6F09">
        <w:t xml:space="preserve"> </w:t>
      </w:r>
      <w:r>
        <w:t>comments</w:t>
      </w:r>
      <w:r w:rsidR="006C6F09">
        <w:t xml:space="preserve"> </w:t>
      </w:r>
      <w:r>
        <w:t>via</w:t>
      </w:r>
      <w:r w:rsidR="006C6F09">
        <w:t xml:space="preserve"> </w:t>
      </w:r>
      <w:r>
        <w:t>email</w:t>
      </w:r>
      <w:r w:rsidR="006C6F09">
        <w:t xml:space="preserve"> </w:t>
      </w:r>
      <w:r>
        <w:t>or</w:t>
      </w:r>
      <w:r w:rsidR="006C6F09">
        <w:t xml:space="preserve"> </w:t>
      </w:r>
      <w:r>
        <w:t>letter.</w:t>
      </w:r>
      <w:r w:rsidR="006C6F09">
        <w:t xml:space="preserve"> </w:t>
      </w:r>
    </w:p>
    <w:p w14:paraId="31BC93B4" w14:textId="77B8027A" w:rsidR="00457754" w:rsidRDefault="00457754" w:rsidP="00457754">
      <w:r>
        <w:t>A</w:t>
      </w:r>
      <w:r w:rsidR="006C6F09">
        <w:t xml:space="preserve"> </w:t>
      </w:r>
      <w:r>
        <w:t>virtual</w:t>
      </w:r>
      <w:r w:rsidR="006C6F09">
        <w:t xml:space="preserve"> </w:t>
      </w:r>
      <w:r>
        <w:t>public</w:t>
      </w:r>
      <w:r w:rsidR="006C6F09">
        <w:t xml:space="preserve"> </w:t>
      </w:r>
      <w:r>
        <w:t>meeting</w:t>
      </w:r>
      <w:r w:rsidR="006C6F09">
        <w:t xml:space="preserve"> </w:t>
      </w:r>
      <w:r>
        <w:t>must</w:t>
      </w:r>
      <w:r w:rsidR="006C6F09">
        <w:t xml:space="preserve"> </w:t>
      </w:r>
      <w:r>
        <w:t>satisfy</w:t>
      </w:r>
      <w:r w:rsidR="006C6F09">
        <w:t xml:space="preserve"> </w:t>
      </w:r>
      <w:r>
        <w:t>the</w:t>
      </w:r>
      <w:r w:rsidR="006C6F09">
        <w:t xml:space="preserve"> </w:t>
      </w:r>
      <w:r>
        <w:t>purposes</w:t>
      </w:r>
      <w:r w:rsidR="006C6F09">
        <w:t xml:space="preserve"> </w:t>
      </w:r>
      <w:r>
        <w:t>of</w:t>
      </w:r>
      <w:r w:rsidR="006C6F09">
        <w:t xml:space="preserve"> </w:t>
      </w:r>
      <w:r>
        <w:t>a</w:t>
      </w:r>
      <w:r w:rsidR="006C6F09">
        <w:t xml:space="preserve"> </w:t>
      </w:r>
      <w:r>
        <w:t>public</w:t>
      </w:r>
      <w:r w:rsidR="006C6F09">
        <w:t xml:space="preserve"> </w:t>
      </w:r>
      <w:r>
        <w:t>meeting</w:t>
      </w:r>
      <w:r w:rsidR="006C6F09">
        <w:t xml:space="preserve"> </w:t>
      </w:r>
      <w:r>
        <w:t>identified</w:t>
      </w:r>
      <w:r w:rsidR="006C6F09">
        <w:t xml:space="preserve"> </w:t>
      </w:r>
      <w:r>
        <w:t>in</w:t>
      </w:r>
      <w:r w:rsidR="006C6F09">
        <w:t xml:space="preserve"> </w:t>
      </w:r>
      <w:r>
        <w:t>Subsection</w:t>
      </w:r>
      <w:r w:rsidR="006C6F09">
        <w:t xml:space="preserve"> </w:t>
      </w:r>
      <w:r w:rsidRPr="00263E76">
        <w:rPr>
          <w:u w:val="single"/>
        </w:rPr>
        <w:fldChar w:fldCharType="begin"/>
      </w:r>
      <w:r w:rsidRPr="00263E76">
        <w:rPr>
          <w:u w:val="single"/>
        </w:rPr>
        <w:instrText xml:space="preserve"> REF _Ref219790128 \h  \* MERGEFORMAT </w:instrText>
      </w:r>
      <w:r w:rsidRPr="00263E76">
        <w:rPr>
          <w:u w:val="single"/>
        </w:rPr>
      </w:r>
      <w:r w:rsidRPr="00263E76">
        <w:rPr>
          <w:u w:val="single"/>
        </w:rPr>
        <w:fldChar w:fldCharType="separate"/>
      </w:r>
      <w:r w:rsidRPr="00263E76">
        <w:rPr>
          <w:color w:val="0056A9"/>
          <w:u w:val="single"/>
        </w:rPr>
        <w:t>4.1</w:t>
      </w:r>
      <w:r w:rsidRPr="00263E76">
        <w:rPr>
          <w:u w:val="single"/>
        </w:rPr>
        <w:fldChar w:fldCharType="end"/>
      </w:r>
      <w:r w:rsidR="006C6F09">
        <w:t xml:space="preserve"> </w:t>
      </w:r>
      <w:r>
        <w:t>above.</w:t>
      </w:r>
      <w:r w:rsidR="006C6F09">
        <w:t xml:space="preserve"> </w:t>
      </w:r>
      <w:r>
        <w:t>Specifically,</w:t>
      </w:r>
      <w:r w:rsidR="006C6F09">
        <w:t xml:space="preserve"> </w:t>
      </w:r>
      <w:r>
        <w:t>a</w:t>
      </w:r>
      <w:r w:rsidR="006C6F09">
        <w:t xml:space="preserve"> </w:t>
      </w:r>
      <w:r>
        <w:t>virtual</w:t>
      </w:r>
      <w:r w:rsidR="006C6F09">
        <w:t xml:space="preserve"> </w:t>
      </w:r>
      <w:r>
        <w:t>public</w:t>
      </w:r>
      <w:r w:rsidR="006C6F09">
        <w:t xml:space="preserve"> </w:t>
      </w:r>
      <w:r>
        <w:t>meeting</w:t>
      </w:r>
      <w:r w:rsidR="006C6F09">
        <w:t xml:space="preserve"> </w:t>
      </w:r>
      <w:r>
        <w:t>must</w:t>
      </w:r>
      <w:r w:rsidR="006C6F09">
        <w:t xml:space="preserve"> </w:t>
      </w:r>
      <w:r>
        <w:t>comply</w:t>
      </w:r>
      <w:r w:rsidR="006C6F09">
        <w:t xml:space="preserve"> </w:t>
      </w:r>
      <w:r>
        <w:t>with</w:t>
      </w:r>
      <w:r w:rsidR="006C6F09">
        <w:t xml:space="preserve"> </w:t>
      </w:r>
      <w:r>
        <w:t>the</w:t>
      </w:r>
      <w:r w:rsidR="006C6F09">
        <w:t xml:space="preserve"> </w:t>
      </w:r>
      <w:r>
        <w:t>following:</w:t>
      </w:r>
    </w:p>
    <w:p w14:paraId="2A7B29D2" w14:textId="2D184ABF" w:rsidR="00457754" w:rsidRPr="008E0DE1" w:rsidRDefault="00457754" w:rsidP="00457754">
      <w:pPr>
        <w:pStyle w:val="ListBullet"/>
      </w:pPr>
      <w:r w:rsidRPr="008E0DE1">
        <w:t>As</w:t>
      </w:r>
      <w:r w:rsidR="006C6F09">
        <w:t xml:space="preserve"> </w:t>
      </w:r>
      <w:r w:rsidRPr="008E0DE1">
        <w:t>of</w:t>
      </w:r>
      <w:r w:rsidR="006C6F09">
        <w:t xml:space="preserve"> </w:t>
      </w:r>
      <w:r w:rsidRPr="008E0DE1">
        <w:t>early</w:t>
      </w:r>
      <w:r w:rsidR="006C6F09">
        <w:t xml:space="preserve"> </w:t>
      </w:r>
      <w:r w:rsidRPr="008E0DE1">
        <w:t>2024,</w:t>
      </w:r>
      <w:r w:rsidR="006C6F09">
        <w:t xml:space="preserve"> </w:t>
      </w:r>
      <w:r w:rsidRPr="008E0DE1">
        <w:t>the</w:t>
      </w:r>
      <w:r w:rsidR="006C6F09">
        <w:t xml:space="preserve"> </w:t>
      </w:r>
      <w:r w:rsidRPr="008E0DE1">
        <w:t>virtual</w:t>
      </w:r>
      <w:r w:rsidR="006C6F09">
        <w:t xml:space="preserve"> </w:t>
      </w:r>
      <w:r w:rsidRPr="008E0DE1">
        <w:t>meetings</w:t>
      </w:r>
      <w:r w:rsidR="006C6F09">
        <w:t xml:space="preserve"> </w:t>
      </w:r>
      <w:r w:rsidRPr="008E0DE1">
        <w:t>are</w:t>
      </w:r>
      <w:r w:rsidR="006C6F09">
        <w:t xml:space="preserve"> </w:t>
      </w:r>
      <w:r w:rsidRPr="008E0DE1">
        <w:t>mostly</w:t>
      </w:r>
      <w:r w:rsidR="006C6F09">
        <w:t xml:space="preserve"> </w:t>
      </w:r>
      <w:r w:rsidRPr="008E0DE1">
        <w:t>being</w:t>
      </w:r>
      <w:r w:rsidR="006C6F09">
        <w:t xml:space="preserve"> </w:t>
      </w:r>
      <w:r w:rsidRPr="008E0DE1">
        <w:t>done</w:t>
      </w:r>
      <w:r w:rsidR="006C6F09">
        <w:t xml:space="preserve"> </w:t>
      </w:r>
      <w:r w:rsidRPr="008E0DE1">
        <w:t>via</w:t>
      </w:r>
      <w:r w:rsidR="006C6F09">
        <w:t xml:space="preserve"> </w:t>
      </w:r>
      <w:r w:rsidRPr="008E0DE1">
        <w:t>pre-recorded</w:t>
      </w:r>
      <w:r w:rsidR="006C6F09">
        <w:t xml:space="preserve"> </w:t>
      </w:r>
      <w:r w:rsidRPr="008E0DE1">
        <w:t>presentations</w:t>
      </w:r>
      <w:r w:rsidR="006C6F09">
        <w:t xml:space="preserve"> </w:t>
      </w:r>
      <w:r w:rsidRPr="008E0DE1">
        <w:t>that</w:t>
      </w:r>
      <w:r w:rsidR="006C6F09">
        <w:t xml:space="preserve"> </w:t>
      </w:r>
      <w:r w:rsidRPr="008E0DE1">
        <w:t>are</w:t>
      </w:r>
      <w:r w:rsidR="006C6F09">
        <w:t xml:space="preserve"> </w:t>
      </w:r>
      <w:r w:rsidRPr="008E0DE1">
        <w:t>posted</w:t>
      </w:r>
      <w:r w:rsidR="006C6F09">
        <w:t xml:space="preserve"> </w:t>
      </w:r>
      <w:r w:rsidRPr="008E0DE1">
        <w:t>to</w:t>
      </w:r>
      <w:r w:rsidR="006C6F09">
        <w:t xml:space="preserve"> </w:t>
      </w:r>
      <w:r w:rsidRPr="008E0DE1">
        <w:t>the</w:t>
      </w:r>
      <w:r w:rsidR="006C6F09">
        <w:t xml:space="preserve"> </w:t>
      </w:r>
      <w:hyperlink r:id="rId46">
        <w:r w:rsidRPr="00431D34">
          <w:rPr>
            <w:rFonts w:asciiTheme="minorHAnsi" w:hAnsiTheme="minorHAnsi" w:cstheme="minorHAnsi"/>
            <w:color w:val="0056A9"/>
            <w:spacing w:val="-1"/>
            <w:szCs w:val="24"/>
            <w:u w:val="single" w:color="0462C1"/>
          </w:rPr>
          <w:t>TxDOT</w:t>
        </w:r>
        <w:r w:rsidR="006C6F09">
          <w:rPr>
            <w:rFonts w:asciiTheme="minorHAnsi" w:hAnsiTheme="minorHAnsi" w:cstheme="minorHAnsi"/>
            <w:color w:val="0056A9"/>
            <w:spacing w:val="-2"/>
            <w:szCs w:val="24"/>
            <w:u w:val="single" w:color="0462C1"/>
          </w:rPr>
          <w:t xml:space="preserve"> </w:t>
        </w:r>
        <w:r w:rsidRPr="00431D34">
          <w:rPr>
            <w:rFonts w:asciiTheme="minorHAnsi" w:hAnsiTheme="minorHAnsi" w:cstheme="minorHAnsi"/>
            <w:color w:val="0056A9"/>
            <w:spacing w:val="-1"/>
            <w:szCs w:val="24"/>
            <w:u w:val="single" w:color="0462C1"/>
          </w:rPr>
          <w:t>YouTube</w:t>
        </w:r>
        <w:r w:rsidR="006C6F09">
          <w:rPr>
            <w:rFonts w:asciiTheme="minorHAnsi" w:hAnsiTheme="minorHAnsi" w:cstheme="minorHAnsi"/>
            <w:color w:val="0056A9"/>
            <w:szCs w:val="24"/>
            <w:u w:val="single" w:color="0462C1"/>
          </w:rPr>
          <w:t xml:space="preserve"> </w:t>
        </w:r>
        <w:r w:rsidRPr="00431D34">
          <w:rPr>
            <w:rFonts w:asciiTheme="minorHAnsi" w:hAnsiTheme="minorHAnsi" w:cstheme="minorHAnsi"/>
            <w:color w:val="0056A9"/>
            <w:spacing w:val="-1"/>
            <w:szCs w:val="24"/>
            <w:u w:val="single" w:color="0462C1"/>
          </w:rPr>
          <w:t>channel</w:t>
        </w:r>
        <w:r w:rsidR="006C6F09">
          <w:rPr>
            <w:rFonts w:asciiTheme="minorHAnsi" w:hAnsiTheme="minorHAnsi" w:cstheme="minorHAnsi"/>
            <w:spacing w:val="-1"/>
            <w:szCs w:val="24"/>
            <w:u w:val="single" w:color="0462C1"/>
          </w:rPr>
          <w:t xml:space="preserve"> </w:t>
        </w:r>
      </w:hyperlink>
      <w:r w:rsidR="006C6F09">
        <w:rPr>
          <w:szCs w:val="24"/>
        </w:rPr>
        <w:t xml:space="preserve"> </w:t>
      </w:r>
      <w:r w:rsidRPr="00936910">
        <w:rPr>
          <w:szCs w:val="24"/>
        </w:rPr>
        <w:t>via</w:t>
      </w:r>
      <w:r w:rsidR="006C6F09">
        <w:rPr>
          <w:szCs w:val="24"/>
        </w:rPr>
        <w:t xml:space="preserve"> </w:t>
      </w:r>
      <w:r w:rsidRPr="00936910">
        <w:rPr>
          <w:szCs w:val="24"/>
        </w:rPr>
        <w:t>the</w:t>
      </w:r>
      <w:r w:rsidR="006C6F09">
        <w:rPr>
          <w:szCs w:val="24"/>
        </w:rPr>
        <w:t xml:space="preserve"> </w:t>
      </w:r>
      <w:r w:rsidRPr="00936910">
        <w:rPr>
          <w:szCs w:val="24"/>
        </w:rPr>
        <w:t>di</w:t>
      </w:r>
      <w:r w:rsidRPr="008E0DE1">
        <w:t>strict</w:t>
      </w:r>
      <w:r w:rsidR="006C6F09">
        <w:t xml:space="preserve"> </w:t>
      </w:r>
      <w:r w:rsidRPr="008E0DE1">
        <w:t>PIO</w:t>
      </w:r>
      <w:r w:rsidR="006C6F09">
        <w:t xml:space="preserve"> </w:t>
      </w:r>
      <w:r>
        <w:t>(Public</w:t>
      </w:r>
      <w:r w:rsidR="006C6F09">
        <w:t xml:space="preserve"> </w:t>
      </w:r>
      <w:r>
        <w:t>Information</w:t>
      </w:r>
      <w:r w:rsidR="006C6F09">
        <w:t xml:space="preserve"> </w:t>
      </w:r>
      <w:r>
        <w:t>Officer)</w:t>
      </w:r>
      <w:r w:rsidR="006C6F09">
        <w:t xml:space="preserve"> </w:t>
      </w:r>
      <w:r>
        <w:t>or</w:t>
      </w:r>
      <w:r w:rsidR="006C6F09">
        <w:t xml:space="preserve"> </w:t>
      </w:r>
      <w:r w:rsidRPr="008E0DE1">
        <w:t>TxDOT</w:t>
      </w:r>
      <w:r w:rsidR="006C6F09">
        <w:t xml:space="preserve"> </w:t>
      </w:r>
      <w:r w:rsidRPr="008E0DE1">
        <w:t>Media</w:t>
      </w:r>
      <w:r w:rsidR="006C6F09">
        <w:t xml:space="preserve"> </w:t>
      </w:r>
      <w:r w:rsidRPr="008E0DE1">
        <w:t>Relations</w:t>
      </w:r>
      <w:r w:rsidR="006C6F09">
        <w:t xml:space="preserve"> </w:t>
      </w:r>
      <w:r w:rsidRPr="008E0DE1">
        <w:t>in</w:t>
      </w:r>
      <w:r w:rsidR="006C6F09">
        <w:t xml:space="preserve"> </w:t>
      </w:r>
      <w:r w:rsidRPr="008E0DE1">
        <w:t>coordination</w:t>
      </w:r>
      <w:r w:rsidR="006C6F09">
        <w:t xml:space="preserve"> </w:t>
      </w:r>
      <w:r w:rsidRPr="008E0DE1">
        <w:t>with</w:t>
      </w:r>
      <w:r w:rsidR="006C6F09">
        <w:t xml:space="preserve"> </w:t>
      </w:r>
      <w:r w:rsidRPr="008E0DE1">
        <w:t>TPP’s</w:t>
      </w:r>
      <w:r w:rsidR="006C6F09">
        <w:t xml:space="preserve"> </w:t>
      </w:r>
      <w:r w:rsidRPr="008E0DE1">
        <w:t>PI</w:t>
      </w:r>
      <w:r w:rsidR="006C6F09">
        <w:t xml:space="preserve"> </w:t>
      </w:r>
      <w:r w:rsidRPr="008E0DE1">
        <w:t>Section.</w:t>
      </w:r>
      <w:r w:rsidR="006C6F09">
        <w:t xml:space="preserve"> </w:t>
      </w:r>
      <w:r w:rsidRPr="008E0DE1">
        <w:t>ENV’s</w:t>
      </w:r>
      <w:r w:rsidR="006C6F09">
        <w:t xml:space="preserve"> </w:t>
      </w:r>
      <w:r w:rsidRPr="008E0DE1">
        <w:t>notice</w:t>
      </w:r>
      <w:r w:rsidR="006C6F09">
        <w:t xml:space="preserve"> </w:t>
      </w:r>
      <w:r w:rsidRPr="008E0DE1">
        <w:t>templates</w:t>
      </w:r>
      <w:r w:rsidR="006C6F09">
        <w:t xml:space="preserve"> </w:t>
      </w:r>
      <w:r w:rsidRPr="008E0DE1">
        <w:t>include</w:t>
      </w:r>
      <w:r w:rsidR="006C6F09">
        <w:t xml:space="preserve"> </w:t>
      </w:r>
      <w:r w:rsidRPr="008E0DE1">
        <w:t>details</w:t>
      </w:r>
      <w:r w:rsidR="006C6F09">
        <w:t xml:space="preserve"> </w:t>
      </w:r>
      <w:r w:rsidRPr="008E0DE1">
        <w:t>regarding</w:t>
      </w:r>
      <w:r w:rsidR="006C6F09">
        <w:t xml:space="preserve"> </w:t>
      </w:r>
      <w:r w:rsidRPr="008E0DE1">
        <w:t>editing</w:t>
      </w:r>
      <w:r w:rsidR="006C6F09">
        <w:t xml:space="preserve"> </w:t>
      </w:r>
      <w:r w:rsidRPr="008E0DE1">
        <w:t>the</w:t>
      </w:r>
      <w:r w:rsidR="006C6F09">
        <w:t xml:space="preserve"> </w:t>
      </w:r>
      <w:r w:rsidRPr="008E0DE1">
        <w:t>first</w:t>
      </w:r>
      <w:r w:rsidR="006C6F09">
        <w:t xml:space="preserve"> </w:t>
      </w:r>
      <w:r w:rsidRPr="008E0DE1">
        <w:t>paragraph</w:t>
      </w:r>
      <w:r w:rsidR="006C6F09">
        <w:t xml:space="preserve"> </w:t>
      </w:r>
      <w:r w:rsidRPr="008E0DE1">
        <w:t>of</w:t>
      </w:r>
      <w:r w:rsidR="006C6F09">
        <w:t xml:space="preserve"> </w:t>
      </w:r>
      <w:r w:rsidRPr="008E0DE1">
        <w:t>the</w:t>
      </w:r>
      <w:r w:rsidR="006C6F09">
        <w:t xml:space="preserve"> </w:t>
      </w:r>
      <w:r w:rsidRPr="008E0DE1">
        <w:t>notice</w:t>
      </w:r>
      <w:r w:rsidR="006C6F09">
        <w:t xml:space="preserve"> </w:t>
      </w:r>
      <w:r w:rsidRPr="008E0DE1">
        <w:t>“as</w:t>
      </w:r>
      <w:r w:rsidR="006C6F09">
        <w:t xml:space="preserve"> </w:t>
      </w:r>
      <w:r w:rsidRPr="008E0DE1">
        <w:t>needed”</w:t>
      </w:r>
      <w:r w:rsidR="006C6F09">
        <w:t xml:space="preserve"> </w:t>
      </w:r>
      <w:r w:rsidRPr="008E0DE1">
        <w:t>to</w:t>
      </w:r>
      <w:r w:rsidR="006C6F09">
        <w:t xml:space="preserve"> </w:t>
      </w:r>
      <w:r w:rsidRPr="008E0DE1">
        <w:t>explain</w:t>
      </w:r>
      <w:r w:rsidR="006C6F09">
        <w:t xml:space="preserve"> </w:t>
      </w:r>
      <w:r w:rsidRPr="008E0DE1">
        <w:t>how</w:t>
      </w:r>
      <w:r w:rsidR="006C6F09">
        <w:t xml:space="preserve"> </w:t>
      </w:r>
      <w:r w:rsidRPr="008E0DE1">
        <w:t>to</w:t>
      </w:r>
      <w:r w:rsidR="006C6F09">
        <w:t xml:space="preserve"> </w:t>
      </w:r>
      <w:r w:rsidRPr="008E0DE1">
        <w:t>“log</w:t>
      </w:r>
      <w:r w:rsidR="006C6F09">
        <w:t xml:space="preserve"> </w:t>
      </w:r>
      <w:r w:rsidRPr="008E0DE1">
        <w:t>onto”</w:t>
      </w:r>
      <w:r w:rsidR="006C6F09">
        <w:t xml:space="preserve"> </w:t>
      </w:r>
      <w:r w:rsidRPr="008E0DE1">
        <w:t>the</w:t>
      </w:r>
      <w:r w:rsidR="006C6F09">
        <w:t xml:space="preserve"> </w:t>
      </w:r>
      <w:r w:rsidRPr="008E0DE1">
        <w:t>live</w:t>
      </w:r>
      <w:r w:rsidR="006C6F09">
        <w:t xml:space="preserve"> </w:t>
      </w:r>
      <w:r w:rsidRPr="008E0DE1">
        <w:t>virtual</w:t>
      </w:r>
      <w:r w:rsidR="006C6F09">
        <w:t xml:space="preserve"> </w:t>
      </w:r>
      <w:r w:rsidRPr="008E0DE1">
        <w:t>meeting.</w:t>
      </w:r>
      <w:r w:rsidR="006C6F09">
        <w:t xml:space="preserve"> </w:t>
      </w:r>
      <w:r w:rsidRPr="008E0DE1">
        <w:t>The</w:t>
      </w:r>
      <w:r w:rsidR="006C6F09">
        <w:t xml:space="preserve"> </w:t>
      </w:r>
      <w:r w:rsidRPr="008E0DE1">
        <w:t>log-in</w:t>
      </w:r>
      <w:r w:rsidR="006C6F09">
        <w:t xml:space="preserve"> </w:t>
      </w:r>
      <w:r w:rsidRPr="008E0DE1">
        <w:t>explanation</w:t>
      </w:r>
      <w:r w:rsidR="006C6F09">
        <w:t xml:space="preserve"> </w:t>
      </w:r>
      <w:r w:rsidRPr="008E0DE1">
        <w:t>is</w:t>
      </w:r>
      <w:r w:rsidR="006C6F09">
        <w:t xml:space="preserve"> </w:t>
      </w:r>
      <w:r w:rsidRPr="008E0DE1">
        <w:t>only</w:t>
      </w:r>
      <w:r w:rsidR="006C6F09">
        <w:t xml:space="preserve"> </w:t>
      </w:r>
      <w:r w:rsidRPr="008E0DE1">
        <w:t>needed</w:t>
      </w:r>
      <w:r w:rsidR="006C6F09">
        <w:t xml:space="preserve"> </w:t>
      </w:r>
      <w:r w:rsidRPr="008E0DE1">
        <w:t>if</w:t>
      </w:r>
      <w:r w:rsidR="006C6F09">
        <w:t xml:space="preserve"> </w:t>
      </w:r>
      <w:r w:rsidRPr="008E0DE1">
        <w:t>the</w:t>
      </w:r>
      <w:r w:rsidR="006C6F09">
        <w:t xml:space="preserve"> </w:t>
      </w:r>
      <w:r w:rsidRPr="008E0DE1">
        <w:t>meeting</w:t>
      </w:r>
      <w:r w:rsidR="006C6F09">
        <w:t xml:space="preserve"> </w:t>
      </w:r>
      <w:r w:rsidRPr="008E0DE1">
        <w:t>will</w:t>
      </w:r>
      <w:r w:rsidR="006C6F09">
        <w:t xml:space="preserve"> </w:t>
      </w:r>
      <w:r w:rsidRPr="008E0DE1">
        <w:t>include</w:t>
      </w:r>
      <w:r w:rsidR="006C6F09">
        <w:t xml:space="preserve"> </w:t>
      </w:r>
      <w:r w:rsidRPr="008E0DE1">
        <w:t>a</w:t>
      </w:r>
      <w:r w:rsidR="006C6F09">
        <w:t xml:space="preserve"> </w:t>
      </w:r>
      <w:r w:rsidRPr="008E0DE1">
        <w:t>live</w:t>
      </w:r>
      <w:r w:rsidR="006C6F09">
        <w:t xml:space="preserve"> </w:t>
      </w:r>
      <w:r w:rsidRPr="008E0DE1">
        <w:t>interaction</w:t>
      </w:r>
      <w:r w:rsidR="006C6F09">
        <w:t xml:space="preserve"> </w:t>
      </w:r>
      <w:r w:rsidRPr="008E0DE1">
        <w:t>online</w:t>
      </w:r>
      <w:r w:rsidR="006C6F09">
        <w:t xml:space="preserve"> </w:t>
      </w:r>
      <w:r w:rsidRPr="008E0DE1">
        <w:t>platform</w:t>
      </w:r>
      <w:r w:rsidR="006C6F09">
        <w:t xml:space="preserve"> </w:t>
      </w:r>
      <w:r w:rsidRPr="008E0DE1">
        <w:t>requiring</w:t>
      </w:r>
      <w:r w:rsidR="006C6F09">
        <w:t xml:space="preserve"> </w:t>
      </w:r>
      <w:r w:rsidRPr="008E0DE1">
        <w:t>a</w:t>
      </w:r>
      <w:r w:rsidR="006C6F09">
        <w:t xml:space="preserve"> </w:t>
      </w:r>
      <w:r w:rsidRPr="008E0DE1">
        <w:t>log-in.</w:t>
      </w:r>
    </w:p>
    <w:p w14:paraId="5200376D" w14:textId="0D1FA8B4" w:rsidR="00457754" w:rsidRPr="008E0DE1" w:rsidRDefault="00457754" w:rsidP="00457754">
      <w:pPr>
        <w:pStyle w:val="ListBullet"/>
      </w:pPr>
      <w:r>
        <w:t>T</w:t>
      </w:r>
      <w:r w:rsidRPr="008E0DE1">
        <w:t>he</w:t>
      </w:r>
      <w:r w:rsidR="006C6F09">
        <w:t xml:space="preserve"> </w:t>
      </w:r>
      <w:r w:rsidRPr="008E0DE1">
        <w:t>online</w:t>
      </w:r>
      <w:r w:rsidR="006C6F09">
        <w:t xml:space="preserve"> </w:t>
      </w:r>
      <w:r w:rsidRPr="008E0DE1">
        <w:t>presentation</w:t>
      </w:r>
      <w:r w:rsidR="006C6F09">
        <w:t xml:space="preserve"> </w:t>
      </w:r>
      <w:r w:rsidRPr="008E0DE1">
        <w:t>must</w:t>
      </w:r>
      <w:r w:rsidR="006C6F09">
        <w:t xml:space="preserve"> </w:t>
      </w:r>
      <w:r w:rsidRPr="008E0DE1">
        <w:t>include</w:t>
      </w:r>
      <w:r w:rsidR="006C6F09">
        <w:t xml:space="preserve"> </w:t>
      </w:r>
      <w:r w:rsidRPr="008E0DE1">
        <w:t>a</w:t>
      </w:r>
      <w:r w:rsidR="006C6F09">
        <w:t xml:space="preserve"> </w:t>
      </w:r>
      <w:r w:rsidRPr="008E0DE1">
        <w:t>presentation</w:t>
      </w:r>
      <w:r w:rsidR="006C6F09">
        <w:t xml:space="preserve"> </w:t>
      </w:r>
      <w:r w:rsidRPr="008E0DE1">
        <w:t>by</w:t>
      </w:r>
      <w:r w:rsidR="006C6F09">
        <w:t xml:space="preserve"> </w:t>
      </w:r>
      <w:r w:rsidRPr="008E0DE1">
        <w:t>project</w:t>
      </w:r>
      <w:r w:rsidR="006C6F09">
        <w:t xml:space="preserve"> </w:t>
      </w:r>
      <w:r w:rsidRPr="008E0DE1">
        <w:t>staff,</w:t>
      </w:r>
      <w:r w:rsidR="006C6F09">
        <w:t xml:space="preserve"> </w:t>
      </w:r>
      <w:r w:rsidRPr="008E0DE1">
        <w:t>which</w:t>
      </w:r>
      <w:r w:rsidR="006C6F09">
        <w:t xml:space="preserve"> </w:t>
      </w:r>
      <w:r w:rsidRPr="008E0DE1">
        <w:t>will</w:t>
      </w:r>
      <w:r w:rsidR="006C6F09">
        <w:t xml:space="preserve"> </w:t>
      </w:r>
      <w:r w:rsidRPr="008E0DE1">
        <w:t>include</w:t>
      </w:r>
      <w:r w:rsidR="006C6F09">
        <w:t xml:space="preserve"> </w:t>
      </w:r>
      <w:r w:rsidRPr="008E0DE1">
        <w:t>both</w:t>
      </w:r>
      <w:r w:rsidR="006C6F09">
        <w:t xml:space="preserve"> </w:t>
      </w:r>
      <w:r w:rsidRPr="008E0DE1">
        <w:t>audio</w:t>
      </w:r>
      <w:r w:rsidR="006C6F09">
        <w:t xml:space="preserve"> </w:t>
      </w:r>
      <w:r w:rsidRPr="008E0DE1">
        <w:t>and</w:t>
      </w:r>
      <w:r w:rsidR="006C6F09">
        <w:t xml:space="preserve"> </w:t>
      </w:r>
      <w:r w:rsidRPr="008E0DE1">
        <w:t>visual</w:t>
      </w:r>
      <w:r w:rsidR="006C6F09">
        <w:t xml:space="preserve"> </w:t>
      </w:r>
      <w:r w:rsidRPr="008E0DE1">
        <w:t>components.</w:t>
      </w:r>
      <w:r w:rsidR="006C6F09">
        <w:t xml:space="preserve"> </w:t>
      </w:r>
      <w:r w:rsidRPr="008E0DE1">
        <w:t>The</w:t>
      </w:r>
      <w:r w:rsidR="006C6F09">
        <w:t xml:space="preserve"> </w:t>
      </w:r>
      <w:r w:rsidRPr="008E0DE1">
        <w:t>presentation</w:t>
      </w:r>
      <w:r w:rsidR="006C6F09">
        <w:t xml:space="preserve"> </w:t>
      </w:r>
      <w:r w:rsidRPr="008E0DE1">
        <w:t>must</w:t>
      </w:r>
      <w:r w:rsidR="006C6F09">
        <w:t xml:space="preserve"> </w:t>
      </w:r>
      <w:r w:rsidRPr="008E0DE1">
        <w:t>state</w:t>
      </w:r>
      <w:r w:rsidR="006C6F09">
        <w:t xml:space="preserve"> </w:t>
      </w:r>
      <w:r w:rsidRPr="008E0DE1">
        <w:t>that</w:t>
      </w:r>
      <w:r w:rsidR="006C6F09">
        <w:t xml:space="preserve"> </w:t>
      </w:r>
      <w:r w:rsidRPr="008E0DE1">
        <w:t>participants</w:t>
      </w:r>
      <w:r w:rsidR="006C6F09">
        <w:t xml:space="preserve"> </w:t>
      </w:r>
      <w:r w:rsidRPr="008E0DE1">
        <w:t>may</w:t>
      </w:r>
      <w:r w:rsidR="006C6F09">
        <w:t xml:space="preserve"> </w:t>
      </w:r>
      <w:r w:rsidRPr="008E0DE1">
        <w:t>submit</w:t>
      </w:r>
      <w:r w:rsidR="006C6F09">
        <w:t xml:space="preserve"> </w:t>
      </w:r>
      <w:r w:rsidRPr="008E0DE1">
        <w:t>comments</w:t>
      </w:r>
      <w:r w:rsidR="006C6F09">
        <w:t xml:space="preserve"> </w:t>
      </w:r>
      <w:r w:rsidRPr="008E0DE1">
        <w:t>via</w:t>
      </w:r>
      <w:r w:rsidR="006C6F09">
        <w:t xml:space="preserve"> </w:t>
      </w:r>
      <w:r w:rsidRPr="008E0DE1">
        <w:t>email</w:t>
      </w:r>
      <w:r w:rsidR="006C6F09">
        <w:t xml:space="preserve"> </w:t>
      </w:r>
      <w:r w:rsidRPr="008E0DE1">
        <w:t>or</w:t>
      </w:r>
      <w:r w:rsidR="006C6F09">
        <w:t xml:space="preserve"> </w:t>
      </w:r>
      <w:r w:rsidRPr="008E0DE1">
        <w:t>letter.</w:t>
      </w:r>
      <w:r w:rsidR="006C6F09">
        <w:t xml:space="preserve"> </w:t>
      </w:r>
      <w:r w:rsidRPr="008E0DE1">
        <w:t>The</w:t>
      </w:r>
      <w:r w:rsidR="006C6F09">
        <w:t xml:space="preserve"> </w:t>
      </w:r>
      <w:r w:rsidRPr="008E0DE1">
        <w:t>presentation</w:t>
      </w:r>
      <w:r w:rsidR="006C6F09">
        <w:t xml:space="preserve"> </w:t>
      </w:r>
      <w:r w:rsidRPr="008E0DE1">
        <w:t>may</w:t>
      </w:r>
      <w:r w:rsidR="006C6F09">
        <w:t xml:space="preserve"> </w:t>
      </w:r>
      <w:r w:rsidRPr="008E0DE1">
        <w:t>be</w:t>
      </w:r>
      <w:r w:rsidR="006C6F09">
        <w:t xml:space="preserve"> </w:t>
      </w:r>
      <w:r w:rsidRPr="008E0DE1">
        <w:t>pre-recorded</w:t>
      </w:r>
      <w:r w:rsidR="006C6F09">
        <w:t xml:space="preserve"> </w:t>
      </w:r>
      <w:r w:rsidRPr="008E0DE1">
        <w:t>and</w:t>
      </w:r>
      <w:r w:rsidR="006C6F09">
        <w:t xml:space="preserve"> </w:t>
      </w:r>
      <w:r w:rsidRPr="008E0DE1">
        <w:t>uploaded</w:t>
      </w:r>
      <w:r w:rsidR="006C6F09">
        <w:t xml:space="preserve"> </w:t>
      </w:r>
      <w:r w:rsidRPr="008E0DE1">
        <w:t>for</w:t>
      </w:r>
      <w:r w:rsidR="006C6F09">
        <w:t xml:space="preserve"> </w:t>
      </w:r>
      <w:r w:rsidRPr="008E0DE1">
        <w:t>viewing</w:t>
      </w:r>
      <w:r w:rsidR="006C6F09">
        <w:t xml:space="preserve"> </w:t>
      </w:r>
      <w:r w:rsidRPr="008E0DE1">
        <w:t>at</w:t>
      </w:r>
      <w:r w:rsidR="006C6F09">
        <w:t xml:space="preserve"> </w:t>
      </w:r>
      <w:r w:rsidRPr="008E0DE1">
        <w:t>the</w:t>
      </w:r>
      <w:r w:rsidR="006C6F09">
        <w:t xml:space="preserve"> </w:t>
      </w:r>
      <w:r w:rsidRPr="008E0DE1">
        <w:t>scheduled</w:t>
      </w:r>
      <w:r w:rsidR="006C6F09">
        <w:t xml:space="preserve"> </w:t>
      </w:r>
      <w:r w:rsidRPr="008E0DE1">
        <w:t>public</w:t>
      </w:r>
      <w:r w:rsidR="006C6F09">
        <w:t xml:space="preserve"> </w:t>
      </w:r>
      <w:r w:rsidRPr="008E0DE1">
        <w:t>meeting</w:t>
      </w:r>
      <w:r w:rsidR="006C6F09">
        <w:t xml:space="preserve"> </w:t>
      </w:r>
      <w:r w:rsidRPr="008E0DE1">
        <w:t>time</w:t>
      </w:r>
      <w:r w:rsidR="006C6F09">
        <w:t xml:space="preserve"> </w:t>
      </w:r>
      <w:r w:rsidRPr="008E0DE1">
        <w:t>and</w:t>
      </w:r>
      <w:r w:rsidR="006C6F09">
        <w:t xml:space="preserve"> </w:t>
      </w:r>
      <w:r w:rsidRPr="008E0DE1">
        <w:t>thereafter.</w:t>
      </w:r>
    </w:p>
    <w:p w14:paraId="6D5B3E24" w14:textId="4AF5E9A6" w:rsidR="00457754" w:rsidRPr="008E0DE1" w:rsidRDefault="00761D60" w:rsidP="00457754">
      <w:pPr>
        <w:pStyle w:val="ListBullet"/>
      </w:pPr>
      <w:r w:rsidRPr="008E0DE1">
        <w:t>A</w:t>
      </w:r>
      <w:r w:rsidR="006C6F09">
        <w:t xml:space="preserve"> </w:t>
      </w:r>
      <w:r w:rsidRPr="008E0DE1">
        <w:t>single</w:t>
      </w:r>
      <w:r w:rsidR="006C6F09">
        <w:t xml:space="preserve"> </w:t>
      </w:r>
      <w:r w:rsidRPr="008E0DE1">
        <w:t>person</w:t>
      </w:r>
      <w:r w:rsidR="006C6F09">
        <w:t xml:space="preserve"> </w:t>
      </w:r>
      <w:r w:rsidRPr="008E0DE1">
        <w:t>can</w:t>
      </w:r>
      <w:r w:rsidR="006C6F09">
        <w:t xml:space="preserve"> </w:t>
      </w:r>
      <w:r w:rsidRPr="008E0DE1">
        <w:t>record</w:t>
      </w:r>
      <w:r w:rsidR="006C6F09">
        <w:t xml:space="preserve"> </w:t>
      </w:r>
      <w:r w:rsidRPr="008E0DE1">
        <w:t>the</w:t>
      </w:r>
      <w:r w:rsidR="006C6F09">
        <w:t xml:space="preserve"> </w:t>
      </w:r>
      <w:r w:rsidRPr="008E0DE1">
        <w:t>voiceover</w:t>
      </w:r>
      <w:r w:rsidR="006C6F09">
        <w:t xml:space="preserve"> </w:t>
      </w:r>
      <w:r w:rsidRPr="008E0DE1">
        <w:t>for</w:t>
      </w:r>
      <w:r w:rsidR="006C6F09">
        <w:t xml:space="preserve"> </w:t>
      </w:r>
      <w:r w:rsidRPr="008E0DE1">
        <w:t>the</w:t>
      </w:r>
      <w:r w:rsidR="006C6F09">
        <w:t xml:space="preserve"> </w:t>
      </w:r>
      <w:r w:rsidRPr="008E0DE1">
        <w:t>online</w:t>
      </w:r>
      <w:r w:rsidR="006C6F09">
        <w:t xml:space="preserve"> </w:t>
      </w:r>
      <w:r w:rsidRPr="008E0DE1">
        <w:t>presentation</w:t>
      </w:r>
      <w:r w:rsidR="00457754" w:rsidRPr="008E0DE1">
        <w:t>,</w:t>
      </w:r>
      <w:r w:rsidR="006C6F09">
        <w:t xml:space="preserve"> </w:t>
      </w:r>
      <w:r w:rsidR="00457754" w:rsidRPr="008E0DE1">
        <w:t>and</w:t>
      </w:r>
      <w:r w:rsidR="006C6F09">
        <w:t xml:space="preserve"> </w:t>
      </w:r>
      <w:r w:rsidR="00457754" w:rsidRPr="008E0DE1">
        <w:t>it</w:t>
      </w:r>
      <w:r w:rsidR="006C6F09">
        <w:t xml:space="preserve"> </w:t>
      </w:r>
      <w:r w:rsidR="00457754" w:rsidRPr="008E0DE1">
        <w:t>does</w:t>
      </w:r>
      <w:r w:rsidR="006C6F09">
        <w:t xml:space="preserve"> </w:t>
      </w:r>
      <w:r w:rsidR="00457754" w:rsidRPr="008E0DE1">
        <w:t>not</w:t>
      </w:r>
      <w:r w:rsidR="006C6F09">
        <w:t xml:space="preserve"> </w:t>
      </w:r>
      <w:r w:rsidR="00457754" w:rsidRPr="008E0DE1">
        <w:t>need</w:t>
      </w:r>
      <w:r w:rsidR="006C6F09">
        <w:t xml:space="preserve"> </w:t>
      </w:r>
      <w:r w:rsidR="00457754" w:rsidRPr="008E0DE1">
        <w:t>to</w:t>
      </w:r>
      <w:r w:rsidR="006C6F09">
        <w:t xml:space="preserve"> </w:t>
      </w:r>
      <w:r w:rsidR="00457754" w:rsidRPr="008E0DE1">
        <w:t>be</w:t>
      </w:r>
      <w:r w:rsidR="006C6F09">
        <w:t xml:space="preserve"> </w:t>
      </w:r>
      <w:r w:rsidR="00457754" w:rsidRPr="008E0DE1">
        <w:t>a</w:t>
      </w:r>
      <w:r w:rsidR="006C6F09">
        <w:t xml:space="preserve"> </w:t>
      </w:r>
      <w:r w:rsidR="00457754" w:rsidRPr="008E0DE1">
        <w:t>TxDOT</w:t>
      </w:r>
      <w:r w:rsidR="006C6F09">
        <w:t xml:space="preserve"> </w:t>
      </w:r>
      <w:r w:rsidR="00457754" w:rsidRPr="008E0DE1">
        <w:t>employee.</w:t>
      </w:r>
    </w:p>
    <w:p w14:paraId="606BDA58" w14:textId="5DB93F47" w:rsidR="00457754" w:rsidRPr="008E0DE1" w:rsidRDefault="00457754" w:rsidP="00457754">
      <w:pPr>
        <w:pStyle w:val="ListBullet"/>
      </w:pPr>
      <w:r w:rsidRPr="008E0DE1">
        <w:t>The</w:t>
      </w:r>
      <w:r w:rsidR="006C6F09">
        <w:t xml:space="preserve"> </w:t>
      </w:r>
      <w:r w:rsidRPr="008E0DE1">
        <w:t>online</w:t>
      </w:r>
      <w:r w:rsidR="006C6F09">
        <w:t xml:space="preserve"> </w:t>
      </w:r>
      <w:r w:rsidRPr="008E0DE1">
        <w:t>presentation</w:t>
      </w:r>
      <w:r w:rsidR="006C6F09">
        <w:t xml:space="preserve"> </w:t>
      </w:r>
      <w:r w:rsidRPr="008E0DE1">
        <w:t>must</w:t>
      </w:r>
      <w:r w:rsidR="006C6F09">
        <w:t xml:space="preserve"> </w:t>
      </w:r>
      <w:r w:rsidRPr="008E0DE1">
        <w:t>present</w:t>
      </w:r>
      <w:r w:rsidR="006C6F09">
        <w:t xml:space="preserve"> </w:t>
      </w:r>
      <w:r w:rsidRPr="008E0DE1">
        <w:t>the</w:t>
      </w:r>
      <w:r w:rsidR="006C6F09">
        <w:t xml:space="preserve"> </w:t>
      </w:r>
      <w:r w:rsidRPr="008E0DE1">
        <w:t>web</w:t>
      </w:r>
      <w:r w:rsidR="006C6F09">
        <w:t xml:space="preserve"> </w:t>
      </w:r>
      <w:r w:rsidRPr="008E0DE1">
        <w:t>address</w:t>
      </w:r>
      <w:r w:rsidR="006C6F09">
        <w:t xml:space="preserve"> </w:t>
      </w:r>
      <w:r w:rsidRPr="008E0DE1">
        <w:t>for</w:t>
      </w:r>
      <w:r w:rsidR="006C6F09">
        <w:t xml:space="preserve"> </w:t>
      </w:r>
      <w:r w:rsidRPr="008E0DE1">
        <w:t>a</w:t>
      </w:r>
      <w:r w:rsidR="006C6F09">
        <w:t xml:space="preserve"> </w:t>
      </w:r>
      <w:r w:rsidRPr="008E0DE1">
        <w:t>website</w:t>
      </w:r>
      <w:r w:rsidR="006C6F09">
        <w:t xml:space="preserve"> </w:t>
      </w:r>
      <w:r w:rsidRPr="008E0DE1">
        <w:t>at</w:t>
      </w:r>
      <w:r w:rsidR="006C6F09">
        <w:t xml:space="preserve"> </w:t>
      </w:r>
      <w:r w:rsidRPr="008E0DE1">
        <w:t>which</w:t>
      </w:r>
      <w:r w:rsidR="006C6F09">
        <w:t xml:space="preserve"> </w:t>
      </w:r>
      <w:r w:rsidRPr="008E0DE1">
        <w:t>project</w:t>
      </w:r>
      <w:r w:rsidR="006C6F09">
        <w:t xml:space="preserve"> </w:t>
      </w:r>
      <w:r w:rsidRPr="008E0DE1">
        <w:t>materials</w:t>
      </w:r>
      <w:r w:rsidR="006C6F09">
        <w:t xml:space="preserve"> </w:t>
      </w:r>
      <w:r w:rsidRPr="008E0DE1">
        <w:t>will</w:t>
      </w:r>
      <w:r w:rsidR="006C6F09">
        <w:t xml:space="preserve"> </w:t>
      </w:r>
      <w:r w:rsidRPr="008E0DE1">
        <w:t>be</w:t>
      </w:r>
      <w:r w:rsidR="006C6F09">
        <w:t xml:space="preserve"> </w:t>
      </w:r>
      <w:r w:rsidRPr="008E0DE1">
        <w:t>posted</w:t>
      </w:r>
      <w:r w:rsidR="006C6F09">
        <w:t xml:space="preserve"> </w:t>
      </w:r>
      <w:r w:rsidRPr="008E0DE1">
        <w:t>for</w:t>
      </w:r>
      <w:r w:rsidR="006C6F09">
        <w:t xml:space="preserve"> </w:t>
      </w:r>
      <w:r w:rsidRPr="008E0DE1">
        <w:t>public</w:t>
      </w:r>
      <w:r w:rsidR="006C6F09">
        <w:t xml:space="preserve"> </w:t>
      </w:r>
      <w:r w:rsidRPr="008E0DE1">
        <w:t>viewing.</w:t>
      </w:r>
    </w:p>
    <w:p w14:paraId="24A45822" w14:textId="7325471E" w:rsidR="00457754" w:rsidRPr="008E0DE1" w:rsidRDefault="00457754" w:rsidP="00457754">
      <w:pPr>
        <w:pStyle w:val="ListBullet"/>
      </w:pPr>
      <w:r w:rsidRPr="008E0DE1">
        <w:t>The</w:t>
      </w:r>
      <w:r w:rsidR="006C6F09">
        <w:t xml:space="preserve"> </w:t>
      </w:r>
      <w:r w:rsidRPr="008E0DE1">
        <w:t>online</w:t>
      </w:r>
      <w:r w:rsidR="006C6F09">
        <w:t xml:space="preserve"> </w:t>
      </w:r>
      <w:r w:rsidRPr="008E0DE1">
        <w:t>presentation</w:t>
      </w:r>
      <w:r w:rsidR="006C6F09">
        <w:t xml:space="preserve"> </w:t>
      </w:r>
      <w:r w:rsidRPr="008E0DE1">
        <w:t>must</w:t>
      </w:r>
      <w:r w:rsidR="006C6F09">
        <w:t xml:space="preserve"> </w:t>
      </w:r>
      <w:r w:rsidRPr="008E0DE1">
        <w:t>explain</w:t>
      </w:r>
      <w:r w:rsidR="006C6F09">
        <w:t xml:space="preserve"> </w:t>
      </w:r>
      <w:r w:rsidRPr="008E0DE1">
        <w:t>that</w:t>
      </w:r>
      <w:r w:rsidR="006C6F09">
        <w:t xml:space="preserve"> </w:t>
      </w:r>
      <w:r w:rsidRPr="008E0DE1">
        <w:t>the</w:t>
      </w:r>
      <w:r w:rsidR="006C6F09">
        <w:t xml:space="preserve"> </w:t>
      </w:r>
      <w:r w:rsidRPr="008E0DE1">
        <w:t>public</w:t>
      </w:r>
      <w:r w:rsidR="006C6F09">
        <w:t xml:space="preserve"> </w:t>
      </w:r>
      <w:r w:rsidRPr="008E0DE1">
        <w:t>may</w:t>
      </w:r>
      <w:r w:rsidR="006C6F09">
        <w:t xml:space="preserve"> </w:t>
      </w:r>
      <w:r w:rsidRPr="008E0DE1">
        <w:t>call</w:t>
      </w:r>
      <w:r w:rsidR="006C6F09">
        <w:t xml:space="preserve"> </w:t>
      </w:r>
      <w:r w:rsidRPr="008E0DE1">
        <w:t>project</w:t>
      </w:r>
      <w:r w:rsidR="006C6F09">
        <w:t xml:space="preserve"> </w:t>
      </w:r>
      <w:r w:rsidRPr="008E0DE1">
        <w:t>staff</w:t>
      </w:r>
      <w:r w:rsidR="006C6F09">
        <w:t xml:space="preserve"> </w:t>
      </w:r>
      <w:r w:rsidRPr="008E0DE1">
        <w:t>during</w:t>
      </w:r>
      <w:r w:rsidR="006C6F09">
        <w:t xml:space="preserve"> </w:t>
      </w:r>
      <w:r w:rsidRPr="008E0DE1">
        <w:t>regular</w:t>
      </w:r>
      <w:r w:rsidR="006C6F09">
        <w:t xml:space="preserve"> </w:t>
      </w:r>
      <w:r w:rsidRPr="008E0DE1">
        <w:t>office</w:t>
      </w:r>
      <w:r w:rsidR="006C6F09">
        <w:t xml:space="preserve"> </w:t>
      </w:r>
      <w:r w:rsidRPr="008E0DE1">
        <w:t>hours</w:t>
      </w:r>
      <w:r w:rsidR="006C6F09">
        <w:t xml:space="preserve"> </w:t>
      </w:r>
      <w:r w:rsidRPr="008E0DE1">
        <w:t>or</w:t>
      </w:r>
      <w:r w:rsidR="006C6F09">
        <w:t xml:space="preserve"> </w:t>
      </w:r>
      <w:r w:rsidRPr="008E0DE1">
        <w:t>email</w:t>
      </w:r>
      <w:r w:rsidR="006C6F09">
        <w:t xml:space="preserve"> </w:t>
      </w:r>
      <w:r w:rsidRPr="008E0DE1">
        <w:t>project</w:t>
      </w:r>
      <w:r w:rsidR="006C6F09">
        <w:t xml:space="preserve"> </w:t>
      </w:r>
      <w:r w:rsidRPr="008E0DE1">
        <w:t>staff</w:t>
      </w:r>
      <w:r w:rsidR="006C6F09">
        <w:t xml:space="preserve"> </w:t>
      </w:r>
      <w:r w:rsidRPr="008E0DE1">
        <w:t>to</w:t>
      </w:r>
      <w:r w:rsidR="006C6F09">
        <w:t xml:space="preserve"> </w:t>
      </w:r>
      <w:r w:rsidRPr="008E0DE1">
        <w:t>ask</w:t>
      </w:r>
      <w:r w:rsidR="006C6F09">
        <w:t xml:space="preserve"> </w:t>
      </w:r>
      <w:r w:rsidRPr="008E0DE1">
        <w:t>questions</w:t>
      </w:r>
      <w:r w:rsidR="006C6F09">
        <w:t xml:space="preserve"> </w:t>
      </w:r>
      <w:r w:rsidRPr="008E0DE1">
        <w:t>about</w:t>
      </w:r>
      <w:r w:rsidR="006C6F09">
        <w:t xml:space="preserve"> </w:t>
      </w:r>
      <w:r w:rsidRPr="008E0DE1">
        <w:t>the</w:t>
      </w:r>
      <w:r w:rsidR="006C6F09">
        <w:t xml:space="preserve"> </w:t>
      </w:r>
      <w:r w:rsidRPr="008E0DE1">
        <w:t>project</w:t>
      </w:r>
      <w:r w:rsidR="006C6F09">
        <w:t xml:space="preserve"> </w:t>
      </w:r>
      <w:r w:rsidRPr="008E0DE1">
        <w:t>at</w:t>
      </w:r>
      <w:r w:rsidR="006C6F09">
        <w:t xml:space="preserve"> </w:t>
      </w:r>
      <w:r w:rsidRPr="008E0DE1">
        <w:t>any</w:t>
      </w:r>
      <w:r w:rsidR="006C6F09">
        <w:t xml:space="preserve"> </w:t>
      </w:r>
      <w:r w:rsidRPr="008E0DE1">
        <w:t>time</w:t>
      </w:r>
      <w:r w:rsidR="006C6F09">
        <w:t xml:space="preserve"> </w:t>
      </w:r>
      <w:r w:rsidRPr="008E0DE1">
        <w:t>during</w:t>
      </w:r>
      <w:r w:rsidR="006C6F09">
        <w:t xml:space="preserve"> </w:t>
      </w:r>
      <w:r w:rsidRPr="008E0DE1">
        <w:t>the</w:t>
      </w:r>
      <w:r w:rsidR="006C6F09">
        <w:t xml:space="preserve"> </w:t>
      </w:r>
      <w:r w:rsidRPr="008E0DE1">
        <w:t>project</w:t>
      </w:r>
      <w:r w:rsidR="006C6F09">
        <w:t xml:space="preserve"> </w:t>
      </w:r>
      <w:r w:rsidRPr="008E0DE1">
        <w:t>development</w:t>
      </w:r>
      <w:r w:rsidR="006C6F09">
        <w:t xml:space="preserve"> </w:t>
      </w:r>
      <w:r w:rsidRPr="008E0DE1">
        <w:t>process.</w:t>
      </w:r>
    </w:p>
    <w:p w14:paraId="4FD5D4FC" w14:textId="6F355EDD" w:rsidR="00457754" w:rsidRPr="008E0DE1" w:rsidRDefault="00457754" w:rsidP="00457754">
      <w:pPr>
        <w:pStyle w:val="ListBullet"/>
      </w:pPr>
      <w:r w:rsidRPr="008E0DE1">
        <w:t>For</w:t>
      </w:r>
      <w:r w:rsidR="006C6F09">
        <w:t xml:space="preserve"> </w:t>
      </w:r>
      <w:r w:rsidRPr="008E0DE1">
        <w:t>an</w:t>
      </w:r>
      <w:r w:rsidR="006C6F09">
        <w:t xml:space="preserve"> </w:t>
      </w:r>
      <w:r w:rsidRPr="008E0DE1">
        <w:t>FHWA</w:t>
      </w:r>
      <w:r w:rsidR="006C6F09">
        <w:t xml:space="preserve"> </w:t>
      </w:r>
      <w:r w:rsidRPr="008E0DE1">
        <w:t>project,</w:t>
      </w:r>
      <w:r w:rsidR="006C6F09">
        <w:t xml:space="preserve"> </w:t>
      </w:r>
      <w:r w:rsidRPr="008E0DE1">
        <w:t>the</w:t>
      </w:r>
      <w:r w:rsidR="006C6F09">
        <w:t xml:space="preserve"> </w:t>
      </w:r>
      <w:r w:rsidRPr="008E0DE1">
        <w:t>online</w:t>
      </w:r>
      <w:r w:rsidR="006C6F09">
        <w:t xml:space="preserve"> </w:t>
      </w:r>
      <w:r w:rsidRPr="008E0DE1">
        <w:t>presentation</w:t>
      </w:r>
      <w:r w:rsidR="006C6F09">
        <w:t xml:space="preserve"> </w:t>
      </w:r>
      <w:r w:rsidRPr="008E0DE1">
        <w:t>must</w:t>
      </w:r>
      <w:r w:rsidR="006C6F09">
        <w:t xml:space="preserve"> </w:t>
      </w:r>
      <w:r w:rsidRPr="008E0DE1">
        <w:t>include</w:t>
      </w:r>
      <w:r w:rsidR="006C6F09">
        <w:t xml:space="preserve"> </w:t>
      </w:r>
      <w:r w:rsidRPr="008E0DE1">
        <w:t>the</w:t>
      </w:r>
      <w:r w:rsidR="006C6F09">
        <w:t xml:space="preserve"> </w:t>
      </w:r>
      <w:r w:rsidRPr="008E0DE1">
        <w:t>NEPA</w:t>
      </w:r>
      <w:r w:rsidR="006C6F09">
        <w:t xml:space="preserve"> </w:t>
      </w:r>
      <w:r w:rsidRPr="008E0DE1">
        <w:t>assignment</w:t>
      </w:r>
      <w:r w:rsidR="006C6F09">
        <w:t xml:space="preserve"> </w:t>
      </w:r>
      <w:r w:rsidRPr="008E0DE1">
        <w:t>disclaimer</w:t>
      </w:r>
      <w:r w:rsidR="006C6F09">
        <w:t xml:space="preserve"> </w:t>
      </w:r>
      <w:r w:rsidRPr="008E0DE1">
        <w:t>(see</w:t>
      </w:r>
      <w:r w:rsidR="006C6F09">
        <w:t xml:space="preserve"> </w:t>
      </w:r>
      <w:r w:rsidRPr="008E0DE1">
        <w:t>Subsection</w:t>
      </w:r>
      <w:r w:rsidR="006C6F09">
        <w:t xml:space="preserve"> </w:t>
      </w:r>
      <w:r w:rsidRPr="00263E76">
        <w:rPr>
          <w:u w:val="single"/>
        </w:rPr>
        <w:fldChar w:fldCharType="begin"/>
      </w:r>
      <w:r w:rsidRPr="00263E76">
        <w:rPr>
          <w:u w:val="single"/>
        </w:rPr>
        <w:instrText xml:space="preserve"> REF _Ref219790177 \h  \* MERGEFORMAT </w:instrText>
      </w:r>
      <w:r w:rsidRPr="00263E76">
        <w:rPr>
          <w:u w:val="single"/>
        </w:rPr>
      </w:r>
      <w:r w:rsidRPr="00263E76">
        <w:rPr>
          <w:u w:val="single"/>
        </w:rPr>
        <w:fldChar w:fldCharType="separate"/>
      </w:r>
      <w:r w:rsidRPr="00263E76">
        <w:rPr>
          <w:color w:val="0056A9"/>
          <w:u w:val="single"/>
        </w:rPr>
        <w:t>4.4</w:t>
      </w:r>
      <w:r w:rsidRPr="00263E76">
        <w:rPr>
          <w:u w:val="single"/>
        </w:rPr>
        <w:fldChar w:fldCharType="end"/>
      </w:r>
      <w:r w:rsidR="006C6F09">
        <w:t xml:space="preserve"> </w:t>
      </w:r>
      <w:r w:rsidRPr="008E0DE1">
        <w:t>above).</w:t>
      </w:r>
    </w:p>
    <w:p w14:paraId="5958B012" w14:textId="4C3CE90A" w:rsidR="00457754" w:rsidRPr="008E0DE1" w:rsidRDefault="00457754" w:rsidP="00457754">
      <w:pPr>
        <w:pStyle w:val="ListBullet"/>
      </w:pPr>
      <w:r w:rsidRPr="008E0DE1">
        <w:t>It</w:t>
      </w:r>
      <w:r w:rsidR="006C6F09">
        <w:t xml:space="preserve"> </w:t>
      </w:r>
      <w:r w:rsidRPr="008E0DE1">
        <w:t>is</w:t>
      </w:r>
      <w:r w:rsidR="006C6F09">
        <w:t xml:space="preserve"> </w:t>
      </w:r>
      <w:r w:rsidRPr="008E0DE1">
        <w:t>recommended,</w:t>
      </w:r>
      <w:r w:rsidR="006C6F09">
        <w:t xml:space="preserve"> </w:t>
      </w:r>
      <w:r w:rsidRPr="008E0DE1">
        <w:t>but</w:t>
      </w:r>
      <w:r w:rsidR="006C6F09">
        <w:t xml:space="preserve"> </w:t>
      </w:r>
      <w:r w:rsidRPr="008E0DE1">
        <w:t>not</w:t>
      </w:r>
      <w:r w:rsidR="006C6F09">
        <w:t xml:space="preserve"> </w:t>
      </w:r>
      <w:r w:rsidRPr="008E0DE1">
        <w:t>a</w:t>
      </w:r>
      <w:r w:rsidR="006C6F09">
        <w:t xml:space="preserve"> </w:t>
      </w:r>
      <w:r w:rsidRPr="008E0DE1">
        <w:t>formal</w:t>
      </w:r>
      <w:r w:rsidR="006C6F09">
        <w:t xml:space="preserve"> </w:t>
      </w:r>
      <w:r w:rsidRPr="008E0DE1">
        <w:t>requirement,</w:t>
      </w:r>
      <w:r w:rsidR="006C6F09">
        <w:t xml:space="preserve"> </w:t>
      </w:r>
      <w:r w:rsidRPr="008E0DE1">
        <w:t>that</w:t>
      </w:r>
      <w:r w:rsidR="006C6F09">
        <w:t xml:space="preserve"> </w:t>
      </w:r>
      <w:r w:rsidRPr="008E0DE1">
        <w:t>ENV’s</w:t>
      </w:r>
      <w:r w:rsidR="006C6F09">
        <w:t xml:space="preserve"> </w:t>
      </w:r>
      <w:r w:rsidRPr="008E0DE1">
        <w:t>Project</w:t>
      </w:r>
      <w:r w:rsidR="006C6F09">
        <w:t xml:space="preserve"> </w:t>
      </w:r>
      <w:r w:rsidRPr="008E0DE1">
        <w:t>Delivery</w:t>
      </w:r>
      <w:r w:rsidR="006C6F09">
        <w:t xml:space="preserve"> </w:t>
      </w:r>
      <w:r w:rsidRPr="008E0DE1">
        <w:t>Staff</w:t>
      </w:r>
      <w:r w:rsidR="006C6F09">
        <w:t xml:space="preserve"> </w:t>
      </w:r>
      <w:r w:rsidRPr="008E0DE1">
        <w:t>and</w:t>
      </w:r>
      <w:r w:rsidR="006C6F09">
        <w:t xml:space="preserve"> </w:t>
      </w:r>
      <w:r w:rsidRPr="008E0DE1">
        <w:t>TPP’s</w:t>
      </w:r>
      <w:r w:rsidR="006C6F09">
        <w:t xml:space="preserve"> </w:t>
      </w:r>
      <w:r w:rsidRPr="008E0DE1">
        <w:t>PI</w:t>
      </w:r>
      <w:r w:rsidR="006C6F09">
        <w:t xml:space="preserve"> </w:t>
      </w:r>
      <w:r w:rsidRPr="008E0DE1">
        <w:t>Section</w:t>
      </w:r>
      <w:r w:rsidR="006C6F09">
        <w:t xml:space="preserve"> </w:t>
      </w:r>
      <w:r w:rsidRPr="008E0DE1">
        <w:t>review</w:t>
      </w:r>
      <w:r w:rsidR="006C6F09">
        <w:t xml:space="preserve"> </w:t>
      </w:r>
      <w:r w:rsidRPr="008E0DE1">
        <w:t>the</w:t>
      </w:r>
      <w:r w:rsidR="006C6F09">
        <w:t xml:space="preserve"> </w:t>
      </w:r>
      <w:r w:rsidRPr="008E0DE1">
        <w:t>online</w:t>
      </w:r>
      <w:r w:rsidR="006C6F09">
        <w:t xml:space="preserve"> </w:t>
      </w:r>
      <w:r w:rsidRPr="008E0DE1">
        <w:t>presentation</w:t>
      </w:r>
      <w:r w:rsidR="006C6F09">
        <w:t xml:space="preserve"> </w:t>
      </w:r>
      <w:r w:rsidRPr="008E0DE1">
        <w:t>prior</w:t>
      </w:r>
      <w:r w:rsidR="006C6F09">
        <w:t xml:space="preserve"> </w:t>
      </w:r>
      <w:r w:rsidRPr="008E0DE1">
        <w:t>to</w:t>
      </w:r>
      <w:r w:rsidR="006C6F09">
        <w:t xml:space="preserve"> </w:t>
      </w:r>
      <w:r w:rsidRPr="008E0DE1">
        <w:t>posting</w:t>
      </w:r>
      <w:r w:rsidR="006C6F09">
        <w:t xml:space="preserve"> </w:t>
      </w:r>
      <w:r w:rsidRPr="008E0DE1">
        <w:t>(but</w:t>
      </w:r>
      <w:r w:rsidR="006C6F09">
        <w:t xml:space="preserve"> </w:t>
      </w:r>
      <w:r w:rsidRPr="008E0DE1">
        <w:t>keep</w:t>
      </w:r>
      <w:r w:rsidR="006C6F09">
        <w:t xml:space="preserve"> </w:t>
      </w:r>
      <w:r w:rsidRPr="008E0DE1">
        <w:t>in</w:t>
      </w:r>
      <w:r w:rsidR="006C6F09">
        <w:t xml:space="preserve"> </w:t>
      </w:r>
      <w:r w:rsidRPr="008E0DE1">
        <w:t>mind</w:t>
      </w:r>
      <w:r w:rsidR="006C6F09">
        <w:t xml:space="preserve"> </w:t>
      </w:r>
      <w:r w:rsidRPr="008E0DE1">
        <w:t>that</w:t>
      </w:r>
      <w:r w:rsidR="006C6F09">
        <w:t xml:space="preserve"> </w:t>
      </w:r>
      <w:r w:rsidRPr="008E0DE1">
        <w:t>for</w:t>
      </w:r>
      <w:r w:rsidR="006C6F09">
        <w:t xml:space="preserve"> </w:t>
      </w:r>
      <w:r w:rsidRPr="008E0DE1">
        <w:t>open-ended</w:t>
      </w:r>
      <w:r w:rsidR="006C6F09">
        <w:t xml:space="preserve"> </w:t>
      </w:r>
      <w:r w:rsidRPr="008E0DE1">
        <w:t>(d)-list</w:t>
      </w:r>
      <w:r w:rsidR="006C6F09">
        <w:t xml:space="preserve"> </w:t>
      </w:r>
      <w:r w:rsidRPr="008E0DE1">
        <w:t>CEs</w:t>
      </w:r>
      <w:r w:rsidR="006C6F09">
        <w:t xml:space="preserve"> </w:t>
      </w:r>
      <w:r w:rsidRPr="008E0DE1">
        <w:t>that</w:t>
      </w:r>
      <w:r w:rsidR="006C6F09">
        <w:t xml:space="preserve"> </w:t>
      </w:r>
      <w:r w:rsidRPr="008E0DE1">
        <w:t>are</w:t>
      </w:r>
      <w:r w:rsidR="006C6F09">
        <w:t xml:space="preserve"> </w:t>
      </w:r>
      <w:r w:rsidRPr="008E0DE1">
        <w:t>above</w:t>
      </w:r>
      <w:r w:rsidR="006C6F09">
        <w:t xml:space="preserve"> </w:t>
      </w:r>
      <w:r w:rsidRPr="008E0DE1">
        <w:lastRenderedPageBreak/>
        <w:t>the</w:t>
      </w:r>
      <w:r w:rsidR="006C6F09">
        <w:t xml:space="preserve"> </w:t>
      </w:r>
      <w:r w:rsidRPr="008E0DE1">
        <w:t>displacement</w:t>
      </w:r>
      <w:r w:rsidR="006C6F09">
        <w:t xml:space="preserve"> </w:t>
      </w:r>
      <w:r w:rsidRPr="008E0DE1">
        <w:t>or</w:t>
      </w:r>
      <w:r w:rsidR="006C6F09">
        <w:t xml:space="preserve"> </w:t>
      </w:r>
      <w:r w:rsidRPr="008E0DE1">
        <w:t>acreage</w:t>
      </w:r>
      <w:r w:rsidR="006C6F09">
        <w:t xml:space="preserve"> </w:t>
      </w:r>
      <w:r w:rsidRPr="008E0DE1">
        <w:t>thresholds</w:t>
      </w:r>
      <w:r w:rsidR="006C6F09">
        <w:t xml:space="preserve"> </w:t>
      </w:r>
      <w:r w:rsidRPr="008E0DE1">
        <w:t>requiring</w:t>
      </w:r>
      <w:r w:rsidR="006C6F09">
        <w:t xml:space="preserve"> </w:t>
      </w:r>
      <w:r w:rsidRPr="008E0DE1">
        <w:t>ENV</w:t>
      </w:r>
      <w:r w:rsidR="006C6F09">
        <w:t xml:space="preserve"> </w:t>
      </w:r>
      <w:r w:rsidRPr="008E0DE1">
        <w:t>approval</w:t>
      </w:r>
      <w:r w:rsidR="006C6F09">
        <w:t xml:space="preserve"> </w:t>
      </w:r>
      <w:r w:rsidRPr="008E0DE1">
        <w:t>there</w:t>
      </w:r>
      <w:r w:rsidR="006C6F09">
        <w:t xml:space="preserve"> </w:t>
      </w:r>
      <w:r w:rsidRPr="008E0DE1">
        <w:t>is</w:t>
      </w:r>
      <w:r w:rsidR="006C6F09">
        <w:t xml:space="preserve"> </w:t>
      </w:r>
      <w:r w:rsidRPr="008E0DE1">
        <w:t>a</w:t>
      </w:r>
      <w:r w:rsidR="006C6F09">
        <w:t xml:space="preserve"> </w:t>
      </w:r>
      <w:r w:rsidRPr="008E0DE1">
        <w:t>requirement</w:t>
      </w:r>
      <w:r w:rsidR="006C6F09">
        <w:t xml:space="preserve"> </w:t>
      </w:r>
      <w:r w:rsidRPr="008E0DE1">
        <w:t>that</w:t>
      </w:r>
      <w:r w:rsidR="006C6F09">
        <w:t xml:space="preserve"> </w:t>
      </w:r>
      <w:r w:rsidRPr="008E0DE1">
        <w:t>ENV</w:t>
      </w:r>
      <w:r w:rsidR="006C6F09">
        <w:t xml:space="preserve"> </w:t>
      </w:r>
      <w:r w:rsidRPr="008E0DE1">
        <w:t>Project</w:t>
      </w:r>
      <w:r w:rsidR="006C6F09">
        <w:t xml:space="preserve"> </w:t>
      </w:r>
      <w:r w:rsidRPr="008E0DE1">
        <w:t>Delivery</w:t>
      </w:r>
      <w:r w:rsidR="006C6F09">
        <w:t xml:space="preserve"> </w:t>
      </w:r>
      <w:r w:rsidRPr="008E0DE1">
        <w:t>Staff</w:t>
      </w:r>
      <w:r w:rsidR="006C6F09">
        <w:t xml:space="preserve"> </w:t>
      </w:r>
      <w:r w:rsidRPr="008E0DE1">
        <w:t>review</w:t>
      </w:r>
      <w:r w:rsidR="006C6F09">
        <w:t xml:space="preserve"> </w:t>
      </w:r>
      <w:r w:rsidRPr="008E0DE1">
        <w:t>the</w:t>
      </w:r>
      <w:r w:rsidR="006C6F09">
        <w:t xml:space="preserve"> </w:t>
      </w:r>
      <w:r w:rsidRPr="008E0DE1">
        <w:t>public</w:t>
      </w:r>
      <w:r w:rsidR="006C6F09">
        <w:t xml:space="preserve"> </w:t>
      </w:r>
      <w:r w:rsidRPr="008E0DE1">
        <w:t>meeting</w:t>
      </w:r>
      <w:r w:rsidR="006C6F09">
        <w:t xml:space="preserve"> </w:t>
      </w:r>
      <w:r w:rsidRPr="008E0DE1">
        <w:t>materials).</w:t>
      </w:r>
    </w:p>
    <w:p w14:paraId="3A678B4A" w14:textId="1C51F0E1" w:rsidR="00457754" w:rsidRPr="00E27B56" w:rsidRDefault="00457754" w:rsidP="00457754">
      <w:pPr>
        <w:pStyle w:val="ListBullet"/>
      </w:pPr>
      <w:r w:rsidRPr="00E27B56">
        <w:t>The</w:t>
      </w:r>
      <w:r w:rsidR="006C6F09">
        <w:t xml:space="preserve"> </w:t>
      </w:r>
      <w:r w:rsidRPr="00E27B56">
        <w:t>online</w:t>
      </w:r>
      <w:r w:rsidR="006C6F09">
        <w:t xml:space="preserve"> </w:t>
      </w:r>
      <w:r w:rsidRPr="00E27B56">
        <w:t>presentation</w:t>
      </w:r>
      <w:r w:rsidR="006C6F09">
        <w:t xml:space="preserve"> </w:t>
      </w:r>
      <w:r w:rsidRPr="00E27B56">
        <w:t>can</w:t>
      </w:r>
      <w:r w:rsidR="006C6F09">
        <w:t xml:space="preserve"> </w:t>
      </w:r>
      <w:r w:rsidRPr="00E27B56">
        <w:t>be</w:t>
      </w:r>
      <w:r w:rsidR="006C6F09">
        <w:t xml:space="preserve"> </w:t>
      </w:r>
      <w:r w:rsidRPr="00E27B56">
        <w:t>hosted</w:t>
      </w:r>
      <w:r w:rsidR="006C6F09">
        <w:t xml:space="preserve"> </w:t>
      </w:r>
      <w:r w:rsidRPr="00E27B56">
        <w:t>by</w:t>
      </w:r>
      <w:r w:rsidR="006C6F09">
        <w:t xml:space="preserve"> </w:t>
      </w:r>
      <w:r w:rsidRPr="00E27B56">
        <w:t>a</w:t>
      </w:r>
      <w:r w:rsidR="006C6F09">
        <w:t xml:space="preserve"> </w:t>
      </w:r>
      <w:r w:rsidRPr="00E27B56">
        <w:t>local</w:t>
      </w:r>
      <w:r w:rsidR="006C6F09">
        <w:t xml:space="preserve"> </w:t>
      </w:r>
      <w:r w:rsidRPr="00E27B56">
        <w:t>government</w:t>
      </w:r>
      <w:r w:rsidR="006C6F09">
        <w:t xml:space="preserve"> </w:t>
      </w:r>
      <w:r w:rsidRPr="00E27B56">
        <w:t>or</w:t>
      </w:r>
      <w:r w:rsidR="006C6F09">
        <w:t xml:space="preserve"> </w:t>
      </w:r>
      <w:r w:rsidRPr="00E27B56">
        <w:t>consultant</w:t>
      </w:r>
      <w:r w:rsidR="006C6F09">
        <w:t xml:space="preserve"> </w:t>
      </w:r>
      <w:r w:rsidRPr="00E27B56">
        <w:t>on</w:t>
      </w:r>
      <w:r w:rsidR="006C6F09">
        <w:t xml:space="preserve"> </w:t>
      </w:r>
      <w:r w:rsidRPr="00E27B56">
        <w:t>its</w:t>
      </w:r>
      <w:r w:rsidR="006C6F09">
        <w:t xml:space="preserve"> </w:t>
      </w:r>
      <w:r w:rsidRPr="00E27B56">
        <w:t>own</w:t>
      </w:r>
      <w:r w:rsidR="006C6F09">
        <w:t xml:space="preserve"> </w:t>
      </w:r>
      <w:r w:rsidRPr="00E27B56">
        <w:t>website.</w:t>
      </w:r>
    </w:p>
    <w:p w14:paraId="31576D2D" w14:textId="32F0AF8B" w:rsidR="00457754" w:rsidRPr="00E27B56" w:rsidRDefault="00457754" w:rsidP="00457754">
      <w:pPr>
        <w:pStyle w:val="ListBullet"/>
      </w:pPr>
      <w:r w:rsidRPr="00E27B56">
        <w:t>The</w:t>
      </w:r>
      <w:r w:rsidR="006C6F09">
        <w:t xml:space="preserve"> </w:t>
      </w:r>
      <w:r w:rsidRPr="00E27B56">
        <w:t>online</w:t>
      </w:r>
      <w:r w:rsidR="006C6F09">
        <w:t xml:space="preserve"> </w:t>
      </w:r>
      <w:r w:rsidRPr="00E27B56">
        <w:t>presentation</w:t>
      </w:r>
      <w:r w:rsidR="006C6F09">
        <w:t xml:space="preserve"> </w:t>
      </w:r>
      <w:r w:rsidRPr="00E27B56">
        <w:t>must</w:t>
      </w:r>
      <w:r w:rsidR="006C6F09">
        <w:t xml:space="preserve"> </w:t>
      </w:r>
      <w:r w:rsidRPr="00E27B56">
        <w:t>be</w:t>
      </w:r>
      <w:r w:rsidR="006C6F09">
        <w:t xml:space="preserve"> </w:t>
      </w:r>
      <w:r w:rsidRPr="00E27B56">
        <w:t>posted</w:t>
      </w:r>
      <w:r w:rsidR="006C6F09">
        <w:t xml:space="preserve"> </w:t>
      </w:r>
      <w:r w:rsidRPr="00E27B56">
        <w:t>online</w:t>
      </w:r>
      <w:r w:rsidR="006C6F09">
        <w:t xml:space="preserve"> </w:t>
      </w:r>
      <w:r w:rsidRPr="00E27B56">
        <w:t>at</w:t>
      </w:r>
      <w:r w:rsidR="006C6F09">
        <w:t xml:space="preserve"> </w:t>
      </w:r>
      <w:r w:rsidRPr="00E27B56">
        <w:t>or</w:t>
      </w:r>
      <w:r w:rsidR="006C6F09">
        <w:t xml:space="preserve"> </w:t>
      </w:r>
      <w:r w:rsidRPr="00E27B56">
        <w:t>before</w:t>
      </w:r>
      <w:r w:rsidR="006C6F09">
        <w:t xml:space="preserve"> </w:t>
      </w:r>
      <w:r w:rsidRPr="00E27B56">
        <w:t>the</w:t>
      </w:r>
      <w:r w:rsidR="006C6F09">
        <w:t xml:space="preserve"> </w:t>
      </w:r>
      <w:r w:rsidRPr="00E27B56">
        <w:t>date</w:t>
      </w:r>
      <w:r w:rsidR="006C6F09">
        <w:t xml:space="preserve"> </w:t>
      </w:r>
      <w:r w:rsidRPr="00E27B56">
        <w:t>and</w:t>
      </w:r>
      <w:r w:rsidR="006C6F09">
        <w:t xml:space="preserve"> </w:t>
      </w:r>
      <w:r w:rsidRPr="00E27B56">
        <w:t>time</w:t>
      </w:r>
      <w:r w:rsidR="006C6F09">
        <w:t xml:space="preserve"> </w:t>
      </w:r>
      <w:r w:rsidRPr="00E27B56">
        <w:t>indicated</w:t>
      </w:r>
      <w:r w:rsidR="006C6F09">
        <w:t xml:space="preserve"> </w:t>
      </w:r>
      <w:r w:rsidRPr="00E27B56">
        <w:t>in</w:t>
      </w:r>
      <w:r w:rsidR="006C6F09">
        <w:t xml:space="preserve"> </w:t>
      </w:r>
      <w:r w:rsidRPr="00E27B56">
        <w:t>the</w:t>
      </w:r>
      <w:r w:rsidR="006C6F09">
        <w:t xml:space="preserve"> </w:t>
      </w:r>
      <w:r w:rsidRPr="00E27B56">
        <w:t>notice</w:t>
      </w:r>
      <w:r w:rsidR="006C6F09">
        <w:t xml:space="preserve"> </w:t>
      </w:r>
      <w:r w:rsidRPr="00E27B56">
        <w:t>and</w:t>
      </w:r>
      <w:r w:rsidR="006C6F09">
        <w:t xml:space="preserve"> </w:t>
      </w:r>
      <w:r w:rsidRPr="00E27B56">
        <w:t>it</w:t>
      </w:r>
      <w:r w:rsidR="006C6F09">
        <w:t xml:space="preserve"> </w:t>
      </w:r>
      <w:r w:rsidRPr="00E27B56">
        <w:t>must</w:t>
      </w:r>
      <w:r w:rsidR="006C6F09">
        <w:t xml:space="preserve"> </w:t>
      </w:r>
      <w:r w:rsidRPr="00E27B56">
        <w:t>remain</w:t>
      </w:r>
      <w:r w:rsidR="006C6F09">
        <w:t xml:space="preserve"> </w:t>
      </w:r>
      <w:r w:rsidRPr="00E27B56">
        <w:t>posted</w:t>
      </w:r>
      <w:r w:rsidR="006C6F09">
        <w:t xml:space="preserve"> </w:t>
      </w:r>
      <w:r w:rsidRPr="00E27B56">
        <w:t>online</w:t>
      </w:r>
      <w:r w:rsidR="006C6F09">
        <w:t xml:space="preserve"> </w:t>
      </w:r>
      <w:r w:rsidRPr="00E27B56">
        <w:t>for</w:t>
      </w:r>
      <w:r w:rsidR="006C6F09">
        <w:t xml:space="preserve"> </w:t>
      </w:r>
      <w:r w:rsidRPr="00E27B56">
        <w:t>the</w:t>
      </w:r>
      <w:r w:rsidR="006C6F09">
        <w:t xml:space="preserve"> </w:t>
      </w:r>
      <w:r w:rsidRPr="00E27B56">
        <w:t>entire</w:t>
      </w:r>
      <w:r w:rsidR="006C6F09">
        <w:t xml:space="preserve"> </w:t>
      </w:r>
      <w:r w:rsidRPr="00E27B56">
        <w:t>15-calendar</w:t>
      </w:r>
      <w:r>
        <w:t>-</w:t>
      </w:r>
      <w:r w:rsidR="006C6F09">
        <w:t xml:space="preserve"> </w:t>
      </w:r>
      <w:r w:rsidRPr="00E27B56">
        <w:t>day</w:t>
      </w:r>
      <w:r w:rsidR="006C6F09">
        <w:t xml:space="preserve"> </w:t>
      </w:r>
      <w:r w:rsidRPr="00E27B56">
        <w:t>comment</w:t>
      </w:r>
      <w:r w:rsidR="006C6F09">
        <w:t xml:space="preserve"> </w:t>
      </w:r>
      <w:r w:rsidRPr="00E27B56">
        <w:t>period.</w:t>
      </w:r>
      <w:r w:rsidR="006C6F09">
        <w:t xml:space="preserve"> </w:t>
      </w:r>
      <w:r w:rsidRPr="00E27B56">
        <w:t>It</w:t>
      </w:r>
      <w:r w:rsidR="006C6F09">
        <w:t xml:space="preserve"> </w:t>
      </w:r>
      <w:r w:rsidRPr="00E27B56">
        <w:t>can</w:t>
      </w:r>
      <w:r w:rsidR="006C6F09">
        <w:t xml:space="preserve"> </w:t>
      </w:r>
      <w:r w:rsidRPr="00E27B56">
        <w:t>remain</w:t>
      </w:r>
      <w:r w:rsidR="006C6F09">
        <w:t xml:space="preserve"> </w:t>
      </w:r>
      <w:r w:rsidRPr="00E27B56">
        <w:t>posted</w:t>
      </w:r>
      <w:r w:rsidR="006C6F09">
        <w:t xml:space="preserve"> </w:t>
      </w:r>
      <w:r w:rsidRPr="00E27B56">
        <w:t>online</w:t>
      </w:r>
      <w:r w:rsidR="006C6F09">
        <w:t xml:space="preserve"> </w:t>
      </w:r>
      <w:r w:rsidRPr="00E27B56">
        <w:t>after</w:t>
      </w:r>
      <w:r w:rsidR="006C6F09">
        <w:t xml:space="preserve"> </w:t>
      </w:r>
      <w:r w:rsidRPr="00E27B56">
        <w:t>that</w:t>
      </w:r>
      <w:r w:rsidR="006C6F09">
        <w:t xml:space="preserve"> </w:t>
      </w:r>
      <w:r w:rsidRPr="00E27B56">
        <w:t>period</w:t>
      </w:r>
      <w:r w:rsidR="006C6F09">
        <w:t xml:space="preserve"> </w:t>
      </w:r>
      <w:r w:rsidRPr="00E27B56">
        <w:t>at</w:t>
      </w:r>
      <w:r w:rsidR="006C6F09">
        <w:t xml:space="preserve"> </w:t>
      </w:r>
      <w:r w:rsidRPr="00E27B56">
        <w:t>the</w:t>
      </w:r>
      <w:r w:rsidR="006C6F09">
        <w:t xml:space="preserve"> </w:t>
      </w:r>
      <w:r w:rsidRPr="00E27B56">
        <w:t>district’s</w:t>
      </w:r>
      <w:r w:rsidR="006C6F09">
        <w:t xml:space="preserve"> </w:t>
      </w:r>
      <w:r w:rsidRPr="00E27B56">
        <w:t>discretion.</w:t>
      </w:r>
    </w:p>
    <w:p w14:paraId="02042248" w14:textId="16022E4F" w:rsidR="00457754" w:rsidRPr="00E27B56" w:rsidRDefault="00457754" w:rsidP="00457754">
      <w:pPr>
        <w:pStyle w:val="ListBullet"/>
      </w:pPr>
      <w:r w:rsidRPr="00E27B56">
        <w:t>TPP’s</w:t>
      </w:r>
      <w:r w:rsidR="006C6F09">
        <w:t xml:space="preserve"> </w:t>
      </w:r>
      <w:r w:rsidRPr="00E27B56">
        <w:t>PI</w:t>
      </w:r>
      <w:r w:rsidR="006C6F09">
        <w:t xml:space="preserve"> </w:t>
      </w:r>
      <w:r w:rsidRPr="00E27B56">
        <w:t>Section</w:t>
      </w:r>
      <w:r w:rsidR="006C6F09">
        <w:t xml:space="preserve"> </w:t>
      </w:r>
      <w:r w:rsidRPr="00E27B56">
        <w:t>will</w:t>
      </w:r>
      <w:r w:rsidR="006C6F09">
        <w:t xml:space="preserve"> </w:t>
      </w:r>
      <w:r w:rsidRPr="00E27B56">
        <w:t>post</w:t>
      </w:r>
      <w:r w:rsidR="006C6F09">
        <w:t xml:space="preserve"> </w:t>
      </w:r>
      <w:r w:rsidRPr="00E27B56">
        <w:t>the</w:t>
      </w:r>
      <w:r w:rsidR="006C6F09">
        <w:t xml:space="preserve"> </w:t>
      </w:r>
      <w:r w:rsidRPr="00E27B56">
        <w:t>provided</w:t>
      </w:r>
      <w:r w:rsidR="006C6F09">
        <w:t xml:space="preserve"> </w:t>
      </w:r>
      <w:r w:rsidRPr="00E27B56">
        <w:t>transcript</w:t>
      </w:r>
      <w:r w:rsidR="006C6F09">
        <w:t xml:space="preserve"> </w:t>
      </w:r>
      <w:r w:rsidRPr="00E27B56">
        <w:t>of</w:t>
      </w:r>
      <w:r w:rsidR="006C6F09">
        <w:t xml:space="preserve"> </w:t>
      </w:r>
      <w:r w:rsidRPr="00E27B56">
        <w:t>the</w:t>
      </w:r>
      <w:r w:rsidR="006C6F09">
        <w:t xml:space="preserve"> </w:t>
      </w:r>
      <w:r w:rsidRPr="00E27B56">
        <w:t>online</w:t>
      </w:r>
      <w:r w:rsidR="006C6F09">
        <w:t xml:space="preserve"> </w:t>
      </w:r>
      <w:r w:rsidRPr="00E27B56">
        <w:t>presentation</w:t>
      </w:r>
      <w:r w:rsidR="006C6F09">
        <w:t xml:space="preserve"> </w:t>
      </w:r>
      <w:r w:rsidRPr="00E27B56">
        <w:t>on</w:t>
      </w:r>
      <w:r w:rsidR="006C6F09">
        <w:t xml:space="preserve"> </w:t>
      </w:r>
      <w:r w:rsidRPr="00E27B56">
        <w:t>the</w:t>
      </w:r>
      <w:r w:rsidR="006C6F09">
        <w:t xml:space="preserve"> </w:t>
      </w:r>
      <w:r w:rsidRPr="00E27B56">
        <w:t>TxDOT</w:t>
      </w:r>
      <w:r w:rsidR="006C6F09">
        <w:t xml:space="preserve"> </w:t>
      </w:r>
      <w:r w:rsidRPr="00E27B56">
        <w:t>website</w:t>
      </w:r>
      <w:r w:rsidR="006C6F09">
        <w:t xml:space="preserve"> </w:t>
      </w:r>
      <w:r w:rsidRPr="00E27B56">
        <w:t>within</w:t>
      </w:r>
      <w:r w:rsidR="006C6F09">
        <w:t xml:space="preserve"> </w:t>
      </w:r>
      <w:r w:rsidRPr="00E27B56">
        <w:t>a</w:t>
      </w:r>
      <w:r w:rsidR="006C6F09">
        <w:t xml:space="preserve"> </w:t>
      </w:r>
      <w:r w:rsidRPr="00E27B56">
        <w:t>few</w:t>
      </w:r>
      <w:r w:rsidR="006C6F09">
        <w:t xml:space="preserve"> </w:t>
      </w:r>
      <w:r w:rsidRPr="00E27B56">
        <w:t>days</w:t>
      </w:r>
      <w:r w:rsidR="006C6F09">
        <w:t xml:space="preserve"> </w:t>
      </w:r>
      <w:r w:rsidRPr="00E27B56">
        <w:t>of</w:t>
      </w:r>
      <w:r w:rsidR="006C6F09">
        <w:t xml:space="preserve"> </w:t>
      </w:r>
      <w:r w:rsidRPr="00E27B56">
        <w:t>the</w:t>
      </w:r>
      <w:r w:rsidR="006C6F09">
        <w:t xml:space="preserve"> </w:t>
      </w:r>
      <w:r w:rsidRPr="00E27B56">
        <w:t>event.</w:t>
      </w:r>
    </w:p>
    <w:p w14:paraId="73A3C9D8" w14:textId="47731D82" w:rsidR="00457754" w:rsidRPr="00E27B56" w:rsidRDefault="00457754" w:rsidP="00457754">
      <w:pPr>
        <w:pStyle w:val="ListBullet"/>
      </w:pPr>
      <w:r w:rsidRPr="00E27B56">
        <w:t>The</w:t>
      </w:r>
      <w:r w:rsidR="006C6F09">
        <w:t xml:space="preserve"> </w:t>
      </w:r>
      <w:r w:rsidRPr="00E27B56">
        <w:t>requirement</w:t>
      </w:r>
      <w:r w:rsidR="006C6F09">
        <w:t xml:space="preserve"> </w:t>
      </w:r>
      <w:r w:rsidRPr="00E27B56">
        <w:t>for</w:t>
      </w:r>
      <w:r w:rsidR="006C6F09">
        <w:t xml:space="preserve"> </w:t>
      </w:r>
      <w:r w:rsidRPr="00E27B56">
        <w:t>commenters</w:t>
      </w:r>
      <w:r w:rsidR="006C6F09">
        <w:t xml:space="preserve"> </w:t>
      </w:r>
      <w:r w:rsidRPr="00E27B56">
        <w:t>to</w:t>
      </w:r>
      <w:r w:rsidR="006C6F09">
        <w:t xml:space="preserve"> </w:t>
      </w:r>
      <w:r w:rsidRPr="00E27B56">
        <w:t>“disclose</w:t>
      </w:r>
      <w:r w:rsidR="006C6F09">
        <w:t xml:space="preserve"> </w:t>
      </w:r>
      <w:r w:rsidRPr="00E27B56">
        <w:t>in</w:t>
      </w:r>
      <w:r w:rsidR="006C6F09">
        <w:t xml:space="preserve"> </w:t>
      </w:r>
      <w:r w:rsidRPr="00E27B56">
        <w:t>writing</w:t>
      </w:r>
      <w:r w:rsidR="006C6F09">
        <w:t xml:space="preserve"> </w:t>
      </w:r>
      <w:r w:rsidRPr="00E27B56">
        <w:t>on</w:t>
      </w:r>
      <w:r w:rsidR="006C6F09">
        <w:t xml:space="preserve"> </w:t>
      </w:r>
      <w:r w:rsidRPr="00E27B56">
        <w:t>a</w:t>
      </w:r>
      <w:r w:rsidR="006C6F09">
        <w:t xml:space="preserve"> </w:t>
      </w:r>
      <w:r w:rsidRPr="00E27B56">
        <w:t>witness</w:t>
      </w:r>
      <w:r w:rsidR="006C6F09">
        <w:t xml:space="preserve"> </w:t>
      </w:r>
      <w:r w:rsidRPr="00E27B56">
        <w:t>card</w:t>
      </w:r>
      <w:r w:rsidR="006C6F09">
        <w:t xml:space="preserve"> </w:t>
      </w:r>
      <w:r w:rsidRPr="00E27B56">
        <w:t>whether</w:t>
      </w:r>
      <w:r w:rsidR="006C6F09">
        <w:t xml:space="preserve"> </w:t>
      </w:r>
      <w:r w:rsidRPr="00E27B56">
        <w:t>the</w:t>
      </w:r>
      <w:r w:rsidR="006C6F09">
        <w:t xml:space="preserve"> </w:t>
      </w:r>
      <w:r w:rsidRPr="00E27B56">
        <w:t>person</w:t>
      </w:r>
      <w:r w:rsidR="006C6F09">
        <w:t xml:space="preserve"> </w:t>
      </w:r>
      <w:r w:rsidRPr="00E27B56">
        <w:t>does</w:t>
      </w:r>
      <w:r w:rsidR="006C6F09">
        <w:t xml:space="preserve"> </w:t>
      </w:r>
      <w:r w:rsidRPr="00E27B56">
        <w:t>business</w:t>
      </w:r>
      <w:r w:rsidR="006C6F09">
        <w:t xml:space="preserve"> </w:t>
      </w:r>
      <w:r w:rsidRPr="00E27B56">
        <w:t>with</w:t>
      </w:r>
      <w:r w:rsidR="006C6F09">
        <w:t xml:space="preserve"> </w:t>
      </w:r>
      <w:r w:rsidRPr="00E27B56">
        <w:t>the</w:t>
      </w:r>
      <w:r w:rsidR="006C6F09">
        <w:t xml:space="preserve"> </w:t>
      </w:r>
      <w:r w:rsidRPr="00E27B56">
        <w:t>department,</w:t>
      </w:r>
      <w:r w:rsidR="006C6F09">
        <w:t xml:space="preserve"> </w:t>
      </w:r>
      <w:r w:rsidRPr="00E27B56">
        <w:t>may</w:t>
      </w:r>
      <w:r w:rsidR="006C6F09">
        <w:t xml:space="preserve"> </w:t>
      </w:r>
      <w:r w:rsidRPr="00E27B56">
        <w:t>benefit</w:t>
      </w:r>
      <w:r w:rsidR="006C6F09">
        <w:t xml:space="preserve"> </w:t>
      </w:r>
      <w:r w:rsidRPr="00E27B56">
        <w:t>monetarily</w:t>
      </w:r>
      <w:r w:rsidR="006C6F09">
        <w:t xml:space="preserve"> </w:t>
      </w:r>
      <w:r w:rsidRPr="00E27B56">
        <w:t>from</w:t>
      </w:r>
      <w:r w:rsidR="006C6F09">
        <w:t xml:space="preserve"> </w:t>
      </w:r>
      <w:r w:rsidRPr="00E27B56">
        <w:t>a</w:t>
      </w:r>
      <w:r w:rsidR="006C6F09">
        <w:t xml:space="preserve"> </w:t>
      </w:r>
      <w:r w:rsidRPr="00E27B56">
        <w:t>project</w:t>
      </w:r>
      <w:r w:rsidR="006C6F09">
        <w:t xml:space="preserve"> </w:t>
      </w:r>
      <w:r w:rsidRPr="00E27B56">
        <w:t>or</w:t>
      </w:r>
      <w:r w:rsidR="006C6F09">
        <w:t xml:space="preserve"> </w:t>
      </w:r>
      <w:r w:rsidRPr="00E27B56">
        <w:t>is</w:t>
      </w:r>
      <w:r w:rsidR="006C6F09">
        <w:t xml:space="preserve"> </w:t>
      </w:r>
      <w:r w:rsidRPr="00E27B56">
        <w:t>an</w:t>
      </w:r>
      <w:r w:rsidR="006C6F09">
        <w:t xml:space="preserve"> </w:t>
      </w:r>
      <w:r w:rsidRPr="00E27B56">
        <w:t>employee</w:t>
      </w:r>
      <w:r w:rsidR="006C6F09">
        <w:t xml:space="preserve"> </w:t>
      </w:r>
      <w:r w:rsidRPr="00E27B56">
        <w:t>of</w:t>
      </w:r>
      <w:r w:rsidR="006C6F09">
        <w:t xml:space="preserve"> </w:t>
      </w:r>
      <w:r w:rsidRPr="00E27B56">
        <w:t>the</w:t>
      </w:r>
      <w:r w:rsidR="006C6F09">
        <w:t xml:space="preserve"> </w:t>
      </w:r>
      <w:r w:rsidRPr="00E27B56">
        <w:t>department”</w:t>
      </w:r>
      <w:r w:rsidR="006C6F09">
        <w:t xml:space="preserve"> </w:t>
      </w:r>
      <w:r w:rsidRPr="00E27B56">
        <w:t>(</w:t>
      </w:r>
      <w:r w:rsidRPr="00823D98">
        <w:t>Transportation</w:t>
      </w:r>
      <w:r w:rsidR="006C6F09">
        <w:t xml:space="preserve"> </w:t>
      </w:r>
      <w:r w:rsidRPr="00823D98">
        <w:t>Code</w:t>
      </w:r>
      <w:r w:rsidR="006C6F09">
        <w:rPr>
          <w:i/>
          <w:iCs/>
        </w:rPr>
        <w:t xml:space="preserve"> </w:t>
      </w:r>
      <w:r w:rsidRPr="00E27B56">
        <w:t>201.811(a)(5))</w:t>
      </w:r>
      <w:r w:rsidR="006C6F09">
        <w:t xml:space="preserve"> </w:t>
      </w:r>
      <w:r w:rsidRPr="00E27B56">
        <w:t>is</w:t>
      </w:r>
      <w:r w:rsidR="006C6F09">
        <w:t xml:space="preserve"> </w:t>
      </w:r>
      <w:r w:rsidRPr="00E27B56">
        <w:t>not</w:t>
      </w:r>
      <w:r w:rsidR="006C6F09">
        <w:t xml:space="preserve"> </w:t>
      </w:r>
      <w:r w:rsidRPr="00E27B56">
        <w:t>applicable</w:t>
      </w:r>
      <w:r w:rsidR="006C6F09">
        <w:t xml:space="preserve"> </w:t>
      </w:r>
      <w:r w:rsidRPr="00E27B56">
        <w:t>to</w:t>
      </w:r>
      <w:r w:rsidR="006C6F09">
        <w:t xml:space="preserve"> </w:t>
      </w:r>
      <w:r w:rsidRPr="00E27B56">
        <w:t>an</w:t>
      </w:r>
      <w:r w:rsidR="006C6F09">
        <w:t xml:space="preserve"> </w:t>
      </w:r>
      <w:r w:rsidRPr="00E27B56">
        <w:t>online-only</w:t>
      </w:r>
      <w:r w:rsidR="006C6F09">
        <w:t xml:space="preserve"> </w:t>
      </w:r>
      <w:r w:rsidRPr="00E27B56">
        <w:t>virtual</w:t>
      </w:r>
      <w:r w:rsidR="006C6F09">
        <w:t xml:space="preserve"> </w:t>
      </w:r>
      <w:r w:rsidRPr="00E27B56">
        <w:t>public</w:t>
      </w:r>
      <w:r w:rsidR="006C6F09">
        <w:t xml:space="preserve"> </w:t>
      </w:r>
      <w:r w:rsidRPr="00E27B56">
        <w:t>meeting</w:t>
      </w:r>
      <w:r w:rsidR="006C6F09">
        <w:t xml:space="preserve"> </w:t>
      </w:r>
      <w:r w:rsidRPr="00E27B56">
        <w:t>as</w:t>
      </w:r>
      <w:r w:rsidR="006C6F09">
        <w:t xml:space="preserve"> </w:t>
      </w:r>
      <w:r w:rsidRPr="00E27B56">
        <w:t>there</w:t>
      </w:r>
      <w:r w:rsidR="006C6F09">
        <w:t xml:space="preserve"> </w:t>
      </w:r>
      <w:r w:rsidRPr="00E27B56">
        <w:t>is</w:t>
      </w:r>
      <w:r w:rsidR="006C6F09">
        <w:t xml:space="preserve"> </w:t>
      </w:r>
      <w:r w:rsidRPr="00E27B56">
        <w:t>no</w:t>
      </w:r>
      <w:r w:rsidR="006C6F09">
        <w:t xml:space="preserve"> </w:t>
      </w:r>
      <w:r w:rsidRPr="00E27B56">
        <w:t>written</w:t>
      </w:r>
      <w:r w:rsidR="006C6F09">
        <w:t xml:space="preserve"> </w:t>
      </w:r>
      <w:r w:rsidRPr="00E27B56">
        <w:t>witness</w:t>
      </w:r>
      <w:r w:rsidR="006C6F09">
        <w:t xml:space="preserve"> </w:t>
      </w:r>
      <w:r w:rsidRPr="00E27B56">
        <w:t>card.</w:t>
      </w:r>
    </w:p>
    <w:p w14:paraId="6D834B52" w14:textId="0BD47F95" w:rsidR="00457754" w:rsidRPr="00E27B56" w:rsidRDefault="00457754" w:rsidP="00457754">
      <w:pPr>
        <w:pStyle w:val="ListBullet"/>
      </w:pPr>
      <w:r w:rsidRPr="00E27B56">
        <w:t>Strategies</w:t>
      </w:r>
      <w:r w:rsidR="006C6F09">
        <w:t xml:space="preserve"> </w:t>
      </w:r>
      <w:r w:rsidRPr="00E27B56">
        <w:t>to</w:t>
      </w:r>
      <w:r w:rsidR="006C6F09">
        <w:t xml:space="preserve"> </w:t>
      </w:r>
      <w:r w:rsidRPr="00E27B56">
        <w:t>communicate</w:t>
      </w:r>
      <w:r w:rsidR="006C6F09">
        <w:t xml:space="preserve"> </w:t>
      </w:r>
      <w:r w:rsidRPr="00E27B56">
        <w:t>with</w:t>
      </w:r>
      <w:r w:rsidR="006C6F09">
        <w:t xml:space="preserve"> </w:t>
      </w:r>
      <w:r w:rsidRPr="00E27B56">
        <w:t>potential</w:t>
      </w:r>
      <w:r w:rsidR="006C6F09">
        <w:t xml:space="preserve"> </w:t>
      </w:r>
      <w:r w:rsidRPr="00E27B56">
        <w:t>LEP</w:t>
      </w:r>
      <w:r w:rsidR="006C6F09">
        <w:t xml:space="preserve"> </w:t>
      </w:r>
      <w:r w:rsidRPr="00E27B56">
        <w:t>populations</w:t>
      </w:r>
      <w:r w:rsidR="006C6F09">
        <w:t xml:space="preserve"> </w:t>
      </w:r>
      <w:r w:rsidRPr="00E27B56">
        <w:t>during</w:t>
      </w:r>
      <w:r w:rsidR="006C6F09">
        <w:t xml:space="preserve"> </w:t>
      </w:r>
      <w:r w:rsidRPr="00E27B56">
        <w:t>a</w:t>
      </w:r>
      <w:r w:rsidR="006C6F09">
        <w:t xml:space="preserve"> </w:t>
      </w:r>
      <w:r w:rsidRPr="00E27B56">
        <w:t>virtual</w:t>
      </w:r>
      <w:r w:rsidR="006C6F09">
        <w:t xml:space="preserve"> </w:t>
      </w:r>
      <w:r w:rsidRPr="00E27B56">
        <w:t>public</w:t>
      </w:r>
      <w:r w:rsidR="006C6F09">
        <w:t xml:space="preserve"> </w:t>
      </w:r>
      <w:r w:rsidRPr="00E27B56">
        <w:t>meeting</w:t>
      </w:r>
      <w:r w:rsidR="006C6F09">
        <w:t xml:space="preserve"> </w:t>
      </w:r>
      <w:r w:rsidRPr="00E27B56">
        <w:t>should</w:t>
      </w:r>
      <w:r w:rsidR="006C6F09">
        <w:t xml:space="preserve"> </w:t>
      </w:r>
      <w:r w:rsidRPr="00E27B56">
        <w:t>be</w:t>
      </w:r>
      <w:r w:rsidR="006C6F09">
        <w:t xml:space="preserve"> </w:t>
      </w:r>
      <w:r w:rsidRPr="00E27B56">
        <w:t>developed.</w:t>
      </w:r>
      <w:r w:rsidR="006C6F09">
        <w:t xml:space="preserve"> </w:t>
      </w:r>
    </w:p>
    <w:p w14:paraId="60ED7043" w14:textId="4981A999" w:rsidR="00457754" w:rsidRPr="00E27B56" w:rsidRDefault="00457754" w:rsidP="00457754">
      <w:pPr>
        <w:pStyle w:val="ListBullet"/>
      </w:pPr>
      <w:r w:rsidRPr="00E27B56">
        <w:t>A</w:t>
      </w:r>
      <w:r w:rsidR="006C6F09">
        <w:t xml:space="preserve"> </w:t>
      </w:r>
      <w:r w:rsidRPr="00E27B56">
        <w:t>court</w:t>
      </w:r>
      <w:r w:rsidR="006C6F09">
        <w:t xml:space="preserve"> </w:t>
      </w:r>
      <w:r w:rsidRPr="00E27B56">
        <w:t>reporter</w:t>
      </w:r>
      <w:r w:rsidR="006C6F09">
        <w:t xml:space="preserve"> </w:t>
      </w:r>
      <w:r w:rsidRPr="00E27B56">
        <w:t>is</w:t>
      </w:r>
      <w:r w:rsidR="006C6F09">
        <w:t xml:space="preserve"> </w:t>
      </w:r>
      <w:r w:rsidRPr="00E27B56">
        <w:t>not</w:t>
      </w:r>
      <w:r w:rsidR="006C6F09">
        <w:t xml:space="preserve"> </w:t>
      </w:r>
      <w:r w:rsidRPr="00E27B56">
        <w:t>required</w:t>
      </w:r>
      <w:r w:rsidR="006C6F09">
        <w:t xml:space="preserve"> </w:t>
      </w:r>
      <w:r w:rsidRPr="00E27B56">
        <w:t>for</w:t>
      </w:r>
      <w:r w:rsidR="006C6F09">
        <w:t xml:space="preserve"> </w:t>
      </w:r>
      <w:r w:rsidRPr="00E27B56">
        <w:t>a</w:t>
      </w:r>
      <w:r w:rsidR="006C6F09">
        <w:t xml:space="preserve"> </w:t>
      </w:r>
      <w:r w:rsidRPr="00E27B56">
        <w:t>virtual</w:t>
      </w:r>
      <w:r w:rsidR="006C6F09">
        <w:t xml:space="preserve"> </w:t>
      </w:r>
      <w:r w:rsidRPr="00E27B56">
        <w:t>public</w:t>
      </w:r>
      <w:r w:rsidR="006C6F09">
        <w:t xml:space="preserve"> </w:t>
      </w:r>
      <w:r w:rsidRPr="00E27B56">
        <w:t>meeting.</w:t>
      </w:r>
      <w:r w:rsidR="006C6F09">
        <w:t xml:space="preserve"> </w:t>
      </w:r>
    </w:p>
    <w:p w14:paraId="0FF8B4B3" w14:textId="773F186B" w:rsidR="00457754" w:rsidRPr="00E27B56" w:rsidRDefault="00457754" w:rsidP="00457754">
      <w:pPr>
        <w:pStyle w:val="ListBullet"/>
      </w:pPr>
      <w:r w:rsidRPr="00E27B56">
        <w:t>A</w:t>
      </w:r>
      <w:r w:rsidR="006C6F09">
        <w:t xml:space="preserve"> </w:t>
      </w:r>
      <w:r w:rsidRPr="00E27B56">
        <w:t>written</w:t>
      </w:r>
      <w:r w:rsidR="006C6F09">
        <w:t xml:space="preserve"> </w:t>
      </w:r>
      <w:r w:rsidRPr="00E27B56">
        <w:t>comment</w:t>
      </w:r>
      <w:r w:rsidR="006C6F09">
        <w:t xml:space="preserve"> </w:t>
      </w:r>
      <w:r w:rsidRPr="00E27B56">
        <w:t>period</w:t>
      </w:r>
      <w:r w:rsidR="006C6F09">
        <w:t xml:space="preserve"> </w:t>
      </w:r>
      <w:r w:rsidRPr="00E27B56">
        <w:t>must</w:t>
      </w:r>
      <w:r w:rsidR="006C6F09">
        <w:t xml:space="preserve"> </w:t>
      </w:r>
      <w:r w:rsidRPr="00E27B56">
        <w:t>extend</w:t>
      </w:r>
      <w:r w:rsidR="006C6F09">
        <w:t xml:space="preserve"> </w:t>
      </w:r>
      <w:r w:rsidRPr="00E27B56">
        <w:t>at</w:t>
      </w:r>
      <w:r w:rsidR="006C6F09">
        <w:t xml:space="preserve"> </w:t>
      </w:r>
      <w:r w:rsidRPr="00E27B56">
        <w:t>least</w:t>
      </w:r>
      <w:r w:rsidR="006C6F09">
        <w:t xml:space="preserve"> </w:t>
      </w:r>
      <w:r w:rsidRPr="00E27B56">
        <w:t>15</w:t>
      </w:r>
      <w:r w:rsidR="006C6F09">
        <w:t xml:space="preserve"> </w:t>
      </w:r>
      <w:r w:rsidRPr="00E27B56">
        <w:t>calendar</w:t>
      </w:r>
      <w:r w:rsidR="006C6F09">
        <w:t xml:space="preserve"> </w:t>
      </w:r>
      <w:r w:rsidRPr="00E27B56">
        <w:t>days</w:t>
      </w:r>
      <w:r w:rsidR="006C6F09">
        <w:t xml:space="preserve"> </w:t>
      </w:r>
      <w:r w:rsidRPr="00E27B56">
        <w:t>after</w:t>
      </w:r>
      <w:r w:rsidR="006C6F09">
        <w:t xml:space="preserve"> </w:t>
      </w:r>
      <w:r w:rsidRPr="00E27B56">
        <w:t>the</w:t>
      </w:r>
      <w:r w:rsidR="006C6F09">
        <w:t xml:space="preserve"> </w:t>
      </w:r>
      <w:r w:rsidRPr="00E27B56">
        <w:t>online</w:t>
      </w:r>
      <w:r w:rsidR="006C6F09">
        <w:t xml:space="preserve"> </w:t>
      </w:r>
      <w:r w:rsidRPr="00E27B56">
        <w:t>presentation</w:t>
      </w:r>
      <w:r w:rsidR="006C6F09">
        <w:t xml:space="preserve"> </w:t>
      </w:r>
      <w:r w:rsidRPr="00E27B56">
        <w:t>is</w:t>
      </w:r>
      <w:r w:rsidR="006C6F09">
        <w:t xml:space="preserve"> </w:t>
      </w:r>
      <w:r w:rsidRPr="00E27B56">
        <w:t>posted.</w:t>
      </w:r>
      <w:r w:rsidR="006C6F09">
        <w:t xml:space="preserve"> </w:t>
      </w:r>
      <w:r w:rsidRPr="00E27B56">
        <w:t>Consideration</w:t>
      </w:r>
      <w:r w:rsidR="006C6F09">
        <w:t xml:space="preserve"> </w:t>
      </w:r>
      <w:r w:rsidRPr="00E27B56">
        <w:t>should</w:t>
      </w:r>
      <w:r w:rsidR="006C6F09">
        <w:t xml:space="preserve"> </w:t>
      </w:r>
      <w:r w:rsidRPr="00E27B56">
        <w:t>be</w:t>
      </w:r>
      <w:r w:rsidR="006C6F09">
        <w:t xml:space="preserve"> </w:t>
      </w:r>
      <w:r w:rsidRPr="00E27B56">
        <w:t>given</w:t>
      </w:r>
      <w:r w:rsidR="006C6F09">
        <w:t xml:space="preserve"> </w:t>
      </w:r>
      <w:r w:rsidRPr="00E27B56">
        <w:t>to</w:t>
      </w:r>
      <w:r w:rsidR="006C6F09">
        <w:t xml:space="preserve"> </w:t>
      </w:r>
      <w:r w:rsidRPr="00E27B56">
        <w:t>avoid</w:t>
      </w:r>
      <w:r w:rsidR="006C6F09">
        <w:t xml:space="preserve"> </w:t>
      </w:r>
      <w:r w:rsidRPr="00E27B56">
        <w:t>comment</w:t>
      </w:r>
      <w:r w:rsidR="006C6F09">
        <w:t xml:space="preserve"> </w:t>
      </w:r>
      <w:r w:rsidRPr="00E27B56">
        <w:t>deadlines</w:t>
      </w:r>
      <w:r w:rsidR="006C6F09">
        <w:t xml:space="preserve"> </w:t>
      </w:r>
      <w:r w:rsidRPr="00E27B56">
        <w:t>that</w:t>
      </w:r>
      <w:r w:rsidR="006C6F09">
        <w:t xml:space="preserve"> </w:t>
      </w:r>
      <w:r w:rsidRPr="00E27B56">
        <w:t>extend</w:t>
      </w:r>
      <w:r w:rsidR="006C6F09">
        <w:t xml:space="preserve"> </w:t>
      </w:r>
      <w:r w:rsidRPr="00E27B56">
        <w:t>into</w:t>
      </w:r>
      <w:r w:rsidR="006C6F09">
        <w:t xml:space="preserve"> </w:t>
      </w:r>
      <w:r w:rsidRPr="00E27B56">
        <w:t>holiday</w:t>
      </w:r>
      <w:r w:rsidR="006C6F09">
        <w:t xml:space="preserve"> </w:t>
      </w:r>
      <w:r w:rsidRPr="00E27B56">
        <w:t>and</w:t>
      </w:r>
      <w:r w:rsidR="006C6F09">
        <w:t xml:space="preserve"> </w:t>
      </w:r>
      <w:r w:rsidRPr="00E27B56">
        <w:t>or</w:t>
      </w:r>
      <w:r w:rsidR="006C6F09">
        <w:t xml:space="preserve"> </w:t>
      </w:r>
      <w:r w:rsidRPr="00E27B56">
        <w:t>weekend</w:t>
      </w:r>
      <w:r w:rsidR="006C6F09">
        <w:t xml:space="preserve"> </w:t>
      </w:r>
      <w:r w:rsidRPr="00E27B56">
        <w:t>periods.</w:t>
      </w:r>
      <w:r w:rsidR="006C6F09">
        <w:t xml:space="preserve"> </w:t>
      </w:r>
    </w:p>
    <w:p w14:paraId="53390241" w14:textId="66AC8B59" w:rsidR="00457754" w:rsidRPr="00E27B56" w:rsidRDefault="00457754" w:rsidP="00457754">
      <w:pPr>
        <w:pStyle w:val="ListBullet"/>
      </w:pPr>
      <w:r w:rsidRPr="00E27B56">
        <w:t>The</w:t>
      </w:r>
      <w:r w:rsidR="006C6F09">
        <w:t xml:space="preserve"> </w:t>
      </w:r>
      <w:r w:rsidRPr="00E27B56">
        <w:t>documentation</w:t>
      </w:r>
      <w:r w:rsidR="006C6F09">
        <w:t xml:space="preserve"> </w:t>
      </w:r>
      <w:r w:rsidRPr="00E27B56">
        <w:t>requirements</w:t>
      </w:r>
      <w:r w:rsidR="006C6F09">
        <w:t xml:space="preserve"> </w:t>
      </w:r>
      <w:r w:rsidRPr="00E27B56">
        <w:t>set</w:t>
      </w:r>
      <w:r w:rsidR="006C6F09">
        <w:t xml:space="preserve"> </w:t>
      </w:r>
      <w:r w:rsidRPr="00E27B56">
        <w:t>forth</w:t>
      </w:r>
      <w:r w:rsidR="006C6F09">
        <w:t xml:space="preserve"> </w:t>
      </w:r>
      <w:r w:rsidRPr="00E27B56">
        <w:t>in</w:t>
      </w:r>
      <w:r w:rsidR="006C6F09">
        <w:t xml:space="preserve"> </w:t>
      </w:r>
      <w:r w:rsidRPr="00E27B56">
        <w:t>Subsection</w:t>
      </w:r>
      <w:r w:rsidR="006C6F09">
        <w:t xml:space="preserve"> </w:t>
      </w:r>
      <w:r w:rsidRPr="00263E76">
        <w:rPr>
          <w:color w:val="0056A9"/>
          <w:u w:val="single"/>
        </w:rPr>
        <w:fldChar w:fldCharType="begin"/>
      </w:r>
      <w:r w:rsidRPr="00263E76">
        <w:rPr>
          <w:color w:val="0056A9"/>
          <w:u w:val="single"/>
        </w:rPr>
        <w:instrText xml:space="preserve"> REF _Ref219790219 \h  \* MERGEFORMAT </w:instrText>
      </w:r>
      <w:r w:rsidRPr="00263E76">
        <w:rPr>
          <w:color w:val="0056A9"/>
          <w:u w:val="single"/>
        </w:rPr>
      </w:r>
      <w:r w:rsidRPr="00263E76">
        <w:rPr>
          <w:color w:val="0056A9"/>
          <w:u w:val="single"/>
        </w:rPr>
        <w:fldChar w:fldCharType="separate"/>
      </w:r>
      <w:r w:rsidRPr="00263E76">
        <w:rPr>
          <w:color w:val="0056A9"/>
          <w:u w:val="single"/>
        </w:rPr>
        <w:t>14.2</w:t>
      </w:r>
      <w:r w:rsidRPr="00263E76">
        <w:rPr>
          <w:color w:val="0056A9"/>
          <w:u w:val="single"/>
        </w:rPr>
        <w:fldChar w:fldCharType="end"/>
      </w:r>
      <w:r w:rsidR="006C6F09">
        <w:t xml:space="preserve"> </w:t>
      </w:r>
      <w:r w:rsidRPr="00E27B56">
        <w:t>apply</w:t>
      </w:r>
      <w:r w:rsidR="006C6F09">
        <w:t xml:space="preserve"> </w:t>
      </w:r>
      <w:r w:rsidRPr="00E27B56">
        <w:t>to</w:t>
      </w:r>
      <w:r w:rsidR="006C6F09">
        <w:t xml:space="preserve"> </w:t>
      </w:r>
      <w:r w:rsidRPr="00E27B56">
        <w:t>a</w:t>
      </w:r>
      <w:r w:rsidR="006C6F09">
        <w:t xml:space="preserve"> </w:t>
      </w:r>
      <w:r w:rsidRPr="00E27B56">
        <w:t>virtual</w:t>
      </w:r>
      <w:r w:rsidR="006C6F09">
        <w:t xml:space="preserve"> </w:t>
      </w:r>
      <w:r w:rsidRPr="00E27B56">
        <w:t>public</w:t>
      </w:r>
      <w:r w:rsidR="006C6F09">
        <w:t xml:space="preserve"> </w:t>
      </w:r>
      <w:r w:rsidRPr="00E27B56">
        <w:t>meeting.</w:t>
      </w:r>
    </w:p>
    <w:p w14:paraId="4D185F8A" w14:textId="4FFE152E" w:rsidR="00457754" w:rsidRPr="0087244D" w:rsidRDefault="00457754" w:rsidP="0087244D">
      <w:pPr>
        <w:pStyle w:val="Heading4"/>
      </w:pPr>
      <w:r w:rsidRPr="0087244D">
        <w:t>4.5.2</w:t>
      </w:r>
      <w:r w:rsidR="006C6F09">
        <w:t xml:space="preserve"> </w:t>
      </w:r>
      <w:r w:rsidRPr="0087244D">
        <w:t>Virtual</w:t>
      </w:r>
      <w:r w:rsidR="006C6F09">
        <w:t xml:space="preserve"> </w:t>
      </w:r>
      <w:r w:rsidRPr="0087244D">
        <w:t>Public</w:t>
      </w:r>
      <w:r w:rsidR="006C6F09">
        <w:t xml:space="preserve"> </w:t>
      </w:r>
      <w:r w:rsidRPr="0087244D">
        <w:t>Meeting</w:t>
      </w:r>
      <w:r w:rsidR="006C6F09">
        <w:t xml:space="preserve"> </w:t>
      </w:r>
      <w:r w:rsidRPr="0087244D">
        <w:t>with</w:t>
      </w:r>
      <w:r w:rsidR="006C6F09">
        <w:t xml:space="preserve"> </w:t>
      </w:r>
      <w:r w:rsidRPr="0087244D">
        <w:t>In-Person</w:t>
      </w:r>
      <w:r w:rsidR="006C6F09">
        <w:t xml:space="preserve"> </w:t>
      </w:r>
      <w:r w:rsidRPr="0087244D">
        <w:t>Option</w:t>
      </w:r>
    </w:p>
    <w:p w14:paraId="3B160880" w14:textId="7BF9F9E3" w:rsidR="00457754" w:rsidRDefault="00457754" w:rsidP="00457754">
      <w:r>
        <w:t>A</w:t>
      </w:r>
      <w:r w:rsidR="006C6F09">
        <w:t xml:space="preserve"> </w:t>
      </w:r>
      <w:r>
        <w:t>virtual</w:t>
      </w:r>
      <w:r w:rsidR="006C6F09">
        <w:t xml:space="preserve"> </w:t>
      </w:r>
      <w:r>
        <w:t>public</w:t>
      </w:r>
      <w:r w:rsidR="006C6F09">
        <w:t xml:space="preserve"> </w:t>
      </w:r>
      <w:r>
        <w:t>meeting</w:t>
      </w:r>
      <w:r w:rsidR="006C6F09">
        <w:t xml:space="preserve"> </w:t>
      </w:r>
      <w:r>
        <w:t>with</w:t>
      </w:r>
      <w:r w:rsidR="006C6F09">
        <w:t xml:space="preserve"> </w:t>
      </w:r>
      <w:r>
        <w:t>in-person</w:t>
      </w:r>
      <w:r w:rsidR="006C6F09">
        <w:t xml:space="preserve"> </w:t>
      </w:r>
      <w:r>
        <w:t>option</w:t>
      </w:r>
      <w:r w:rsidR="006C6F09">
        <w:t xml:space="preserve"> </w:t>
      </w:r>
      <w:r>
        <w:t>consists</w:t>
      </w:r>
      <w:r w:rsidR="006C6F09">
        <w:t xml:space="preserve"> </w:t>
      </w:r>
      <w:r>
        <w:t>of</w:t>
      </w:r>
      <w:r w:rsidR="006C6F09">
        <w:t xml:space="preserve"> </w:t>
      </w:r>
      <w:r>
        <w:t>(1)</w:t>
      </w:r>
      <w:r w:rsidR="006C6F09">
        <w:t xml:space="preserve"> </w:t>
      </w:r>
      <w:r>
        <w:t>a</w:t>
      </w:r>
      <w:r w:rsidR="006C6F09">
        <w:t xml:space="preserve"> </w:t>
      </w:r>
      <w:r>
        <w:t>virtual</w:t>
      </w:r>
      <w:r w:rsidR="006C6F09">
        <w:t xml:space="preserve"> </w:t>
      </w:r>
      <w:r>
        <w:t>public</w:t>
      </w:r>
      <w:r w:rsidR="006C6F09">
        <w:t xml:space="preserve"> </w:t>
      </w:r>
      <w:r>
        <w:t>meeting</w:t>
      </w:r>
      <w:r w:rsidR="006C6F09">
        <w:t xml:space="preserve"> </w:t>
      </w:r>
      <w:r>
        <w:t>(see</w:t>
      </w:r>
      <w:r w:rsidR="006C6F09">
        <w:t xml:space="preserve"> </w:t>
      </w:r>
      <w:r>
        <w:t>Section</w:t>
      </w:r>
      <w:r w:rsidR="006C6F09">
        <w:t xml:space="preserve"> </w:t>
      </w:r>
      <w:r w:rsidRPr="00263E76">
        <w:rPr>
          <w:u w:val="single"/>
        </w:rPr>
        <w:fldChar w:fldCharType="begin"/>
      </w:r>
      <w:r w:rsidRPr="00263E76">
        <w:rPr>
          <w:u w:val="single"/>
        </w:rPr>
        <w:instrText xml:space="preserve"> REF _Ref219790253 \h  \* MERGEFORMAT </w:instrText>
      </w:r>
      <w:r w:rsidRPr="00263E76">
        <w:rPr>
          <w:u w:val="single"/>
        </w:rPr>
      </w:r>
      <w:r w:rsidRPr="00263E76">
        <w:rPr>
          <w:u w:val="single"/>
        </w:rPr>
        <w:fldChar w:fldCharType="separate"/>
      </w:r>
      <w:r w:rsidRPr="00263E76">
        <w:rPr>
          <w:color w:val="0056A9"/>
          <w:u w:val="single"/>
        </w:rPr>
        <w:t>4.5.1</w:t>
      </w:r>
      <w:r w:rsidRPr="00263E76">
        <w:rPr>
          <w:u w:val="single"/>
        </w:rPr>
        <w:fldChar w:fldCharType="end"/>
      </w:r>
      <w:r w:rsidR="006C6F09">
        <w:rPr>
          <w:i/>
          <w:iCs/>
        </w:rPr>
        <w:t xml:space="preserve"> </w:t>
      </w:r>
      <w:r>
        <w:t>above)</w:t>
      </w:r>
      <w:r w:rsidR="006C6F09">
        <w:t xml:space="preserve"> </w:t>
      </w:r>
      <w:r>
        <w:t>and</w:t>
      </w:r>
      <w:r w:rsidR="006C6F09">
        <w:t xml:space="preserve"> </w:t>
      </w:r>
      <w:r>
        <w:t>(2)</w:t>
      </w:r>
      <w:r w:rsidR="006C6F09">
        <w:t xml:space="preserve"> </w:t>
      </w:r>
      <w:r>
        <w:t>provision</w:t>
      </w:r>
      <w:r w:rsidR="006C6F09">
        <w:t xml:space="preserve"> </w:t>
      </w:r>
      <w:r>
        <w:t>of</w:t>
      </w:r>
      <w:r w:rsidR="006C6F09">
        <w:t xml:space="preserve"> </w:t>
      </w:r>
      <w:r>
        <w:t>a</w:t>
      </w:r>
      <w:r w:rsidR="006C6F09">
        <w:t xml:space="preserve"> </w:t>
      </w:r>
      <w:r>
        <w:t>physical</w:t>
      </w:r>
      <w:r w:rsidR="006C6F09">
        <w:t xml:space="preserve"> </w:t>
      </w:r>
      <w:r>
        <w:t>space</w:t>
      </w:r>
      <w:r w:rsidR="006C6F09">
        <w:t xml:space="preserve"> </w:t>
      </w:r>
      <w:r>
        <w:t>at</w:t>
      </w:r>
      <w:r w:rsidR="006C6F09">
        <w:t xml:space="preserve"> </w:t>
      </w:r>
      <w:r>
        <w:t>a</w:t>
      </w:r>
      <w:r w:rsidR="006C6F09">
        <w:t xml:space="preserve"> </w:t>
      </w:r>
      <w:r>
        <w:t>non-TxDOT</w:t>
      </w:r>
      <w:r w:rsidR="006C6F09">
        <w:t xml:space="preserve"> </w:t>
      </w:r>
      <w:r>
        <w:t>facility</w:t>
      </w:r>
      <w:r w:rsidR="006C6F09">
        <w:t xml:space="preserve"> </w:t>
      </w:r>
      <w:r>
        <w:t>or</w:t>
      </w:r>
      <w:r w:rsidR="006C6F09">
        <w:t xml:space="preserve"> </w:t>
      </w:r>
      <w:r>
        <w:t>TxDOT</w:t>
      </w:r>
      <w:r w:rsidR="006C6F09">
        <w:t xml:space="preserve"> </w:t>
      </w:r>
      <w:r>
        <w:t>district,</w:t>
      </w:r>
      <w:r w:rsidR="006C6F09">
        <w:t xml:space="preserve"> </w:t>
      </w:r>
      <w:r>
        <w:t>area,</w:t>
      </w:r>
      <w:r w:rsidR="006C6F09">
        <w:t xml:space="preserve"> </w:t>
      </w:r>
      <w:r>
        <w:t>or</w:t>
      </w:r>
      <w:r w:rsidR="006C6F09">
        <w:t xml:space="preserve"> </w:t>
      </w:r>
      <w:r>
        <w:t>maintenance</w:t>
      </w:r>
      <w:r w:rsidR="006C6F09">
        <w:t xml:space="preserve"> </w:t>
      </w:r>
      <w:r>
        <w:t>office</w:t>
      </w:r>
      <w:r w:rsidR="006C6F09">
        <w:t xml:space="preserve"> </w:t>
      </w:r>
      <w:r>
        <w:t>for</w:t>
      </w:r>
      <w:r w:rsidR="006C6F09">
        <w:t xml:space="preserve"> </w:t>
      </w:r>
      <w:r>
        <w:t>attendees</w:t>
      </w:r>
      <w:r w:rsidR="006C6F09">
        <w:t xml:space="preserve"> </w:t>
      </w:r>
      <w:r>
        <w:t>to,</w:t>
      </w:r>
      <w:r w:rsidR="006C6F09">
        <w:t xml:space="preserve"> </w:t>
      </w:r>
      <w:r>
        <w:t>at</w:t>
      </w:r>
      <w:r w:rsidR="006C6F09">
        <w:t xml:space="preserve"> </w:t>
      </w:r>
      <w:r>
        <w:t>their</w:t>
      </w:r>
      <w:r w:rsidR="006C6F09">
        <w:t xml:space="preserve"> </w:t>
      </w:r>
      <w:r>
        <w:t>discretion,</w:t>
      </w:r>
      <w:r w:rsidR="006C6F09">
        <w:t xml:space="preserve"> </w:t>
      </w:r>
      <w:r>
        <w:t>attend</w:t>
      </w:r>
      <w:r w:rsidR="006C6F09">
        <w:t xml:space="preserve"> </w:t>
      </w:r>
      <w:r>
        <w:t>in-person.</w:t>
      </w:r>
      <w:r w:rsidR="006C6F09">
        <w:t xml:space="preserve"> </w:t>
      </w:r>
    </w:p>
    <w:p w14:paraId="5750E865" w14:textId="7F35FFCB" w:rsidR="00457754" w:rsidRDefault="00457754" w:rsidP="00457754">
      <w:r>
        <w:lastRenderedPageBreak/>
        <w:t>Verbal</w:t>
      </w:r>
      <w:r w:rsidR="006C6F09">
        <w:t xml:space="preserve"> </w:t>
      </w:r>
      <w:r>
        <w:t>comments</w:t>
      </w:r>
      <w:r w:rsidR="006C6F09">
        <w:t xml:space="preserve"> </w:t>
      </w:r>
      <w:r>
        <w:t>do</w:t>
      </w:r>
      <w:r w:rsidR="006C6F09">
        <w:t xml:space="preserve"> </w:t>
      </w:r>
      <w:r>
        <w:t>not</w:t>
      </w:r>
      <w:r w:rsidR="006C6F09">
        <w:t xml:space="preserve"> </w:t>
      </w:r>
      <w:r>
        <w:t>need</w:t>
      </w:r>
      <w:r w:rsidR="006C6F09">
        <w:t xml:space="preserve"> </w:t>
      </w:r>
      <w:r>
        <w:t>to</w:t>
      </w:r>
      <w:r w:rsidR="006C6F09">
        <w:t xml:space="preserve"> </w:t>
      </w:r>
      <w:r>
        <w:t>be</w:t>
      </w:r>
      <w:r w:rsidR="006C6F09">
        <w:t xml:space="preserve"> </w:t>
      </w:r>
      <w:r>
        <w:t>accepted</w:t>
      </w:r>
      <w:r w:rsidR="006C6F09">
        <w:t xml:space="preserve"> </w:t>
      </w:r>
      <w:proofErr w:type="gramStart"/>
      <w:r>
        <w:t>at</w:t>
      </w:r>
      <w:proofErr w:type="gramEnd"/>
      <w:r w:rsidR="006C6F09">
        <w:t xml:space="preserve"> </w:t>
      </w:r>
      <w:r>
        <w:t>the</w:t>
      </w:r>
      <w:r w:rsidR="006C6F09">
        <w:t xml:space="preserve"> </w:t>
      </w:r>
      <w:r>
        <w:t>in-person</w:t>
      </w:r>
      <w:r w:rsidR="006C6F09">
        <w:t xml:space="preserve"> </w:t>
      </w:r>
      <w:r>
        <w:t>option.</w:t>
      </w:r>
      <w:r w:rsidR="006C6F09">
        <w:t xml:space="preserve"> </w:t>
      </w:r>
      <w:r>
        <w:t>However,</w:t>
      </w:r>
      <w:r w:rsidR="006C6F09">
        <w:t xml:space="preserve"> </w:t>
      </w:r>
      <w:r>
        <w:t>a</w:t>
      </w:r>
      <w:r w:rsidR="006C6F09">
        <w:t xml:space="preserve"> </w:t>
      </w:r>
      <w:r>
        <w:t>district</w:t>
      </w:r>
      <w:r w:rsidR="006C6F09">
        <w:t xml:space="preserve"> </w:t>
      </w:r>
      <w:r>
        <w:t>may</w:t>
      </w:r>
      <w:r w:rsidR="006C6F09">
        <w:t xml:space="preserve"> </w:t>
      </w:r>
      <w:r>
        <w:t>accept</w:t>
      </w:r>
      <w:r w:rsidR="006C6F09">
        <w:t xml:space="preserve"> </w:t>
      </w:r>
      <w:r>
        <w:t>verbal</w:t>
      </w:r>
      <w:r w:rsidR="006C6F09">
        <w:t xml:space="preserve"> </w:t>
      </w:r>
      <w:r>
        <w:t>comments</w:t>
      </w:r>
      <w:r w:rsidR="006C6F09">
        <w:t xml:space="preserve"> </w:t>
      </w:r>
      <w:r>
        <w:t>at</w:t>
      </w:r>
      <w:r w:rsidR="006C6F09">
        <w:t xml:space="preserve"> </w:t>
      </w:r>
      <w:r>
        <w:t>the</w:t>
      </w:r>
      <w:r w:rsidR="006C6F09">
        <w:t xml:space="preserve"> </w:t>
      </w:r>
      <w:r>
        <w:t>in-person</w:t>
      </w:r>
      <w:r w:rsidR="006C6F09">
        <w:t xml:space="preserve"> </w:t>
      </w:r>
      <w:r>
        <w:t>option</w:t>
      </w:r>
      <w:r w:rsidR="006C6F09">
        <w:t xml:space="preserve"> </w:t>
      </w:r>
      <w:r>
        <w:t>if</w:t>
      </w:r>
      <w:r w:rsidR="006C6F09">
        <w:t xml:space="preserve"> </w:t>
      </w:r>
      <w:r>
        <w:t>they</w:t>
      </w:r>
      <w:r w:rsidR="006C6F09">
        <w:t xml:space="preserve"> </w:t>
      </w:r>
      <w:r>
        <w:t>choose.</w:t>
      </w:r>
      <w:r w:rsidR="006C6F09">
        <w:t xml:space="preserve"> </w:t>
      </w:r>
    </w:p>
    <w:p w14:paraId="55F058FC" w14:textId="5D9B5873" w:rsidR="00457754" w:rsidRDefault="00457754" w:rsidP="00457754">
      <w:r>
        <w:t>The</w:t>
      </w:r>
      <w:r w:rsidR="006C6F09">
        <w:t xml:space="preserve"> </w:t>
      </w:r>
      <w:r>
        <w:t>in-person</w:t>
      </w:r>
      <w:r w:rsidR="006C6F09">
        <w:t xml:space="preserve"> </w:t>
      </w:r>
      <w:r>
        <w:t>option</w:t>
      </w:r>
      <w:r w:rsidR="006C6F09">
        <w:t xml:space="preserve"> </w:t>
      </w:r>
      <w:r>
        <w:t>will</w:t>
      </w:r>
      <w:r w:rsidR="006C6F09">
        <w:t xml:space="preserve"> </w:t>
      </w:r>
      <w:r>
        <w:t>be</w:t>
      </w:r>
      <w:r w:rsidR="006C6F09">
        <w:t xml:space="preserve"> </w:t>
      </w:r>
      <w:r>
        <w:t>at</w:t>
      </w:r>
      <w:r w:rsidR="006C6F09">
        <w:t xml:space="preserve"> </w:t>
      </w:r>
      <w:r>
        <w:t>a</w:t>
      </w:r>
      <w:r w:rsidR="006C6F09">
        <w:t xml:space="preserve"> </w:t>
      </w:r>
      <w:r>
        <w:t>specific</w:t>
      </w:r>
      <w:r w:rsidR="006C6F09">
        <w:t xml:space="preserve"> </w:t>
      </w:r>
      <w:r>
        <w:t>time</w:t>
      </w:r>
      <w:r w:rsidR="006C6F09">
        <w:t xml:space="preserve"> </w:t>
      </w:r>
      <w:r>
        <w:t>on</w:t>
      </w:r>
      <w:r w:rsidR="006C6F09">
        <w:t xml:space="preserve"> </w:t>
      </w:r>
      <w:r>
        <w:t>a</w:t>
      </w:r>
      <w:r w:rsidR="006C6F09">
        <w:t xml:space="preserve"> </w:t>
      </w:r>
      <w:r>
        <w:t>specific</w:t>
      </w:r>
      <w:r w:rsidR="006C6F09">
        <w:t xml:space="preserve"> </w:t>
      </w:r>
      <w:r>
        <w:t>date.</w:t>
      </w:r>
      <w:r w:rsidR="006C6F09">
        <w:t xml:space="preserve"> </w:t>
      </w:r>
      <w:r>
        <w:t>Districts</w:t>
      </w:r>
      <w:r w:rsidR="006C6F09">
        <w:t xml:space="preserve"> </w:t>
      </w:r>
      <w:r>
        <w:t>should</w:t>
      </w:r>
      <w:r w:rsidR="006C6F09">
        <w:t xml:space="preserve"> </w:t>
      </w:r>
      <w:r>
        <w:t>work</w:t>
      </w:r>
      <w:r w:rsidR="006C6F09">
        <w:t xml:space="preserve"> </w:t>
      </w:r>
      <w:r>
        <w:t>with</w:t>
      </w:r>
      <w:r w:rsidR="006C6F09">
        <w:t xml:space="preserve"> </w:t>
      </w:r>
      <w:r>
        <w:t>their</w:t>
      </w:r>
      <w:r w:rsidR="006C6F09">
        <w:t xml:space="preserve"> </w:t>
      </w:r>
      <w:r>
        <w:t>public</w:t>
      </w:r>
      <w:r w:rsidR="006C6F09">
        <w:t xml:space="preserve"> </w:t>
      </w:r>
      <w:r>
        <w:t>involvement</w:t>
      </w:r>
      <w:r w:rsidR="006C6F09">
        <w:t xml:space="preserve"> </w:t>
      </w:r>
      <w:r>
        <w:t>specialist</w:t>
      </w:r>
      <w:r w:rsidR="006C6F09">
        <w:t xml:space="preserve"> </w:t>
      </w:r>
      <w:r>
        <w:t>to</w:t>
      </w:r>
      <w:r w:rsidR="006C6F09">
        <w:t xml:space="preserve"> </w:t>
      </w:r>
      <w:r>
        <w:t>determine</w:t>
      </w:r>
      <w:r w:rsidR="006C6F09">
        <w:t xml:space="preserve"> </w:t>
      </w:r>
      <w:r>
        <w:t>the</w:t>
      </w:r>
      <w:r w:rsidR="006C6F09">
        <w:t xml:space="preserve"> </w:t>
      </w:r>
      <w:r>
        <w:t>most</w:t>
      </w:r>
      <w:r w:rsidR="006C6F09">
        <w:t xml:space="preserve"> </w:t>
      </w:r>
      <w:r>
        <w:t>appropriate</w:t>
      </w:r>
      <w:r w:rsidR="006C6F09">
        <w:t xml:space="preserve"> </w:t>
      </w:r>
      <w:r>
        <w:t>day</w:t>
      </w:r>
      <w:r w:rsidR="006C6F09">
        <w:t xml:space="preserve"> </w:t>
      </w:r>
      <w:r>
        <w:t>and</w:t>
      </w:r>
      <w:r w:rsidR="006C6F09">
        <w:t xml:space="preserve"> </w:t>
      </w:r>
      <w:r>
        <w:t>time</w:t>
      </w:r>
      <w:r w:rsidR="006C6F09">
        <w:t xml:space="preserve"> </w:t>
      </w:r>
      <w:r>
        <w:t>for</w:t>
      </w:r>
      <w:r w:rsidR="006C6F09">
        <w:t xml:space="preserve"> </w:t>
      </w:r>
      <w:r>
        <w:t>the</w:t>
      </w:r>
      <w:r w:rsidR="006C6F09">
        <w:t xml:space="preserve"> </w:t>
      </w:r>
      <w:r>
        <w:t>in-person</w:t>
      </w:r>
      <w:r w:rsidR="006C6F09">
        <w:t xml:space="preserve"> </w:t>
      </w:r>
      <w:r>
        <w:t>option.</w:t>
      </w:r>
      <w:r w:rsidR="006C6F09">
        <w:t xml:space="preserve"> </w:t>
      </w:r>
      <w:r>
        <w:t>The</w:t>
      </w:r>
      <w:r w:rsidR="006C6F09">
        <w:t xml:space="preserve"> </w:t>
      </w:r>
      <w:r>
        <w:t>15-calendar</w:t>
      </w:r>
      <w:r w:rsidR="006C6F09">
        <w:t xml:space="preserve"> </w:t>
      </w:r>
      <w:r>
        <w:t>day</w:t>
      </w:r>
      <w:r w:rsidR="006C6F09">
        <w:t xml:space="preserve"> </w:t>
      </w:r>
      <w:r>
        <w:t>comment</w:t>
      </w:r>
      <w:r w:rsidR="006C6F09">
        <w:t xml:space="preserve"> </w:t>
      </w:r>
      <w:r>
        <w:t>period</w:t>
      </w:r>
      <w:r w:rsidR="006C6F09">
        <w:t xml:space="preserve"> </w:t>
      </w:r>
      <w:r>
        <w:t>must</w:t>
      </w:r>
      <w:r w:rsidR="006C6F09">
        <w:t xml:space="preserve"> </w:t>
      </w:r>
      <w:r>
        <w:t>be</w:t>
      </w:r>
      <w:r w:rsidR="006C6F09">
        <w:t xml:space="preserve"> </w:t>
      </w:r>
      <w:r>
        <w:t>calculated</w:t>
      </w:r>
      <w:r w:rsidR="006C6F09">
        <w:t xml:space="preserve"> </w:t>
      </w:r>
      <w:r>
        <w:t>from</w:t>
      </w:r>
      <w:r w:rsidR="006C6F09">
        <w:t xml:space="preserve"> </w:t>
      </w:r>
      <w:r>
        <w:t>the</w:t>
      </w:r>
      <w:r w:rsidR="006C6F09">
        <w:t xml:space="preserve"> </w:t>
      </w:r>
      <w:r>
        <w:t>date</w:t>
      </w:r>
      <w:r w:rsidR="006C6F09">
        <w:t xml:space="preserve"> </w:t>
      </w:r>
      <w:r>
        <w:t>of</w:t>
      </w:r>
      <w:r w:rsidR="006C6F09">
        <w:t xml:space="preserve"> </w:t>
      </w:r>
      <w:r>
        <w:t>the</w:t>
      </w:r>
      <w:r w:rsidR="006C6F09">
        <w:t xml:space="preserve"> </w:t>
      </w:r>
      <w:r>
        <w:t>virtual</w:t>
      </w:r>
      <w:r w:rsidR="006C6F09">
        <w:t xml:space="preserve"> </w:t>
      </w:r>
      <w:r>
        <w:t>public</w:t>
      </w:r>
      <w:r w:rsidR="006C6F09">
        <w:t xml:space="preserve"> </w:t>
      </w:r>
      <w:r>
        <w:t>meeting,</w:t>
      </w:r>
      <w:r w:rsidR="006C6F09">
        <w:t xml:space="preserve"> </w:t>
      </w:r>
      <w:r>
        <w:t>or</w:t>
      </w:r>
      <w:r w:rsidR="006C6F09">
        <w:t xml:space="preserve"> </w:t>
      </w:r>
      <w:r>
        <w:t>the</w:t>
      </w:r>
      <w:r w:rsidR="006C6F09">
        <w:t xml:space="preserve"> </w:t>
      </w:r>
      <w:r>
        <w:t>day</w:t>
      </w:r>
      <w:r w:rsidR="006C6F09">
        <w:t xml:space="preserve"> </w:t>
      </w:r>
      <w:r>
        <w:t>of</w:t>
      </w:r>
      <w:r w:rsidR="006C6F09">
        <w:t xml:space="preserve"> </w:t>
      </w:r>
      <w:r>
        <w:t>the</w:t>
      </w:r>
      <w:r w:rsidR="006C6F09">
        <w:t xml:space="preserve"> </w:t>
      </w:r>
      <w:r>
        <w:t>in-person</w:t>
      </w:r>
      <w:r w:rsidR="006C6F09">
        <w:t xml:space="preserve"> </w:t>
      </w:r>
      <w:r>
        <w:t>option,</w:t>
      </w:r>
      <w:r w:rsidR="006C6F09">
        <w:t xml:space="preserve"> </w:t>
      </w:r>
      <w:r>
        <w:t>whichever</w:t>
      </w:r>
      <w:r w:rsidR="006C6F09">
        <w:t xml:space="preserve"> </w:t>
      </w:r>
      <w:r>
        <w:t>is</w:t>
      </w:r>
      <w:r w:rsidR="006C6F09">
        <w:t xml:space="preserve"> </w:t>
      </w:r>
      <w:r>
        <w:t>later.</w:t>
      </w:r>
      <w:r w:rsidR="006C6F09">
        <w:t xml:space="preserve"> </w:t>
      </w:r>
      <w:r>
        <w:t>Consideration</w:t>
      </w:r>
      <w:r w:rsidR="006C6F09">
        <w:t xml:space="preserve"> </w:t>
      </w:r>
      <w:r>
        <w:t>should</w:t>
      </w:r>
      <w:r w:rsidR="006C6F09">
        <w:t xml:space="preserve"> </w:t>
      </w:r>
      <w:r>
        <w:t>be</w:t>
      </w:r>
      <w:r w:rsidR="006C6F09">
        <w:t xml:space="preserve"> </w:t>
      </w:r>
      <w:r>
        <w:t>given</w:t>
      </w:r>
      <w:r w:rsidR="006C6F09">
        <w:t xml:space="preserve"> </w:t>
      </w:r>
      <w:r>
        <w:t>to</w:t>
      </w:r>
      <w:r w:rsidR="006C6F09">
        <w:t xml:space="preserve"> </w:t>
      </w:r>
      <w:r>
        <w:t>avoid</w:t>
      </w:r>
      <w:r w:rsidR="006C6F09">
        <w:t xml:space="preserve"> </w:t>
      </w:r>
      <w:r>
        <w:t>comment</w:t>
      </w:r>
      <w:r w:rsidR="006C6F09">
        <w:t xml:space="preserve"> </w:t>
      </w:r>
      <w:r>
        <w:t>deadlines</w:t>
      </w:r>
      <w:r w:rsidR="006C6F09">
        <w:t xml:space="preserve"> </w:t>
      </w:r>
      <w:r>
        <w:t>that</w:t>
      </w:r>
      <w:r w:rsidR="006C6F09">
        <w:t xml:space="preserve"> </w:t>
      </w:r>
      <w:r>
        <w:t>extend</w:t>
      </w:r>
      <w:r w:rsidR="006C6F09">
        <w:t xml:space="preserve"> </w:t>
      </w:r>
      <w:r>
        <w:t>into</w:t>
      </w:r>
      <w:r w:rsidR="006C6F09">
        <w:t xml:space="preserve"> </w:t>
      </w:r>
      <w:r>
        <w:t>holiday</w:t>
      </w:r>
      <w:r w:rsidR="006C6F09">
        <w:t xml:space="preserve"> </w:t>
      </w:r>
      <w:r>
        <w:t>and</w:t>
      </w:r>
      <w:r w:rsidR="006C6F09">
        <w:t xml:space="preserve"> </w:t>
      </w:r>
      <w:r>
        <w:t>or</w:t>
      </w:r>
      <w:r w:rsidR="006C6F09">
        <w:t xml:space="preserve"> </w:t>
      </w:r>
      <w:r>
        <w:t>weekend</w:t>
      </w:r>
      <w:r w:rsidR="006C6F09">
        <w:t xml:space="preserve"> </w:t>
      </w:r>
      <w:r>
        <w:t>periods.</w:t>
      </w:r>
    </w:p>
    <w:p w14:paraId="0092A3C7" w14:textId="18258EA6" w:rsidR="00457754" w:rsidRDefault="00457754" w:rsidP="00457754">
      <w:r>
        <w:t>Districts</w:t>
      </w:r>
      <w:r w:rsidR="006C6F09">
        <w:t xml:space="preserve"> </w:t>
      </w:r>
      <w:r>
        <w:t>are</w:t>
      </w:r>
      <w:r w:rsidR="006C6F09">
        <w:t xml:space="preserve"> </w:t>
      </w:r>
      <w:r>
        <w:t>encouraged</w:t>
      </w:r>
      <w:r w:rsidR="006C6F09">
        <w:t xml:space="preserve"> </w:t>
      </w:r>
      <w:r>
        <w:t>to</w:t>
      </w:r>
      <w:r w:rsidR="006C6F09">
        <w:t xml:space="preserve"> </w:t>
      </w:r>
      <w:r>
        <w:t>have</w:t>
      </w:r>
      <w:r w:rsidR="006C6F09">
        <w:t xml:space="preserve"> </w:t>
      </w:r>
      <w:r>
        <w:t>a</w:t>
      </w:r>
      <w:r w:rsidR="006C6F09">
        <w:t xml:space="preserve"> </w:t>
      </w:r>
      <w:r>
        <w:t>staffing</w:t>
      </w:r>
      <w:r w:rsidR="006C6F09">
        <w:t xml:space="preserve"> </w:t>
      </w:r>
      <w:r>
        <w:t>plan</w:t>
      </w:r>
      <w:r w:rsidR="006C6F09">
        <w:t xml:space="preserve"> </w:t>
      </w:r>
      <w:r>
        <w:t>for</w:t>
      </w:r>
      <w:r w:rsidR="006C6F09">
        <w:t xml:space="preserve"> </w:t>
      </w:r>
      <w:r>
        <w:t>the</w:t>
      </w:r>
      <w:r w:rsidR="006C6F09">
        <w:t xml:space="preserve"> </w:t>
      </w:r>
      <w:r>
        <w:t>in-person</w:t>
      </w:r>
      <w:r w:rsidR="006C6F09">
        <w:t xml:space="preserve"> </w:t>
      </w:r>
      <w:r>
        <w:t>option,</w:t>
      </w:r>
      <w:r w:rsidR="006C6F09">
        <w:t xml:space="preserve"> </w:t>
      </w:r>
      <w:r>
        <w:t>including</w:t>
      </w:r>
      <w:r w:rsidR="006C6F09">
        <w:t xml:space="preserve"> </w:t>
      </w:r>
      <w:r>
        <w:t>staff</w:t>
      </w:r>
      <w:r w:rsidR="006C6F09">
        <w:t xml:space="preserve"> </w:t>
      </w:r>
      <w:r>
        <w:t>who</w:t>
      </w:r>
      <w:r w:rsidR="006C6F09">
        <w:t xml:space="preserve"> </w:t>
      </w:r>
      <w:r>
        <w:t>would</w:t>
      </w:r>
      <w:r w:rsidR="006C6F09">
        <w:t xml:space="preserve"> </w:t>
      </w:r>
      <w:r>
        <w:t>be</w:t>
      </w:r>
      <w:r w:rsidR="006C6F09">
        <w:t xml:space="preserve"> </w:t>
      </w:r>
      <w:r>
        <w:t>assigned</w:t>
      </w:r>
      <w:r w:rsidR="006C6F09">
        <w:t xml:space="preserve"> </w:t>
      </w:r>
      <w:r>
        <w:t>as</w:t>
      </w:r>
      <w:r w:rsidR="006C6F09">
        <w:t xml:space="preserve"> </w:t>
      </w:r>
      <w:r>
        <w:t>back-up</w:t>
      </w:r>
      <w:r w:rsidR="006C6F09">
        <w:t xml:space="preserve"> </w:t>
      </w:r>
      <w:r>
        <w:t>in</w:t>
      </w:r>
      <w:r w:rsidR="006C6F09">
        <w:t xml:space="preserve"> </w:t>
      </w:r>
      <w:r>
        <w:t>case</w:t>
      </w:r>
      <w:r w:rsidR="006C6F09">
        <w:t xml:space="preserve"> </w:t>
      </w:r>
      <w:r>
        <w:t>the</w:t>
      </w:r>
      <w:r w:rsidR="006C6F09">
        <w:t xml:space="preserve"> </w:t>
      </w:r>
      <w:r>
        <w:t>original</w:t>
      </w:r>
      <w:r w:rsidR="006C6F09">
        <w:t xml:space="preserve"> </w:t>
      </w:r>
      <w:r>
        <w:t>staff</w:t>
      </w:r>
      <w:r w:rsidR="006C6F09">
        <w:t xml:space="preserve"> </w:t>
      </w:r>
      <w:r>
        <w:t>member</w:t>
      </w:r>
      <w:r w:rsidR="006C6F09">
        <w:t xml:space="preserve"> </w:t>
      </w:r>
      <w:r>
        <w:t>cannot</w:t>
      </w:r>
      <w:r w:rsidR="006C6F09">
        <w:t xml:space="preserve"> </w:t>
      </w:r>
      <w:r>
        <w:t>attend.</w:t>
      </w:r>
      <w:r w:rsidR="006C6F09">
        <w:t xml:space="preserve"> </w:t>
      </w:r>
      <w:r>
        <w:t>This</w:t>
      </w:r>
      <w:r w:rsidR="006C6F09">
        <w:t xml:space="preserve"> </w:t>
      </w:r>
      <w:r>
        <w:t>would</w:t>
      </w:r>
      <w:r w:rsidR="006C6F09">
        <w:t xml:space="preserve"> </w:t>
      </w:r>
      <w:r>
        <w:t>include</w:t>
      </w:r>
      <w:r w:rsidR="006C6F09">
        <w:t xml:space="preserve"> </w:t>
      </w:r>
      <w:r>
        <w:t>staff</w:t>
      </w:r>
      <w:r w:rsidR="006C6F09">
        <w:t xml:space="preserve"> </w:t>
      </w:r>
      <w:r>
        <w:t>and</w:t>
      </w:r>
      <w:r w:rsidR="006C6F09">
        <w:t xml:space="preserve"> </w:t>
      </w:r>
      <w:r>
        <w:t>consultants</w:t>
      </w:r>
      <w:r w:rsidR="006C6F09">
        <w:t xml:space="preserve"> </w:t>
      </w:r>
      <w:r>
        <w:t>who</w:t>
      </w:r>
      <w:r w:rsidR="006C6F09">
        <w:t xml:space="preserve"> </w:t>
      </w:r>
      <w:r>
        <w:t>will</w:t>
      </w:r>
      <w:r w:rsidR="006C6F09">
        <w:t xml:space="preserve"> </w:t>
      </w:r>
      <w:r>
        <w:t>be</w:t>
      </w:r>
      <w:r w:rsidR="006C6F09">
        <w:t xml:space="preserve"> </w:t>
      </w:r>
      <w:r>
        <w:t>in</w:t>
      </w:r>
      <w:r w:rsidR="006C6F09">
        <w:t xml:space="preserve"> </w:t>
      </w:r>
      <w:r>
        <w:t>attendance</w:t>
      </w:r>
      <w:r w:rsidR="006C6F09">
        <w:t xml:space="preserve"> </w:t>
      </w:r>
      <w:r>
        <w:t>to</w:t>
      </w:r>
      <w:r w:rsidR="006C6F09">
        <w:t xml:space="preserve"> </w:t>
      </w:r>
      <w:r>
        <w:t>answer</w:t>
      </w:r>
      <w:r w:rsidR="006C6F09">
        <w:t xml:space="preserve"> </w:t>
      </w:r>
      <w:r>
        <w:t>questions</w:t>
      </w:r>
      <w:r w:rsidR="006C6F09">
        <w:t xml:space="preserve"> </w:t>
      </w:r>
      <w:r>
        <w:t>and</w:t>
      </w:r>
      <w:r w:rsidR="006C6F09">
        <w:t xml:space="preserve"> </w:t>
      </w:r>
      <w:r>
        <w:t>a</w:t>
      </w:r>
      <w:r w:rsidR="006C6F09">
        <w:t xml:space="preserve"> </w:t>
      </w:r>
      <w:r>
        <w:t>person</w:t>
      </w:r>
      <w:r w:rsidR="006C6F09">
        <w:t xml:space="preserve"> </w:t>
      </w:r>
      <w:r>
        <w:t>who</w:t>
      </w:r>
      <w:r w:rsidR="006C6F09">
        <w:t xml:space="preserve"> </w:t>
      </w:r>
      <w:r>
        <w:t>will</w:t>
      </w:r>
      <w:r w:rsidR="006C6F09">
        <w:t xml:space="preserve"> </w:t>
      </w:r>
      <w:r>
        <w:t>be</w:t>
      </w:r>
      <w:r w:rsidR="006C6F09">
        <w:t xml:space="preserve"> </w:t>
      </w:r>
      <w:r>
        <w:t>leading</w:t>
      </w:r>
      <w:r w:rsidR="006C6F09">
        <w:t xml:space="preserve"> </w:t>
      </w:r>
      <w:r>
        <w:t>the</w:t>
      </w:r>
      <w:r w:rsidR="006C6F09">
        <w:t xml:space="preserve"> </w:t>
      </w:r>
      <w:r>
        <w:t>attendees</w:t>
      </w:r>
      <w:r w:rsidR="006C6F09">
        <w:t xml:space="preserve"> </w:t>
      </w:r>
      <w:r>
        <w:t>to</w:t>
      </w:r>
      <w:r w:rsidR="006C6F09">
        <w:t xml:space="preserve"> </w:t>
      </w:r>
      <w:r>
        <w:t>the</w:t>
      </w:r>
      <w:r w:rsidR="006C6F09">
        <w:t xml:space="preserve"> </w:t>
      </w:r>
      <w:r>
        <w:t>meeting</w:t>
      </w:r>
      <w:r w:rsidR="006C6F09">
        <w:t xml:space="preserve"> </w:t>
      </w:r>
      <w:r>
        <w:t>room.</w:t>
      </w:r>
    </w:p>
    <w:p w14:paraId="14A1AFCF" w14:textId="4B4E67F7" w:rsidR="00457754" w:rsidRDefault="00457754" w:rsidP="00457754">
      <w:pPr>
        <w:spacing w:after="0"/>
      </w:pPr>
      <w:r>
        <w:t>Attendance</w:t>
      </w:r>
      <w:r w:rsidR="006C6F09">
        <w:t xml:space="preserve"> </w:t>
      </w:r>
      <w:r>
        <w:t>by</w:t>
      </w:r>
      <w:r w:rsidR="006C6F09">
        <w:t xml:space="preserve"> </w:t>
      </w:r>
      <w:r>
        <w:t>TxDOT</w:t>
      </w:r>
      <w:r w:rsidR="006C6F09">
        <w:t xml:space="preserve"> </w:t>
      </w:r>
      <w:r>
        <w:t>staff</w:t>
      </w:r>
      <w:r w:rsidR="006C6F09">
        <w:t xml:space="preserve"> </w:t>
      </w:r>
      <w:r>
        <w:t>at</w:t>
      </w:r>
      <w:r w:rsidR="006C6F09">
        <w:t xml:space="preserve"> </w:t>
      </w:r>
      <w:r>
        <w:t>an</w:t>
      </w:r>
      <w:r w:rsidR="006C6F09">
        <w:t xml:space="preserve"> </w:t>
      </w:r>
      <w:r>
        <w:t>in-person</w:t>
      </w:r>
      <w:r w:rsidR="006C6F09">
        <w:t xml:space="preserve"> </w:t>
      </w:r>
      <w:r>
        <w:t>option</w:t>
      </w:r>
      <w:r w:rsidR="006C6F09">
        <w:t xml:space="preserve"> </w:t>
      </w:r>
      <w:r>
        <w:t>held</w:t>
      </w:r>
      <w:r w:rsidR="006C6F09">
        <w:t xml:space="preserve"> </w:t>
      </w:r>
      <w:r>
        <w:t>by</w:t>
      </w:r>
      <w:r w:rsidR="006C6F09">
        <w:t xml:space="preserve"> </w:t>
      </w:r>
      <w:r>
        <w:t>a</w:t>
      </w:r>
      <w:r w:rsidR="006C6F09">
        <w:t xml:space="preserve"> </w:t>
      </w:r>
      <w:r>
        <w:t>local</w:t>
      </w:r>
      <w:r w:rsidR="006C6F09">
        <w:t xml:space="preserve"> </w:t>
      </w:r>
      <w:r>
        <w:t>government</w:t>
      </w:r>
      <w:r w:rsidR="006C6F09">
        <w:t xml:space="preserve"> </w:t>
      </w:r>
      <w:r>
        <w:t>project</w:t>
      </w:r>
      <w:r w:rsidR="006C6F09">
        <w:t xml:space="preserve"> </w:t>
      </w:r>
      <w:r>
        <w:t>sponsor,</w:t>
      </w:r>
      <w:r w:rsidR="006C6F09">
        <w:t xml:space="preserve"> </w:t>
      </w:r>
      <w:r>
        <w:t>although</w:t>
      </w:r>
      <w:r w:rsidR="006C6F09">
        <w:t xml:space="preserve"> </w:t>
      </w:r>
      <w:r>
        <w:t>not</w:t>
      </w:r>
      <w:r w:rsidR="006C6F09">
        <w:t xml:space="preserve"> </w:t>
      </w:r>
      <w:r>
        <w:t>required,</w:t>
      </w:r>
      <w:r w:rsidR="006C6F09">
        <w:t xml:space="preserve"> </w:t>
      </w:r>
      <w:r>
        <w:t>is</w:t>
      </w:r>
      <w:r w:rsidR="006C6F09">
        <w:t xml:space="preserve"> </w:t>
      </w:r>
      <w:r>
        <w:t>recommended</w:t>
      </w:r>
      <w:r w:rsidR="006C6F09">
        <w:t xml:space="preserve"> </w:t>
      </w:r>
      <w:r>
        <w:t>as</w:t>
      </w:r>
      <w:r w:rsidR="006C6F09">
        <w:t xml:space="preserve"> </w:t>
      </w:r>
      <w:r>
        <w:t>another</w:t>
      </w:r>
      <w:r w:rsidR="006C6F09">
        <w:t xml:space="preserve"> </w:t>
      </w:r>
      <w:r>
        <w:t>example</w:t>
      </w:r>
      <w:r w:rsidR="006C6F09">
        <w:t xml:space="preserve"> </w:t>
      </w:r>
      <w:r>
        <w:t>of</w:t>
      </w:r>
      <w:r w:rsidR="006C6F09">
        <w:t xml:space="preserve"> </w:t>
      </w:r>
      <w:r>
        <w:t>TxDOT</w:t>
      </w:r>
      <w:r w:rsidR="006C6F09">
        <w:t xml:space="preserve"> </w:t>
      </w:r>
      <w:r>
        <w:t>doing</w:t>
      </w:r>
      <w:r w:rsidR="006C6F09">
        <w:t xml:space="preserve"> </w:t>
      </w:r>
      <w:r>
        <w:t>more</w:t>
      </w:r>
      <w:r w:rsidR="006C6F09">
        <w:t xml:space="preserve"> </w:t>
      </w:r>
      <w:r>
        <w:t>than</w:t>
      </w:r>
      <w:r w:rsidR="006C6F09">
        <w:t xml:space="preserve"> </w:t>
      </w:r>
      <w:r>
        <w:t>the</w:t>
      </w:r>
      <w:r w:rsidR="006C6F09">
        <w:t xml:space="preserve"> </w:t>
      </w:r>
      <w:r>
        <w:t>minimum.</w:t>
      </w:r>
    </w:p>
    <w:p w14:paraId="19E2599E" w14:textId="3D470F86" w:rsidR="00457754" w:rsidRDefault="00457754" w:rsidP="00457754">
      <w:r>
        <w:t>The</w:t>
      </w:r>
      <w:r w:rsidR="006C6F09">
        <w:t xml:space="preserve"> </w:t>
      </w:r>
      <w:r>
        <w:t>need</w:t>
      </w:r>
      <w:r w:rsidR="006C6F09">
        <w:t xml:space="preserve"> </w:t>
      </w:r>
      <w:r>
        <w:t>for</w:t>
      </w:r>
      <w:r w:rsidR="006C6F09">
        <w:t xml:space="preserve"> </w:t>
      </w:r>
      <w:r>
        <w:t>contracting</w:t>
      </w:r>
      <w:r w:rsidR="006C6F09">
        <w:t xml:space="preserve"> </w:t>
      </w:r>
      <w:r>
        <w:t>for</w:t>
      </w:r>
      <w:r w:rsidR="006C6F09">
        <w:t xml:space="preserve"> </w:t>
      </w:r>
      <w:r>
        <w:t>security</w:t>
      </w:r>
      <w:r w:rsidR="006C6F09">
        <w:t xml:space="preserve"> </w:t>
      </w:r>
      <w:r>
        <w:t>personnel</w:t>
      </w:r>
      <w:r w:rsidR="006C6F09">
        <w:t xml:space="preserve"> </w:t>
      </w:r>
      <w:r>
        <w:t>to</w:t>
      </w:r>
      <w:r w:rsidR="006C6F09">
        <w:t xml:space="preserve"> </w:t>
      </w:r>
      <w:r>
        <w:t>be</w:t>
      </w:r>
      <w:r w:rsidR="006C6F09">
        <w:t xml:space="preserve"> </w:t>
      </w:r>
      <w:r>
        <w:t>present</w:t>
      </w:r>
      <w:r w:rsidR="006C6F09">
        <w:t xml:space="preserve"> </w:t>
      </w:r>
      <w:r>
        <w:t>for</w:t>
      </w:r>
      <w:r w:rsidR="006C6F09">
        <w:t xml:space="preserve"> </w:t>
      </w:r>
      <w:r>
        <w:t>the</w:t>
      </w:r>
      <w:r w:rsidR="006C6F09">
        <w:t xml:space="preserve"> </w:t>
      </w:r>
      <w:r>
        <w:t>in-person</w:t>
      </w:r>
      <w:r w:rsidR="006C6F09">
        <w:t xml:space="preserve"> </w:t>
      </w:r>
      <w:r>
        <w:t>option</w:t>
      </w:r>
      <w:r w:rsidR="006C6F09">
        <w:t xml:space="preserve"> </w:t>
      </w:r>
      <w:r>
        <w:t>should</w:t>
      </w:r>
      <w:r w:rsidR="006C6F09">
        <w:t xml:space="preserve"> </w:t>
      </w:r>
      <w:r>
        <w:t>be</w:t>
      </w:r>
      <w:r w:rsidR="006C6F09">
        <w:t xml:space="preserve"> </w:t>
      </w:r>
      <w:r>
        <w:t>considered,</w:t>
      </w:r>
      <w:r w:rsidR="006C6F09">
        <w:t xml:space="preserve"> </w:t>
      </w:r>
      <w:r>
        <w:t>especially</w:t>
      </w:r>
      <w:r w:rsidR="006C6F09">
        <w:t xml:space="preserve"> </w:t>
      </w:r>
      <w:r>
        <w:t>for</w:t>
      </w:r>
      <w:r w:rsidR="006C6F09">
        <w:t xml:space="preserve"> </w:t>
      </w:r>
      <w:r>
        <w:t>controversial</w:t>
      </w:r>
      <w:r w:rsidR="006C6F09">
        <w:t xml:space="preserve"> </w:t>
      </w:r>
      <w:r>
        <w:t>projects.</w:t>
      </w:r>
    </w:p>
    <w:p w14:paraId="1B94B0F8" w14:textId="5CEE5B2A" w:rsidR="00457754" w:rsidRDefault="00457754" w:rsidP="00457754">
      <w:r>
        <w:t>For</w:t>
      </w:r>
      <w:r w:rsidR="006C6F09">
        <w:t xml:space="preserve"> </w:t>
      </w:r>
      <w:r>
        <w:t>federal</w:t>
      </w:r>
      <w:r w:rsidR="006C6F09">
        <w:t xml:space="preserve"> </w:t>
      </w:r>
      <w:r>
        <w:t>assigned</w:t>
      </w:r>
      <w:r w:rsidR="006C6F09">
        <w:t xml:space="preserve"> </w:t>
      </w:r>
      <w:r>
        <w:t>projects</w:t>
      </w:r>
      <w:r w:rsidR="006C6F09">
        <w:t xml:space="preserve"> </w:t>
      </w:r>
      <w:r>
        <w:t>in</w:t>
      </w:r>
      <w:r w:rsidR="006C6F09">
        <w:t xml:space="preserve"> </w:t>
      </w:r>
      <w:r>
        <w:t>accordance</w:t>
      </w:r>
      <w:r w:rsidR="006C6F09">
        <w:t xml:space="preserve"> </w:t>
      </w:r>
      <w:r>
        <w:t>with</w:t>
      </w:r>
      <w:r w:rsidR="006C6F09">
        <w:t xml:space="preserve"> </w:t>
      </w:r>
      <w:r>
        <w:t>the</w:t>
      </w:r>
      <w:r w:rsidR="006C6F09">
        <w:t xml:space="preserve"> </w:t>
      </w:r>
      <w:r>
        <w:t>Assignment</w:t>
      </w:r>
      <w:r w:rsidR="006C6F09">
        <w:t xml:space="preserve"> </w:t>
      </w:r>
      <w:r>
        <w:t>MOU,</w:t>
      </w:r>
      <w:r w:rsidR="006C6F09">
        <w:t xml:space="preserve"> </w:t>
      </w:r>
      <w:r>
        <w:t>the</w:t>
      </w:r>
      <w:r w:rsidR="006C6F09">
        <w:t xml:space="preserve"> </w:t>
      </w:r>
      <w:r>
        <w:t>following</w:t>
      </w:r>
      <w:r w:rsidR="006C6F09">
        <w:t xml:space="preserve"> </w:t>
      </w:r>
      <w:r>
        <w:t>language</w:t>
      </w:r>
      <w:r w:rsidR="006C6F09">
        <w:t xml:space="preserve"> </w:t>
      </w:r>
      <w:r>
        <w:t>must</w:t>
      </w:r>
      <w:r w:rsidR="006C6F09">
        <w:t xml:space="preserve"> </w:t>
      </w:r>
      <w:r>
        <w:t>be</w:t>
      </w:r>
      <w:r w:rsidR="006C6F09">
        <w:t xml:space="preserve"> </w:t>
      </w:r>
      <w:r>
        <w:t>included</w:t>
      </w:r>
      <w:r w:rsidR="006C6F09">
        <w:t xml:space="preserve"> </w:t>
      </w:r>
      <w:r>
        <w:t>in</w:t>
      </w:r>
      <w:r w:rsidR="006C6F09">
        <w:t xml:space="preserve"> </w:t>
      </w:r>
      <w:r>
        <w:t>the</w:t>
      </w:r>
      <w:r w:rsidR="006C6F09">
        <w:t xml:space="preserve"> </w:t>
      </w:r>
      <w:r>
        <w:t>handout</w:t>
      </w:r>
      <w:r w:rsidR="006C6F09">
        <w:t xml:space="preserve"> </w:t>
      </w:r>
      <w:r>
        <w:t>material,</w:t>
      </w:r>
      <w:r w:rsidR="006C6F09">
        <w:t xml:space="preserve"> </w:t>
      </w:r>
      <w:r>
        <w:t>on</w:t>
      </w:r>
      <w:r w:rsidR="006C6F09">
        <w:t xml:space="preserve"> </w:t>
      </w:r>
      <w:r>
        <w:t>a</w:t>
      </w:r>
      <w:r w:rsidR="006C6F09">
        <w:t xml:space="preserve"> </w:t>
      </w:r>
      <w:r>
        <w:t>display</w:t>
      </w:r>
      <w:r w:rsidR="006C6F09">
        <w:t xml:space="preserve"> </w:t>
      </w:r>
      <w:r>
        <w:t>board,</w:t>
      </w:r>
      <w:r w:rsidR="006C6F09">
        <w:t xml:space="preserve"> </w:t>
      </w:r>
      <w:r>
        <w:t>or</w:t>
      </w:r>
      <w:r w:rsidR="006C6F09">
        <w:t xml:space="preserve"> </w:t>
      </w:r>
      <w:r>
        <w:t>in</w:t>
      </w:r>
      <w:r w:rsidR="006C6F09">
        <w:t xml:space="preserve"> </w:t>
      </w:r>
      <w:r>
        <w:t>the</w:t>
      </w:r>
      <w:r w:rsidR="006C6F09">
        <w:t xml:space="preserve"> </w:t>
      </w:r>
      <w:r>
        <w:t>presentation</w:t>
      </w:r>
      <w:r w:rsidR="006C6F09">
        <w:t xml:space="preserve"> </w:t>
      </w:r>
      <w:r>
        <w:t>at</w:t>
      </w:r>
      <w:r w:rsidR="006C6F09">
        <w:t xml:space="preserve"> </w:t>
      </w:r>
      <w:r>
        <w:t>the</w:t>
      </w:r>
      <w:r w:rsidR="006C6F09">
        <w:t xml:space="preserve"> </w:t>
      </w:r>
      <w:r>
        <w:t>in-person</w:t>
      </w:r>
      <w:r w:rsidR="006C6F09">
        <w:t xml:space="preserve"> </w:t>
      </w:r>
      <w:r>
        <w:t>option.</w:t>
      </w:r>
      <w:r w:rsidR="006C6F09">
        <w:t xml:space="preserve"> </w:t>
      </w:r>
    </w:p>
    <w:p w14:paraId="3255DC85" w14:textId="7F9C3054" w:rsidR="00457754" w:rsidRPr="000A7A3E" w:rsidRDefault="00457754" w:rsidP="00457754">
      <w:pPr>
        <w:rPr>
          <w:i/>
          <w:iCs/>
        </w:rPr>
      </w:pPr>
      <w:r w:rsidRPr="000A7A3E">
        <w:rPr>
          <w:i/>
          <w:iCs/>
        </w:rPr>
        <w:t>The</w:t>
      </w:r>
      <w:r w:rsidR="006C6F09">
        <w:rPr>
          <w:i/>
          <w:iCs/>
        </w:rPr>
        <w:t xml:space="preserve"> </w:t>
      </w:r>
      <w:r w:rsidRPr="000A7A3E">
        <w:rPr>
          <w:i/>
          <w:iCs/>
        </w:rPr>
        <w:t>environmental</w:t>
      </w:r>
      <w:r w:rsidR="006C6F09">
        <w:rPr>
          <w:i/>
          <w:iCs/>
        </w:rPr>
        <w:t xml:space="preserve"> </w:t>
      </w:r>
      <w:r w:rsidRPr="000A7A3E">
        <w:rPr>
          <w:i/>
          <w:iCs/>
        </w:rPr>
        <w:t>review,</w:t>
      </w:r>
      <w:r w:rsidR="006C6F09">
        <w:rPr>
          <w:i/>
          <w:iCs/>
        </w:rPr>
        <w:t xml:space="preserve"> </w:t>
      </w:r>
      <w:r w:rsidRPr="000A7A3E">
        <w:rPr>
          <w:i/>
          <w:iCs/>
        </w:rPr>
        <w:t>consultation,</w:t>
      </w:r>
      <w:r w:rsidR="006C6F09">
        <w:rPr>
          <w:i/>
          <w:iCs/>
        </w:rPr>
        <w:t xml:space="preserve"> </w:t>
      </w:r>
      <w:r w:rsidRPr="000A7A3E">
        <w:rPr>
          <w:i/>
          <w:iCs/>
        </w:rPr>
        <w:t>and</w:t>
      </w:r>
      <w:r w:rsidR="006C6F09">
        <w:rPr>
          <w:i/>
          <w:iCs/>
        </w:rPr>
        <w:t xml:space="preserve"> </w:t>
      </w:r>
      <w:r w:rsidRPr="000A7A3E">
        <w:rPr>
          <w:i/>
          <w:iCs/>
        </w:rPr>
        <w:t>other</w:t>
      </w:r>
      <w:r w:rsidR="006C6F09">
        <w:rPr>
          <w:i/>
          <w:iCs/>
        </w:rPr>
        <w:t xml:space="preserve"> </w:t>
      </w:r>
      <w:r w:rsidRPr="000A7A3E">
        <w:rPr>
          <w:i/>
          <w:iCs/>
        </w:rPr>
        <w:t>actions</w:t>
      </w:r>
      <w:r w:rsidR="006C6F09">
        <w:rPr>
          <w:i/>
          <w:iCs/>
        </w:rPr>
        <w:t xml:space="preserve"> </w:t>
      </w:r>
      <w:r w:rsidRPr="000A7A3E">
        <w:rPr>
          <w:i/>
          <w:iCs/>
        </w:rPr>
        <w:t>required</w:t>
      </w:r>
      <w:r w:rsidR="006C6F09">
        <w:rPr>
          <w:i/>
          <w:iCs/>
        </w:rPr>
        <w:t xml:space="preserve"> </w:t>
      </w:r>
      <w:r w:rsidRPr="000A7A3E">
        <w:rPr>
          <w:i/>
          <w:iCs/>
        </w:rPr>
        <w:t>by</w:t>
      </w:r>
      <w:r w:rsidR="006C6F09">
        <w:rPr>
          <w:i/>
          <w:iCs/>
        </w:rPr>
        <w:t xml:space="preserve"> </w:t>
      </w:r>
      <w:r w:rsidRPr="000A7A3E">
        <w:rPr>
          <w:i/>
          <w:iCs/>
        </w:rPr>
        <w:t>applicable</w:t>
      </w:r>
      <w:r w:rsidR="006C6F09">
        <w:rPr>
          <w:i/>
          <w:iCs/>
        </w:rPr>
        <w:t xml:space="preserve"> </w:t>
      </w:r>
      <w:r w:rsidRPr="000A7A3E">
        <w:rPr>
          <w:i/>
          <w:iCs/>
        </w:rPr>
        <w:t>Federal</w:t>
      </w:r>
      <w:r w:rsidR="006C6F09">
        <w:rPr>
          <w:i/>
          <w:iCs/>
        </w:rPr>
        <w:t xml:space="preserve"> </w:t>
      </w:r>
      <w:r w:rsidRPr="000A7A3E">
        <w:rPr>
          <w:i/>
          <w:iCs/>
        </w:rPr>
        <w:t>environmental</w:t>
      </w:r>
      <w:r w:rsidR="006C6F09">
        <w:rPr>
          <w:i/>
          <w:iCs/>
        </w:rPr>
        <w:t xml:space="preserve"> </w:t>
      </w:r>
      <w:r w:rsidRPr="000A7A3E">
        <w:rPr>
          <w:i/>
          <w:iCs/>
        </w:rPr>
        <w:t>laws</w:t>
      </w:r>
      <w:r w:rsidR="006C6F09">
        <w:rPr>
          <w:i/>
          <w:iCs/>
        </w:rPr>
        <w:t xml:space="preserve"> </w:t>
      </w:r>
      <w:r w:rsidRPr="000A7A3E">
        <w:rPr>
          <w:i/>
          <w:iCs/>
        </w:rPr>
        <w:t>for</w:t>
      </w:r>
      <w:r w:rsidR="006C6F09">
        <w:rPr>
          <w:i/>
          <w:iCs/>
        </w:rPr>
        <w:t xml:space="preserve"> </w:t>
      </w:r>
      <w:r w:rsidRPr="000A7A3E">
        <w:rPr>
          <w:i/>
          <w:iCs/>
        </w:rPr>
        <w:t>this</w:t>
      </w:r>
      <w:r w:rsidR="006C6F09">
        <w:rPr>
          <w:i/>
          <w:iCs/>
        </w:rPr>
        <w:t xml:space="preserve"> </w:t>
      </w:r>
      <w:r w:rsidRPr="000A7A3E">
        <w:rPr>
          <w:i/>
          <w:iCs/>
        </w:rPr>
        <w:t>project</w:t>
      </w:r>
      <w:r w:rsidR="006C6F09">
        <w:rPr>
          <w:i/>
          <w:iCs/>
        </w:rPr>
        <w:t xml:space="preserve"> </w:t>
      </w:r>
      <w:r w:rsidRPr="000A7A3E">
        <w:rPr>
          <w:i/>
          <w:iCs/>
        </w:rPr>
        <w:t>are</w:t>
      </w:r>
      <w:r w:rsidR="006C6F09">
        <w:rPr>
          <w:i/>
          <w:iCs/>
        </w:rPr>
        <w:t xml:space="preserve"> </w:t>
      </w:r>
      <w:r w:rsidRPr="000A7A3E">
        <w:rPr>
          <w:i/>
          <w:iCs/>
        </w:rPr>
        <w:t>being,</w:t>
      </w:r>
      <w:r w:rsidR="006C6F09">
        <w:rPr>
          <w:i/>
          <w:iCs/>
        </w:rPr>
        <w:t xml:space="preserve"> </w:t>
      </w:r>
      <w:r w:rsidRPr="000A7A3E">
        <w:rPr>
          <w:i/>
          <w:iCs/>
        </w:rPr>
        <w:t>or</w:t>
      </w:r>
      <w:r w:rsidR="006C6F09">
        <w:rPr>
          <w:i/>
          <w:iCs/>
        </w:rPr>
        <w:t xml:space="preserve"> </w:t>
      </w:r>
      <w:r w:rsidRPr="000A7A3E">
        <w:rPr>
          <w:i/>
          <w:iCs/>
        </w:rPr>
        <w:t>have</w:t>
      </w:r>
      <w:r w:rsidR="006C6F09">
        <w:rPr>
          <w:i/>
          <w:iCs/>
        </w:rPr>
        <w:t xml:space="preserve"> </w:t>
      </w:r>
      <w:r w:rsidRPr="000A7A3E">
        <w:rPr>
          <w:i/>
          <w:iCs/>
        </w:rPr>
        <w:t>been,</w:t>
      </w:r>
      <w:r w:rsidR="006C6F09">
        <w:rPr>
          <w:i/>
          <w:iCs/>
        </w:rPr>
        <w:t xml:space="preserve"> </w:t>
      </w:r>
      <w:r w:rsidR="005150D0" w:rsidRPr="000A7A3E">
        <w:rPr>
          <w:i/>
          <w:iCs/>
        </w:rPr>
        <w:t>carried</w:t>
      </w:r>
      <w:r w:rsidR="005150D0">
        <w:rPr>
          <w:i/>
          <w:iCs/>
        </w:rPr>
        <w:t xml:space="preserve"> out</w:t>
      </w:r>
      <w:r w:rsidR="006C6F09">
        <w:rPr>
          <w:i/>
          <w:iCs/>
        </w:rPr>
        <w:t xml:space="preserve"> </w:t>
      </w:r>
      <w:r w:rsidRPr="000A7A3E">
        <w:rPr>
          <w:i/>
          <w:iCs/>
        </w:rPr>
        <w:t>by</w:t>
      </w:r>
      <w:r w:rsidR="006C6F09">
        <w:rPr>
          <w:i/>
          <w:iCs/>
        </w:rPr>
        <w:t xml:space="preserve"> </w:t>
      </w:r>
      <w:r w:rsidRPr="000A7A3E">
        <w:rPr>
          <w:i/>
          <w:iCs/>
        </w:rPr>
        <w:t>TxDOT</w:t>
      </w:r>
      <w:r w:rsidR="006C6F09">
        <w:rPr>
          <w:i/>
          <w:iCs/>
        </w:rPr>
        <w:t xml:space="preserve"> </w:t>
      </w:r>
      <w:r w:rsidRPr="000A7A3E">
        <w:rPr>
          <w:i/>
          <w:iCs/>
        </w:rPr>
        <w:t>pursuant</w:t>
      </w:r>
      <w:r w:rsidR="006C6F09">
        <w:rPr>
          <w:i/>
          <w:iCs/>
        </w:rPr>
        <w:t xml:space="preserve"> </w:t>
      </w:r>
      <w:r w:rsidRPr="000A7A3E">
        <w:rPr>
          <w:i/>
          <w:iCs/>
        </w:rPr>
        <w:t>to</w:t>
      </w:r>
      <w:r w:rsidR="006C6F09">
        <w:rPr>
          <w:i/>
          <w:iCs/>
        </w:rPr>
        <w:t xml:space="preserve"> </w:t>
      </w:r>
      <w:r w:rsidRPr="000A7A3E">
        <w:rPr>
          <w:i/>
          <w:iCs/>
        </w:rPr>
        <w:t>23</w:t>
      </w:r>
      <w:r w:rsidR="006C6F09">
        <w:rPr>
          <w:i/>
          <w:iCs/>
        </w:rPr>
        <w:t xml:space="preserve"> </w:t>
      </w:r>
      <w:r w:rsidRPr="000A7A3E">
        <w:rPr>
          <w:i/>
          <w:iCs/>
        </w:rPr>
        <w:t>U.S.C.</w:t>
      </w:r>
      <w:r w:rsidR="006C6F09">
        <w:rPr>
          <w:i/>
          <w:iCs/>
        </w:rPr>
        <w:t xml:space="preserve"> </w:t>
      </w:r>
      <w:r w:rsidRPr="000A7A3E">
        <w:rPr>
          <w:i/>
          <w:iCs/>
        </w:rPr>
        <w:t>327</w:t>
      </w:r>
      <w:r w:rsidR="006C6F09">
        <w:rPr>
          <w:i/>
          <w:iCs/>
        </w:rPr>
        <w:t xml:space="preserve"> </w:t>
      </w:r>
      <w:r w:rsidRPr="000A7A3E">
        <w:rPr>
          <w:i/>
          <w:iCs/>
        </w:rPr>
        <w:t>and</w:t>
      </w:r>
      <w:r w:rsidR="006C6F09">
        <w:rPr>
          <w:i/>
          <w:iCs/>
        </w:rPr>
        <w:t xml:space="preserve"> </w:t>
      </w:r>
      <w:r w:rsidRPr="000A7A3E">
        <w:rPr>
          <w:i/>
          <w:iCs/>
        </w:rPr>
        <w:t>a</w:t>
      </w:r>
      <w:r w:rsidR="006C6F09">
        <w:rPr>
          <w:i/>
          <w:iCs/>
        </w:rPr>
        <w:t xml:space="preserve"> </w:t>
      </w:r>
      <w:r w:rsidRPr="000A7A3E">
        <w:rPr>
          <w:i/>
          <w:iCs/>
        </w:rPr>
        <w:t>Memorandum</w:t>
      </w:r>
      <w:r w:rsidR="006C6F09">
        <w:rPr>
          <w:i/>
          <w:iCs/>
        </w:rPr>
        <w:t xml:space="preserve"> </w:t>
      </w:r>
      <w:r w:rsidRPr="000A7A3E">
        <w:rPr>
          <w:i/>
          <w:iCs/>
        </w:rPr>
        <w:t>of</w:t>
      </w:r>
      <w:r w:rsidR="006C6F09">
        <w:rPr>
          <w:i/>
          <w:iCs/>
        </w:rPr>
        <w:t xml:space="preserve"> </w:t>
      </w:r>
      <w:r w:rsidRPr="000A7A3E">
        <w:rPr>
          <w:i/>
          <w:iCs/>
        </w:rPr>
        <w:t>Understanding</w:t>
      </w:r>
      <w:r w:rsidR="006C6F09">
        <w:rPr>
          <w:i/>
          <w:iCs/>
        </w:rPr>
        <w:t xml:space="preserve"> </w:t>
      </w:r>
      <w:r w:rsidRPr="000A7A3E">
        <w:rPr>
          <w:i/>
          <w:iCs/>
        </w:rPr>
        <w:t>dated</w:t>
      </w:r>
      <w:r w:rsidR="006C6F09">
        <w:rPr>
          <w:i/>
          <w:iCs/>
        </w:rPr>
        <w:t xml:space="preserve"> </w:t>
      </w:r>
      <w:r w:rsidRPr="000A7A3E">
        <w:rPr>
          <w:i/>
          <w:iCs/>
        </w:rPr>
        <w:t>July</w:t>
      </w:r>
      <w:r w:rsidR="006C6F09">
        <w:rPr>
          <w:i/>
          <w:iCs/>
        </w:rPr>
        <w:t xml:space="preserve"> </w:t>
      </w:r>
      <w:r w:rsidRPr="000A7A3E">
        <w:rPr>
          <w:i/>
          <w:iCs/>
        </w:rPr>
        <w:t>17,</w:t>
      </w:r>
      <w:r w:rsidR="006C6F09">
        <w:rPr>
          <w:i/>
          <w:iCs/>
        </w:rPr>
        <w:t xml:space="preserve"> </w:t>
      </w:r>
      <w:r w:rsidRPr="000A7A3E">
        <w:rPr>
          <w:i/>
          <w:iCs/>
        </w:rPr>
        <w:t>2025,</w:t>
      </w:r>
      <w:r w:rsidR="006C6F09">
        <w:rPr>
          <w:i/>
          <w:iCs/>
        </w:rPr>
        <w:t xml:space="preserve"> </w:t>
      </w:r>
      <w:r w:rsidRPr="000A7A3E">
        <w:rPr>
          <w:i/>
          <w:iCs/>
        </w:rPr>
        <w:t>and</w:t>
      </w:r>
      <w:r w:rsidR="006C6F09">
        <w:rPr>
          <w:i/>
          <w:iCs/>
        </w:rPr>
        <w:t xml:space="preserve"> </w:t>
      </w:r>
      <w:r w:rsidRPr="000A7A3E">
        <w:rPr>
          <w:i/>
          <w:iCs/>
        </w:rPr>
        <w:t>executed</w:t>
      </w:r>
      <w:r w:rsidR="006C6F09">
        <w:rPr>
          <w:i/>
          <w:iCs/>
        </w:rPr>
        <w:t xml:space="preserve"> </w:t>
      </w:r>
      <w:r w:rsidRPr="000A7A3E">
        <w:rPr>
          <w:i/>
          <w:iCs/>
        </w:rPr>
        <w:t>by</w:t>
      </w:r>
      <w:r w:rsidR="006C6F09">
        <w:rPr>
          <w:i/>
          <w:iCs/>
        </w:rPr>
        <w:t xml:space="preserve"> </w:t>
      </w:r>
      <w:r w:rsidRPr="000A7A3E">
        <w:rPr>
          <w:i/>
          <w:iCs/>
        </w:rPr>
        <w:t>FHWA</w:t>
      </w:r>
      <w:r w:rsidR="006C6F09">
        <w:rPr>
          <w:i/>
          <w:iCs/>
        </w:rPr>
        <w:t xml:space="preserve"> </w:t>
      </w:r>
      <w:r w:rsidRPr="000A7A3E">
        <w:rPr>
          <w:i/>
          <w:iCs/>
        </w:rPr>
        <w:t>and</w:t>
      </w:r>
      <w:r w:rsidR="006C6F09">
        <w:rPr>
          <w:i/>
          <w:iCs/>
        </w:rPr>
        <w:t xml:space="preserve"> </w:t>
      </w:r>
      <w:r w:rsidRPr="000A7A3E">
        <w:rPr>
          <w:i/>
          <w:iCs/>
        </w:rPr>
        <w:t>TxDOT.</w:t>
      </w:r>
      <w:r w:rsidR="006C6F09">
        <w:rPr>
          <w:i/>
          <w:iCs/>
        </w:rPr>
        <w:t xml:space="preserve"> </w:t>
      </w:r>
    </w:p>
    <w:p w14:paraId="22F9A1EA" w14:textId="2EEA6DA8" w:rsidR="00457754" w:rsidRDefault="00457754" w:rsidP="00457754">
      <w:r>
        <w:lastRenderedPageBreak/>
        <w:t>The</w:t>
      </w:r>
      <w:r w:rsidR="006C6F09">
        <w:t xml:space="preserve"> </w:t>
      </w:r>
      <w:r>
        <w:t>in-person</w:t>
      </w:r>
      <w:r w:rsidR="006C6F09">
        <w:t xml:space="preserve"> </w:t>
      </w:r>
      <w:r>
        <w:t>option</w:t>
      </w:r>
      <w:r w:rsidR="006C6F09">
        <w:t xml:space="preserve"> </w:t>
      </w:r>
      <w:r>
        <w:t>may</w:t>
      </w:r>
      <w:r w:rsidR="006C6F09">
        <w:t xml:space="preserve"> </w:t>
      </w:r>
      <w:r>
        <w:t>be</w:t>
      </w:r>
      <w:r w:rsidR="006C6F09">
        <w:t xml:space="preserve"> </w:t>
      </w:r>
      <w:r>
        <w:t>held</w:t>
      </w:r>
      <w:r w:rsidR="006C6F09">
        <w:t xml:space="preserve"> </w:t>
      </w:r>
      <w:r>
        <w:t>as</w:t>
      </w:r>
      <w:r w:rsidR="006C6F09">
        <w:t xml:space="preserve"> </w:t>
      </w:r>
      <w:r>
        <w:t>either</w:t>
      </w:r>
      <w:r w:rsidR="006C6F09">
        <w:t xml:space="preserve"> </w:t>
      </w:r>
      <w:r>
        <w:t>an</w:t>
      </w:r>
      <w:r w:rsidR="006C6F09">
        <w:t xml:space="preserve"> </w:t>
      </w:r>
      <w:r>
        <w:t>open</w:t>
      </w:r>
      <w:r w:rsidR="006C6F09">
        <w:t xml:space="preserve"> </w:t>
      </w:r>
      <w:r>
        <w:t>house</w:t>
      </w:r>
      <w:r w:rsidR="006C6F09">
        <w:t xml:space="preserve"> </w:t>
      </w:r>
      <w:r>
        <w:t>or</w:t>
      </w:r>
      <w:r w:rsidR="006C6F09">
        <w:t xml:space="preserve"> </w:t>
      </w:r>
      <w:r>
        <w:t>a</w:t>
      </w:r>
      <w:r w:rsidR="006C6F09">
        <w:t xml:space="preserve"> </w:t>
      </w:r>
      <w:r>
        <w:t>traditional</w:t>
      </w:r>
      <w:r w:rsidR="006C6F09">
        <w:t xml:space="preserve"> </w:t>
      </w:r>
      <w:r>
        <w:t>public</w:t>
      </w:r>
      <w:r w:rsidR="006C6F09">
        <w:t xml:space="preserve"> </w:t>
      </w:r>
      <w:r>
        <w:t>meeting</w:t>
      </w:r>
      <w:r w:rsidR="006C6F09">
        <w:t xml:space="preserve"> </w:t>
      </w:r>
      <w:r>
        <w:t>with</w:t>
      </w:r>
      <w:r w:rsidR="006C6F09">
        <w:t xml:space="preserve"> </w:t>
      </w:r>
      <w:r>
        <w:t>a</w:t>
      </w:r>
      <w:r w:rsidR="006C6F09">
        <w:t xml:space="preserve"> </w:t>
      </w:r>
      <w:r>
        <w:t>formal</w:t>
      </w:r>
      <w:r w:rsidR="006C6F09">
        <w:t xml:space="preserve"> </w:t>
      </w:r>
      <w:r>
        <w:t>presentation</w:t>
      </w:r>
      <w:r w:rsidR="006C6F09">
        <w:t xml:space="preserve"> </w:t>
      </w:r>
      <w:r>
        <w:t>by</w:t>
      </w:r>
      <w:r w:rsidR="006C6F09">
        <w:t xml:space="preserve"> </w:t>
      </w:r>
      <w:r>
        <w:t>a</w:t>
      </w:r>
      <w:r w:rsidR="006C6F09">
        <w:t xml:space="preserve"> </w:t>
      </w:r>
      <w:r>
        <w:t>speaker.</w:t>
      </w:r>
      <w:r w:rsidR="006C6F09">
        <w:t xml:space="preserve"> </w:t>
      </w:r>
      <w:r>
        <w:t>See</w:t>
      </w:r>
      <w:r w:rsidR="006C6F09">
        <w:t xml:space="preserve"> </w:t>
      </w:r>
      <w:r>
        <w:t>below</w:t>
      </w:r>
      <w:r w:rsidR="006C6F09">
        <w:t xml:space="preserve"> </w:t>
      </w:r>
      <w:r>
        <w:t>for</w:t>
      </w:r>
      <w:r w:rsidR="006C6F09">
        <w:t xml:space="preserve"> </w:t>
      </w:r>
      <w:r>
        <w:t>further</w:t>
      </w:r>
      <w:r w:rsidR="006C6F09">
        <w:t xml:space="preserve"> </w:t>
      </w:r>
      <w:r>
        <w:t>information</w:t>
      </w:r>
      <w:r w:rsidR="006C6F09">
        <w:t xml:space="preserve"> </w:t>
      </w:r>
      <w:r>
        <w:t>regarding</w:t>
      </w:r>
      <w:r w:rsidR="006C6F09">
        <w:t xml:space="preserve"> </w:t>
      </w:r>
      <w:r>
        <w:t>these</w:t>
      </w:r>
      <w:r w:rsidR="006C6F09">
        <w:t xml:space="preserve"> </w:t>
      </w:r>
      <w:r>
        <w:t>two</w:t>
      </w:r>
      <w:r w:rsidR="006C6F09">
        <w:t xml:space="preserve"> </w:t>
      </w:r>
      <w:r>
        <w:t>approaches:</w:t>
      </w:r>
      <w:r w:rsidR="00135456">
        <w:t xml:space="preserve"> </w:t>
      </w:r>
    </w:p>
    <w:p w14:paraId="5DC543B1" w14:textId="740F6125" w:rsidR="00457754" w:rsidRPr="00B23AD6" w:rsidRDefault="00457754" w:rsidP="00457754">
      <w:pPr>
        <w:spacing w:after="0"/>
        <w:rPr>
          <w:b/>
          <w:bCs/>
        </w:rPr>
      </w:pPr>
      <w:r w:rsidRPr="00B23AD6">
        <w:rPr>
          <w:b/>
          <w:bCs/>
        </w:rPr>
        <w:t>Holding</w:t>
      </w:r>
      <w:r w:rsidR="006C6F09" w:rsidRPr="00B23AD6">
        <w:rPr>
          <w:b/>
          <w:bCs/>
        </w:rPr>
        <w:t xml:space="preserve"> </w:t>
      </w:r>
      <w:r w:rsidRPr="00B23AD6">
        <w:rPr>
          <w:b/>
          <w:bCs/>
        </w:rPr>
        <w:t>the</w:t>
      </w:r>
      <w:r w:rsidR="006C6F09" w:rsidRPr="00B23AD6">
        <w:rPr>
          <w:b/>
          <w:bCs/>
        </w:rPr>
        <w:t xml:space="preserve"> </w:t>
      </w:r>
      <w:r w:rsidRPr="00B23AD6">
        <w:rPr>
          <w:b/>
          <w:bCs/>
        </w:rPr>
        <w:t>In-Person</w:t>
      </w:r>
      <w:r w:rsidR="006C6F09" w:rsidRPr="00B23AD6">
        <w:rPr>
          <w:b/>
          <w:bCs/>
        </w:rPr>
        <w:t xml:space="preserve"> </w:t>
      </w:r>
      <w:r w:rsidRPr="00B23AD6">
        <w:rPr>
          <w:b/>
          <w:bCs/>
        </w:rPr>
        <w:t>Option</w:t>
      </w:r>
      <w:r w:rsidR="006C6F09" w:rsidRPr="00B23AD6">
        <w:rPr>
          <w:b/>
          <w:bCs/>
        </w:rPr>
        <w:t xml:space="preserve"> </w:t>
      </w:r>
      <w:r w:rsidRPr="00B23AD6">
        <w:rPr>
          <w:b/>
          <w:bCs/>
        </w:rPr>
        <w:t>in</w:t>
      </w:r>
      <w:r w:rsidR="006C6F09" w:rsidRPr="00B23AD6">
        <w:rPr>
          <w:b/>
          <w:bCs/>
        </w:rPr>
        <w:t xml:space="preserve"> </w:t>
      </w:r>
      <w:r w:rsidRPr="00B23AD6">
        <w:rPr>
          <w:b/>
          <w:bCs/>
        </w:rPr>
        <w:t>an</w:t>
      </w:r>
      <w:r w:rsidR="006C6F09" w:rsidRPr="00B23AD6">
        <w:rPr>
          <w:b/>
          <w:bCs/>
        </w:rPr>
        <w:t xml:space="preserve"> </w:t>
      </w:r>
      <w:r w:rsidRPr="00B23AD6">
        <w:rPr>
          <w:b/>
          <w:bCs/>
        </w:rPr>
        <w:t>Open</w:t>
      </w:r>
      <w:r w:rsidR="006C6F09" w:rsidRPr="00B23AD6">
        <w:rPr>
          <w:b/>
          <w:bCs/>
        </w:rPr>
        <w:t xml:space="preserve"> </w:t>
      </w:r>
      <w:r w:rsidRPr="00B23AD6">
        <w:rPr>
          <w:b/>
          <w:bCs/>
        </w:rPr>
        <w:t>House</w:t>
      </w:r>
      <w:r w:rsidR="006C6F09" w:rsidRPr="00B23AD6">
        <w:rPr>
          <w:b/>
          <w:bCs/>
        </w:rPr>
        <w:t xml:space="preserve"> </w:t>
      </w:r>
      <w:r w:rsidRPr="00B23AD6">
        <w:rPr>
          <w:b/>
          <w:bCs/>
        </w:rPr>
        <w:t>Format</w:t>
      </w:r>
    </w:p>
    <w:p w14:paraId="73C2CFE7" w14:textId="577A88ED" w:rsidR="00457754" w:rsidRDefault="00457754" w:rsidP="00457754">
      <w:pPr>
        <w:spacing w:after="0"/>
      </w:pPr>
      <w:r>
        <w:t>An</w:t>
      </w:r>
      <w:r w:rsidR="006C6F09">
        <w:t xml:space="preserve"> </w:t>
      </w:r>
      <w:r>
        <w:t>open</w:t>
      </w:r>
      <w:r w:rsidR="006C6F09">
        <w:t xml:space="preserve"> </w:t>
      </w:r>
      <w:r>
        <w:t>house</w:t>
      </w:r>
      <w:r w:rsidR="006C6F09">
        <w:t xml:space="preserve"> </w:t>
      </w:r>
      <w:r>
        <w:t>public</w:t>
      </w:r>
      <w:r w:rsidR="006C6F09">
        <w:t xml:space="preserve"> </w:t>
      </w:r>
      <w:r>
        <w:t>meeting</w:t>
      </w:r>
      <w:r w:rsidR="006C6F09">
        <w:t xml:space="preserve"> </w:t>
      </w:r>
      <w:r>
        <w:t>is</w:t>
      </w:r>
      <w:r w:rsidR="006C6F09">
        <w:t xml:space="preserve"> </w:t>
      </w:r>
      <w:r>
        <w:t>less</w:t>
      </w:r>
      <w:r w:rsidR="006C6F09">
        <w:t xml:space="preserve"> </w:t>
      </w:r>
      <w:r>
        <w:t>formal</w:t>
      </w:r>
      <w:r w:rsidR="006C6F09">
        <w:t xml:space="preserve"> </w:t>
      </w:r>
      <w:r>
        <w:t>and</w:t>
      </w:r>
      <w:r w:rsidR="006C6F09">
        <w:t xml:space="preserve"> </w:t>
      </w:r>
      <w:r>
        <w:t>allows</w:t>
      </w:r>
      <w:r w:rsidR="006C6F09">
        <w:t xml:space="preserve"> </w:t>
      </w:r>
      <w:r>
        <w:t>participants</w:t>
      </w:r>
      <w:r w:rsidR="006C6F09">
        <w:t xml:space="preserve"> </w:t>
      </w:r>
      <w:r>
        <w:t>to</w:t>
      </w:r>
      <w:r w:rsidR="006C6F09">
        <w:t xml:space="preserve"> </w:t>
      </w:r>
      <w:r>
        <w:t>come</w:t>
      </w:r>
      <w:r w:rsidR="006C6F09">
        <w:t xml:space="preserve"> </w:t>
      </w:r>
      <w:r>
        <w:t>and</w:t>
      </w:r>
      <w:r w:rsidR="006C6F09">
        <w:t xml:space="preserve"> </w:t>
      </w:r>
      <w:r>
        <w:t>go</w:t>
      </w:r>
      <w:r w:rsidR="006C6F09">
        <w:t xml:space="preserve"> </w:t>
      </w:r>
      <w:r>
        <w:t>at</w:t>
      </w:r>
      <w:r w:rsidR="006C6F09">
        <w:t xml:space="preserve"> </w:t>
      </w:r>
      <w:r>
        <w:t>their</w:t>
      </w:r>
      <w:r w:rsidR="006C6F09">
        <w:t xml:space="preserve"> </w:t>
      </w:r>
      <w:r>
        <w:t>convenience.</w:t>
      </w:r>
      <w:r w:rsidR="006C6F09">
        <w:t xml:space="preserve"> </w:t>
      </w:r>
      <w:r>
        <w:t>Typically,</w:t>
      </w:r>
      <w:r w:rsidR="006C6F09">
        <w:t xml:space="preserve"> </w:t>
      </w:r>
      <w:r>
        <w:t>a</w:t>
      </w:r>
      <w:r w:rsidR="006C6F09">
        <w:t xml:space="preserve"> </w:t>
      </w:r>
      <w:r>
        <w:t>series</w:t>
      </w:r>
      <w:r w:rsidR="006C6F09">
        <w:t xml:space="preserve"> </w:t>
      </w:r>
      <w:r>
        <w:t>of</w:t>
      </w:r>
      <w:r w:rsidR="006C6F09">
        <w:t xml:space="preserve"> </w:t>
      </w:r>
      <w:r>
        <w:t>exhibits</w:t>
      </w:r>
      <w:r w:rsidR="006C6F09">
        <w:t xml:space="preserve"> </w:t>
      </w:r>
      <w:r>
        <w:t>are</w:t>
      </w:r>
      <w:r w:rsidR="006C6F09">
        <w:t xml:space="preserve"> </w:t>
      </w:r>
      <w:r>
        <w:t>staged</w:t>
      </w:r>
      <w:r w:rsidR="006C6F09">
        <w:t xml:space="preserve"> </w:t>
      </w:r>
      <w:r>
        <w:t>in</w:t>
      </w:r>
      <w:r w:rsidR="006C6F09">
        <w:t xml:space="preserve"> </w:t>
      </w:r>
      <w:r>
        <w:t>the</w:t>
      </w:r>
      <w:r w:rsidR="006C6F09">
        <w:t xml:space="preserve"> </w:t>
      </w:r>
      <w:r>
        <w:t>meeting</w:t>
      </w:r>
      <w:r w:rsidR="006C6F09">
        <w:t xml:space="preserve"> </w:t>
      </w:r>
      <w:r>
        <w:t>room,</w:t>
      </w:r>
      <w:r w:rsidR="006C6F09">
        <w:t xml:space="preserve"> </w:t>
      </w:r>
      <w:r>
        <w:t>and</w:t>
      </w:r>
      <w:r w:rsidR="006C6F09">
        <w:t xml:space="preserve"> </w:t>
      </w:r>
      <w:r>
        <w:t>district</w:t>
      </w:r>
      <w:r w:rsidR="006C6F09">
        <w:t xml:space="preserve"> </w:t>
      </w:r>
      <w:r>
        <w:t>and</w:t>
      </w:r>
      <w:r w:rsidR="006C6F09">
        <w:t xml:space="preserve"> </w:t>
      </w:r>
      <w:proofErr w:type="gramStart"/>
      <w:r>
        <w:t>or</w:t>
      </w:r>
      <w:proofErr w:type="gramEnd"/>
      <w:r w:rsidR="006C6F09">
        <w:t xml:space="preserve"> </w:t>
      </w:r>
      <w:r>
        <w:t>project</w:t>
      </w:r>
      <w:r w:rsidR="006C6F09">
        <w:t xml:space="preserve"> </w:t>
      </w:r>
      <w:r>
        <w:t>staff</w:t>
      </w:r>
      <w:r w:rsidR="006C6F09">
        <w:t xml:space="preserve"> </w:t>
      </w:r>
      <w:r>
        <w:t>are</w:t>
      </w:r>
      <w:r w:rsidR="006C6F09">
        <w:t xml:space="preserve"> </w:t>
      </w:r>
      <w:r>
        <w:t>located</w:t>
      </w:r>
      <w:r w:rsidR="006C6F09">
        <w:t xml:space="preserve"> </w:t>
      </w:r>
      <w:r>
        <w:t>at</w:t>
      </w:r>
      <w:r w:rsidR="006C6F09">
        <w:t xml:space="preserve"> </w:t>
      </w:r>
      <w:r>
        <w:t>various</w:t>
      </w:r>
      <w:r w:rsidR="006C6F09">
        <w:t xml:space="preserve"> </w:t>
      </w:r>
      <w:r>
        <w:t>exhibits</w:t>
      </w:r>
      <w:r w:rsidR="006C6F09">
        <w:t xml:space="preserve"> </w:t>
      </w:r>
      <w:r>
        <w:t>to</w:t>
      </w:r>
      <w:r w:rsidR="006C6F09">
        <w:t xml:space="preserve"> </w:t>
      </w:r>
      <w:r>
        <w:t>answer</w:t>
      </w:r>
      <w:r w:rsidR="006C6F09">
        <w:t xml:space="preserve"> </w:t>
      </w:r>
      <w:r>
        <w:t>questions.</w:t>
      </w:r>
      <w:r w:rsidR="006C6F09">
        <w:t xml:space="preserve"> </w:t>
      </w:r>
      <w:r>
        <w:t>Attendees</w:t>
      </w:r>
      <w:r w:rsidR="006C6F09">
        <w:t xml:space="preserve"> </w:t>
      </w:r>
      <w:r>
        <w:t>must</w:t>
      </w:r>
      <w:r w:rsidR="006C6F09">
        <w:t xml:space="preserve"> </w:t>
      </w:r>
      <w:r>
        <w:t>be</w:t>
      </w:r>
      <w:r w:rsidR="006C6F09">
        <w:t xml:space="preserve"> </w:t>
      </w:r>
      <w:r>
        <w:t>able</w:t>
      </w:r>
      <w:r w:rsidR="006C6F09">
        <w:t xml:space="preserve"> </w:t>
      </w:r>
      <w:r>
        <w:t>to</w:t>
      </w:r>
      <w:r w:rsidR="006C6F09">
        <w:t xml:space="preserve"> </w:t>
      </w:r>
      <w:r>
        <w:t>watch</w:t>
      </w:r>
      <w:r w:rsidR="006C6F09">
        <w:t xml:space="preserve"> </w:t>
      </w:r>
      <w:r>
        <w:t>the</w:t>
      </w:r>
      <w:r w:rsidR="006C6F09">
        <w:t xml:space="preserve"> </w:t>
      </w:r>
      <w:r>
        <w:t>virtual</w:t>
      </w:r>
      <w:r w:rsidR="006C6F09">
        <w:t xml:space="preserve"> </w:t>
      </w:r>
      <w:r>
        <w:t>public</w:t>
      </w:r>
      <w:r w:rsidR="006C6F09">
        <w:t xml:space="preserve"> </w:t>
      </w:r>
      <w:r>
        <w:t>meeting</w:t>
      </w:r>
      <w:r w:rsidR="006C6F09">
        <w:t xml:space="preserve"> </w:t>
      </w:r>
      <w:r>
        <w:t>presentation,</w:t>
      </w:r>
      <w:r w:rsidR="006C6F09">
        <w:t xml:space="preserve"> </w:t>
      </w:r>
      <w:r>
        <w:t>which</w:t>
      </w:r>
      <w:r w:rsidR="006C6F09">
        <w:t xml:space="preserve"> </w:t>
      </w:r>
      <w:r>
        <w:t>will</w:t>
      </w:r>
      <w:r w:rsidR="006C6F09">
        <w:t xml:space="preserve"> </w:t>
      </w:r>
      <w:r>
        <w:t>be</w:t>
      </w:r>
      <w:r w:rsidR="006C6F09">
        <w:t xml:space="preserve"> </w:t>
      </w:r>
      <w:r>
        <w:t>playing</w:t>
      </w:r>
      <w:r w:rsidR="006C6F09">
        <w:t xml:space="preserve"> </w:t>
      </w:r>
      <w:r>
        <w:t>on</w:t>
      </w:r>
      <w:r w:rsidR="006C6F09">
        <w:t xml:space="preserve"> </w:t>
      </w:r>
      <w:r>
        <w:t>a</w:t>
      </w:r>
      <w:r w:rsidR="006C6F09">
        <w:t xml:space="preserve"> </w:t>
      </w:r>
      <w:r>
        <w:t>loop</w:t>
      </w:r>
      <w:r w:rsidR="006C6F09">
        <w:t xml:space="preserve"> </w:t>
      </w:r>
      <w:r>
        <w:t>on</w:t>
      </w:r>
      <w:r w:rsidR="006C6F09">
        <w:t xml:space="preserve"> </w:t>
      </w:r>
      <w:r>
        <w:t>a</w:t>
      </w:r>
      <w:r w:rsidR="006C6F09">
        <w:t xml:space="preserve"> </w:t>
      </w:r>
      <w:r>
        <w:t>laptop,</w:t>
      </w:r>
      <w:r w:rsidR="006C6F09">
        <w:t xml:space="preserve"> </w:t>
      </w:r>
      <w:r>
        <w:t>TV,</w:t>
      </w:r>
      <w:r w:rsidR="006C6F09">
        <w:t xml:space="preserve"> </w:t>
      </w:r>
      <w:r>
        <w:t>or</w:t>
      </w:r>
      <w:r w:rsidR="006C6F09">
        <w:t xml:space="preserve"> </w:t>
      </w:r>
      <w:r>
        <w:t>projection</w:t>
      </w:r>
      <w:r w:rsidR="006C6F09">
        <w:t xml:space="preserve"> </w:t>
      </w:r>
      <w:r>
        <w:t>screen.</w:t>
      </w:r>
      <w:r w:rsidR="006C6F09">
        <w:t xml:space="preserve"> </w:t>
      </w:r>
      <w:r>
        <w:t>Strategies</w:t>
      </w:r>
      <w:r w:rsidR="006C6F09">
        <w:t xml:space="preserve"> </w:t>
      </w:r>
      <w:r>
        <w:t>to</w:t>
      </w:r>
      <w:r w:rsidR="006C6F09">
        <w:t xml:space="preserve"> </w:t>
      </w:r>
      <w:r>
        <w:t>communicate</w:t>
      </w:r>
      <w:r w:rsidR="006C6F09">
        <w:t xml:space="preserve"> </w:t>
      </w:r>
      <w:r>
        <w:t>with</w:t>
      </w:r>
      <w:r w:rsidR="006C6F09">
        <w:t xml:space="preserve"> </w:t>
      </w:r>
      <w:r>
        <w:t>potential</w:t>
      </w:r>
      <w:r w:rsidR="006C6F09">
        <w:t xml:space="preserve"> </w:t>
      </w:r>
      <w:r>
        <w:t>LEP</w:t>
      </w:r>
      <w:r w:rsidR="006C6F09">
        <w:t xml:space="preserve"> </w:t>
      </w:r>
      <w:r>
        <w:t>populations</w:t>
      </w:r>
      <w:r w:rsidR="006C6F09">
        <w:t xml:space="preserve"> </w:t>
      </w:r>
      <w:r>
        <w:t>should</w:t>
      </w:r>
      <w:r w:rsidR="006C6F09">
        <w:t xml:space="preserve"> </w:t>
      </w:r>
      <w:r>
        <w:t>be</w:t>
      </w:r>
      <w:r w:rsidR="006C6F09">
        <w:t xml:space="preserve"> </w:t>
      </w:r>
      <w:r>
        <w:t>developed.</w:t>
      </w:r>
      <w:r w:rsidR="006C6F09">
        <w:t xml:space="preserve"> </w:t>
      </w:r>
      <w:r>
        <w:t>Comment</w:t>
      </w:r>
      <w:r w:rsidR="006C6F09">
        <w:t xml:space="preserve"> </w:t>
      </w:r>
      <w:r>
        <w:t>cards</w:t>
      </w:r>
      <w:r w:rsidR="006C6F09">
        <w:t xml:space="preserve"> </w:t>
      </w:r>
      <w:r>
        <w:t>must</w:t>
      </w:r>
      <w:r w:rsidR="006C6F09">
        <w:t xml:space="preserve"> </w:t>
      </w:r>
      <w:r>
        <w:t>be</w:t>
      </w:r>
      <w:r w:rsidR="006C6F09">
        <w:t xml:space="preserve"> </w:t>
      </w:r>
      <w:r>
        <w:t>made</w:t>
      </w:r>
      <w:r w:rsidR="006C6F09">
        <w:t xml:space="preserve"> </w:t>
      </w:r>
      <w:r>
        <w:t>available</w:t>
      </w:r>
      <w:r w:rsidR="006C6F09">
        <w:t xml:space="preserve"> </w:t>
      </w:r>
      <w:r>
        <w:t>for</w:t>
      </w:r>
      <w:r w:rsidR="006C6F09">
        <w:t xml:space="preserve"> </w:t>
      </w:r>
      <w:r>
        <w:t>attendees</w:t>
      </w:r>
      <w:r w:rsidR="006C6F09">
        <w:t xml:space="preserve"> </w:t>
      </w:r>
      <w:r>
        <w:t>to</w:t>
      </w:r>
      <w:r w:rsidR="006C6F09">
        <w:t xml:space="preserve"> </w:t>
      </w:r>
      <w:r>
        <w:t>submit</w:t>
      </w:r>
      <w:r w:rsidR="006C6F09">
        <w:t xml:space="preserve"> </w:t>
      </w:r>
      <w:r>
        <w:t>written</w:t>
      </w:r>
      <w:r w:rsidR="006C6F09">
        <w:t xml:space="preserve"> </w:t>
      </w:r>
      <w:r>
        <w:t>comments.</w:t>
      </w:r>
      <w:r w:rsidR="006C6F09">
        <w:t xml:space="preserve"> </w:t>
      </w:r>
      <w:r>
        <w:t>Having</w:t>
      </w:r>
      <w:r w:rsidR="006C6F09">
        <w:t xml:space="preserve"> </w:t>
      </w:r>
      <w:r>
        <w:t>a</w:t>
      </w:r>
      <w:r w:rsidR="006C6F09">
        <w:t xml:space="preserve"> </w:t>
      </w:r>
      <w:r>
        <w:t>table</w:t>
      </w:r>
      <w:r w:rsidR="006C6F09">
        <w:t xml:space="preserve"> </w:t>
      </w:r>
      <w:r>
        <w:t>or</w:t>
      </w:r>
      <w:r w:rsidR="006C6F09">
        <w:t xml:space="preserve"> </w:t>
      </w:r>
      <w:r>
        <w:t>other</w:t>
      </w:r>
      <w:r w:rsidR="006C6F09">
        <w:t xml:space="preserve"> </w:t>
      </w:r>
      <w:r>
        <w:t>specific</w:t>
      </w:r>
      <w:r w:rsidR="006C6F09">
        <w:t xml:space="preserve"> </w:t>
      </w:r>
      <w:r>
        <w:t>area</w:t>
      </w:r>
      <w:r w:rsidR="006C6F09">
        <w:t xml:space="preserve"> </w:t>
      </w:r>
      <w:r>
        <w:t>to</w:t>
      </w:r>
      <w:r w:rsidR="006C6F09">
        <w:t xml:space="preserve"> </w:t>
      </w:r>
      <w:r>
        <w:t>submit</w:t>
      </w:r>
      <w:r w:rsidR="006C6F09">
        <w:t xml:space="preserve"> </w:t>
      </w:r>
      <w:r>
        <w:t>public</w:t>
      </w:r>
      <w:r w:rsidR="006C6F09">
        <w:t xml:space="preserve"> </w:t>
      </w:r>
      <w:r>
        <w:t>comments</w:t>
      </w:r>
      <w:r w:rsidR="006C6F09">
        <w:t xml:space="preserve"> </w:t>
      </w:r>
      <w:r>
        <w:t>is</w:t>
      </w:r>
      <w:r w:rsidR="006C6F09">
        <w:t xml:space="preserve"> </w:t>
      </w:r>
      <w:r>
        <w:t>recommended.</w:t>
      </w:r>
      <w:r w:rsidR="006C6F09">
        <w:t xml:space="preserve"> </w:t>
      </w:r>
      <w:r>
        <w:t>Open</w:t>
      </w:r>
      <w:r w:rsidR="006C6F09">
        <w:t xml:space="preserve"> </w:t>
      </w:r>
      <w:r>
        <w:t>house</w:t>
      </w:r>
      <w:r w:rsidR="006C6F09">
        <w:t xml:space="preserve"> </w:t>
      </w:r>
      <w:r>
        <w:t>public</w:t>
      </w:r>
      <w:r w:rsidR="006C6F09">
        <w:t xml:space="preserve"> </w:t>
      </w:r>
      <w:r>
        <w:t>meetings</w:t>
      </w:r>
      <w:r w:rsidR="006C6F09">
        <w:t xml:space="preserve"> </w:t>
      </w:r>
      <w:r>
        <w:t>are</w:t>
      </w:r>
      <w:r w:rsidR="006C6F09">
        <w:t xml:space="preserve"> </w:t>
      </w:r>
      <w:r>
        <w:t>often</w:t>
      </w:r>
      <w:r w:rsidR="006C6F09">
        <w:t xml:space="preserve"> </w:t>
      </w:r>
      <w:r>
        <w:t>held</w:t>
      </w:r>
      <w:r w:rsidR="006C6F09">
        <w:t xml:space="preserve"> </w:t>
      </w:r>
      <w:r>
        <w:t>during</w:t>
      </w:r>
      <w:r w:rsidR="006C6F09">
        <w:t xml:space="preserve"> </w:t>
      </w:r>
      <w:r>
        <w:t>weekday</w:t>
      </w:r>
      <w:r w:rsidR="006C6F09">
        <w:t xml:space="preserve"> </w:t>
      </w:r>
      <w:r w:rsidR="005150D0">
        <w:t>afternoons</w:t>
      </w:r>
      <w:r w:rsidR="006C6F09">
        <w:t xml:space="preserve"> </w:t>
      </w:r>
      <w:r>
        <w:t>and</w:t>
      </w:r>
      <w:r w:rsidR="006C6F09">
        <w:t xml:space="preserve"> </w:t>
      </w:r>
      <w:r>
        <w:t>early</w:t>
      </w:r>
      <w:r w:rsidR="006C6F09">
        <w:t xml:space="preserve"> </w:t>
      </w:r>
      <w:r>
        <w:t>evening</w:t>
      </w:r>
      <w:r w:rsidR="006C6F09">
        <w:t xml:space="preserve"> </w:t>
      </w:r>
      <w:r>
        <w:t>hours</w:t>
      </w:r>
      <w:r w:rsidR="006C6F09">
        <w:t xml:space="preserve"> </w:t>
      </w:r>
      <w:r>
        <w:t>(example</w:t>
      </w:r>
      <w:r w:rsidR="006C6F09">
        <w:t xml:space="preserve"> </w:t>
      </w:r>
      <w:r>
        <w:t>5</w:t>
      </w:r>
      <w:r w:rsidR="006C6F09">
        <w:t xml:space="preserve"> </w:t>
      </w:r>
      <w:r>
        <w:t>-</w:t>
      </w:r>
      <w:r w:rsidR="006C6F09">
        <w:t xml:space="preserve"> </w:t>
      </w:r>
      <w:r>
        <w:t>7</w:t>
      </w:r>
      <w:r w:rsidR="006C6F09">
        <w:t xml:space="preserve"> </w:t>
      </w:r>
      <w:r>
        <w:t>p.m.).</w:t>
      </w:r>
      <w:r w:rsidR="006C6F09">
        <w:t xml:space="preserve"> </w:t>
      </w:r>
      <w:r>
        <w:t>A</w:t>
      </w:r>
      <w:r w:rsidR="006C6F09">
        <w:t xml:space="preserve"> </w:t>
      </w:r>
      <w:r>
        <w:t>court</w:t>
      </w:r>
      <w:r w:rsidR="006C6F09">
        <w:t xml:space="preserve"> </w:t>
      </w:r>
      <w:r>
        <w:t>reporter</w:t>
      </w:r>
      <w:r w:rsidR="006C6F09">
        <w:t xml:space="preserve"> </w:t>
      </w:r>
      <w:r>
        <w:t>is</w:t>
      </w:r>
      <w:r w:rsidR="006C6F09">
        <w:t xml:space="preserve"> </w:t>
      </w:r>
      <w:r>
        <w:t>not</w:t>
      </w:r>
      <w:r w:rsidR="006C6F09">
        <w:t xml:space="preserve"> </w:t>
      </w:r>
      <w:r>
        <w:t>required</w:t>
      </w:r>
      <w:r w:rsidR="006C6F09">
        <w:t xml:space="preserve"> </w:t>
      </w:r>
      <w:r>
        <w:t>for</w:t>
      </w:r>
      <w:r w:rsidR="006C6F09">
        <w:t xml:space="preserve"> </w:t>
      </w:r>
      <w:r>
        <w:t>a</w:t>
      </w:r>
      <w:r w:rsidR="006C6F09">
        <w:t xml:space="preserve"> </w:t>
      </w:r>
      <w:r>
        <w:t>public</w:t>
      </w:r>
      <w:r w:rsidR="006C6F09">
        <w:t xml:space="preserve"> </w:t>
      </w:r>
      <w:r>
        <w:t>meeting</w:t>
      </w:r>
      <w:r w:rsidR="006C6F09">
        <w:t xml:space="preserve"> </w:t>
      </w:r>
      <w:r>
        <w:t>but</w:t>
      </w:r>
      <w:r w:rsidR="006C6F09">
        <w:t xml:space="preserve"> </w:t>
      </w:r>
      <w:r>
        <w:t>may</w:t>
      </w:r>
      <w:r w:rsidR="006C6F09">
        <w:t xml:space="preserve"> </w:t>
      </w:r>
      <w:r>
        <w:t>participate</w:t>
      </w:r>
      <w:r w:rsidR="006C6F09">
        <w:t xml:space="preserve"> </w:t>
      </w:r>
      <w:r>
        <w:t>to</w:t>
      </w:r>
      <w:r w:rsidR="006C6F09">
        <w:t xml:space="preserve"> </w:t>
      </w:r>
      <w:r>
        <w:t>record</w:t>
      </w:r>
      <w:r w:rsidR="006C6F09">
        <w:t xml:space="preserve"> </w:t>
      </w:r>
      <w:r>
        <w:t>comments</w:t>
      </w:r>
      <w:r w:rsidR="006C6F09">
        <w:t xml:space="preserve"> </w:t>
      </w:r>
      <w:r>
        <w:t>provided</w:t>
      </w:r>
      <w:r w:rsidR="006C6F09">
        <w:t xml:space="preserve"> </w:t>
      </w:r>
      <w:r>
        <w:t>by</w:t>
      </w:r>
      <w:r w:rsidR="006C6F09">
        <w:t xml:space="preserve"> </w:t>
      </w:r>
      <w:r>
        <w:t>participants.</w:t>
      </w:r>
      <w:r w:rsidR="006C6F09">
        <w:t xml:space="preserve"> </w:t>
      </w:r>
    </w:p>
    <w:p w14:paraId="13AEB6F9" w14:textId="58490E09" w:rsidR="00457754" w:rsidRDefault="00457754" w:rsidP="00457754">
      <w:pPr>
        <w:spacing w:before="240"/>
      </w:pPr>
      <w:r>
        <w:t>TxDOT</w:t>
      </w:r>
      <w:r w:rsidR="006C6F09">
        <w:t xml:space="preserve"> </w:t>
      </w:r>
      <w:r>
        <w:t>is</w:t>
      </w:r>
      <w:r w:rsidR="006C6F09">
        <w:t xml:space="preserve"> </w:t>
      </w:r>
      <w:r>
        <w:t>also</w:t>
      </w:r>
      <w:r w:rsidR="006C6F09">
        <w:t xml:space="preserve"> </w:t>
      </w:r>
      <w:r>
        <w:t>exploring</w:t>
      </w:r>
      <w:r w:rsidR="006C6F09">
        <w:t xml:space="preserve"> </w:t>
      </w:r>
      <w:r>
        <w:t>more</w:t>
      </w:r>
      <w:r w:rsidR="006C6F09">
        <w:t xml:space="preserve"> </w:t>
      </w:r>
      <w:r>
        <w:t>public-friendly</w:t>
      </w:r>
      <w:r w:rsidR="006C6F09">
        <w:t xml:space="preserve"> </w:t>
      </w:r>
      <w:r>
        <w:t>and</w:t>
      </w:r>
      <w:r w:rsidR="006C6F09">
        <w:t xml:space="preserve"> </w:t>
      </w:r>
      <w:r>
        <w:t>engaging</w:t>
      </w:r>
      <w:r w:rsidR="006C6F09">
        <w:t xml:space="preserve"> </w:t>
      </w:r>
      <w:r>
        <w:t>open</w:t>
      </w:r>
      <w:r w:rsidR="006C6F09">
        <w:t xml:space="preserve"> </w:t>
      </w:r>
      <w:r>
        <w:t>house</w:t>
      </w:r>
      <w:r w:rsidR="006C6F09">
        <w:t xml:space="preserve"> </w:t>
      </w:r>
      <w:r>
        <w:t>methods,</w:t>
      </w:r>
      <w:r w:rsidR="006C6F09">
        <w:t xml:space="preserve"> </w:t>
      </w:r>
      <w:r>
        <w:t>including</w:t>
      </w:r>
      <w:r w:rsidR="006C6F09">
        <w:t xml:space="preserve"> </w:t>
      </w:r>
      <w:r>
        <w:t>meetings</w:t>
      </w:r>
      <w:r w:rsidR="006C6F09">
        <w:t xml:space="preserve"> </w:t>
      </w:r>
      <w:r>
        <w:t>scheduled</w:t>
      </w:r>
      <w:r w:rsidR="006C6F09">
        <w:t xml:space="preserve"> </w:t>
      </w:r>
      <w:r>
        <w:t>at</w:t>
      </w:r>
      <w:r w:rsidR="006C6F09">
        <w:t xml:space="preserve"> </w:t>
      </w:r>
      <w:r>
        <w:t>non-traditional</w:t>
      </w:r>
      <w:r w:rsidR="006C6F09">
        <w:t xml:space="preserve"> </w:t>
      </w:r>
      <w:r>
        <w:t>locations</w:t>
      </w:r>
      <w:r w:rsidR="006C6F09">
        <w:t xml:space="preserve"> </w:t>
      </w:r>
      <w:r>
        <w:t>(for</w:t>
      </w:r>
      <w:r w:rsidR="006C6F09">
        <w:t xml:space="preserve"> </w:t>
      </w:r>
      <w:r>
        <w:t>example,</w:t>
      </w:r>
      <w:r w:rsidR="006C6F09">
        <w:t xml:space="preserve"> </w:t>
      </w:r>
      <w:r>
        <w:t>a</w:t>
      </w:r>
      <w:r w:rsidR="006C6F09">
        <w:t xml:space="preserve"> </w:t>
      </w:r>
      <w:r>
        <w:t>shopping</w:t>
      </w:r>
      <w:r w:rsidR="006C6F09">
        <w:t xml:space="preserve"> </w:t>
      </w:r>
      <w:r>
        <w:t>mall</w:t>
      </w:r>
      <w:r w:rsidR="006C6F09">
        <w:t xml:space="preserve"> </w:t>
      </w:r>
      <w:r>
        <w:t>or</w:t>
      </w:r>
      <w:r w:rsidR="006C6F09">
        <w:t xml:space="preserve"> </w:t>
      </w:r>
      <w:r>
        <w:t>booth</w:t>
      </w:r>
      <w:r w:rsidR="006C6F09">
        <w:t xml:space="preserve"> </w:t>
      </w:r>
      <w:r>
        <w:t>at</w:t>
      </w:r>
      <w:r w:rsidR="006C6F09">
        <w:t xml:space="preserve"> </w:t>
      </w:r>
      <w:r>
        <w:t>a</w:t>
      </w:r>
      <w:r w:rsidR="006C6F09">
        <w:t xml:space="preserve"> </w:t>
      </w:r>
      <w:r>
        <w:t>festival)</w:t>
      </w:r>
      <w:r w:rsidR="006C6F09">
        <w:t xml:space="preserve"> </w:t>
      </w:r>
      <w:r>
        <w:t>to</w:t>
      </w:r>
      <w:r w:rsidR="006C6F09">
        <w:t xml:space="preserve"> </w:t>
      </w:r>
      <w:r>
        <w:t>increase</w:t>
      </w:r>
      <w:r w:rsidR="006C6F09">
        <w:t xml:space="preserve"> </w:t>
      </w:r>
      <w:r>
        <w:t>the</w:t>
      </w:r>
      <w:r w:rsidR="006C6F09">
        <w:t xml:space="preserve"> </w:t>
      </w:r>
      <w:r>
        <w:t>level</w:t>
      </w:r>
      <w:r w:rsidR="006C6F09">
        <w:t xml:space="preserve"> </w:t>
      </w:r>
      <w:r>
        <w:t>of</w:t>
      </w:r>
      <w:r w:rsidR="006C6F09">
        <w:t xml:space="preserve"> </w:t>
      </w:r>
      <w:r>
        <w:t>public</w:t>
      </w:r>
      <w:r w:rsidR="006C6F09">
        <w:t xml:space="preserve"> </w:t>
      </w:r>
      <w:r>
        <w:t>involvement.</w:t>
      </w:r>
      <w:r w:rsidR="006C6F09">
        <w:t xml:space="preserve"> </w:t>
      </w:r>
      <w:r>
        <w:t>The</w:t>
      </w:r>
      <w:r w:rsidR="006C6F09">
        <w:t xml:space="preserve"> </w:t>
      </w:r>
      <w:r>
        <w:t>goal</w:t>
      </w:r>
      <w:r w:rsidR="006C6F09">
        <w:t xml:space="preserve"> </w:t>
      </w:r>
      <w:r>
        <w:t>is</w:t>
      </w:r>
      <w:r w:rsidR="006C6F09">
        <w:t xml:space="preserve"> </w:t>
      </w:r>
      <w:r>
        <w:t>to</w:t>
      </w:r>
      <w:r w:rsidR="006C6F09">
        <w:t xml:space="preserve"> </w:t>
      </w:r>
      <w:r>
        <w:t>select</w:t>
      </w:r>
      <w:r w:rsidR="006C6F09">
        <w:t xml:space="preserve"> </w:t>
      </w:r>
      <w:r>
        <w:t>a</w:t>
      </w:r>
      <w:r w:rsidR="006C6F09">
        <w:t xml:space="preserve"> </w:t>
      </w:r>
      <w:r>
        <w:t>location</w:t>
      </w:r>
      <w:r w:rsidR="006C6F09">
        <w:t xml:space="preserve"> </w:t>
      </w:r>
      <w:r>
        <w:t>and</w:t>
      </w:r>
      <w:r w:rsidR="006C6F09">
        <w:t xml:space="preserve"> </w:t>
      </w:r>
      <w:r>
        <w:t>time</w:t>
      </w:r>
      <w:r w:rsidR="006C6F09">
        <w:t xml:space="preserve"> </w:t>
      </w:r>
      <w:r>
        <w:t>that</w:t>
      </w:r>
      <w:r w:rsidR="006C6F09">
        <w:t xml:space="preserve"> </w:t>
      </w:r>
      <w:r>
        <w:t>is</w:t>
      </w:r>
      <w:r w:rsidR="006C6F09">
        <w:t xml:space="preserve"> </w:t>
      </w:r>
      <w:r>
        <w:t>convenient</w:t>
      </w:r>
      <w:r w:rsidR="006C6F09">
        <w:t xml:space="preserve"> </w:t>
      </w:r>
      <w:r>
        <w:t>for</w:t>
      </w:r>
      <w:r w:rsidR="006C6F09">
        <w:t xml:space="preserve"> </w:t>
      </w:r>
      <w:r>
        <w:t>the</w:t>
      </w:r>
      <w:r w:rsidR="006C6F09">
        <w:t xml:space="preserve"> </w:t>
      </w:r>
      <w:r>
        <w:t>public</w:t>
      </w:r>
      <w:r w:rsidR="006C6F09">
        <w:t xml:space="preserve"> </w:t>
      </w:r>
      <w:r>
        <w:t>and</w:t>
      </w:r>
      <w:r w:rsidR="006C6F09">
        <w:t xml:space="preserve"> </w:t>
      </w:r>
      <w:r>
        <w:t>increase</w:t>
      </w:r>
      <w:r w:rsidR="006C6F09">
        <w:t xml:space="preserve"> </w:t>
      </w:r>
      <w:r>
        <w:t>engagement</w:t>
      </w:r>
      <w:r w:rsidR="006C6F09">
        <w:t xml:space="preserve"> </w:t>
      </w:r>
      <w:r>
        <w:t>opportunities.</w:t>
      </w:r>
      <w:r w:rsidR="006C6F09">
        <w:t xml:space="preserve"> </w:t>
      </w:r>
      <w:r>
        <w:t>Project</w:t>
      </w:r>
      <w:r w:rsidR="006C6F09">
        <w:t xml:space="preserve"> </w:t>
      </w:r>
      <w:r>
        <w:t>sponsors</w:t>
      </w:r>
      <w:r w:rsidR="006C6F09">
        <w:t xml:space="preserve"> </w:t>
      </w:r>
      <w:r>
        <w:t>are</w:t>
      </w:r>
      <w:r w:rsidR="006C6F09">
        <w:t xml:space="preserve"> </w:t>
      </w:r>
      <w:r>
        <w:t>encouraged</w:t>
      </w:r>
      <w:r w:rsidR="006C6F09">
        <w:t xml:space="preserve"> </w:t>
      </w:r>
      <w:r>
        <w:t>to</w:t>
      </w:r>
      <w:r w:rsidR="006C6F09">
        <w:t xml:space="preserve"> </w:t>
      </w:r>
      <w:r>
        <w:t>work</w:t>
      </w:r>
      <w:r w:rsidR="006C6F09">
        <w:t xml:space="preserve"> </w:t>
      </w:r>
      <w:r>
        <w:t>with</w:t>
      </w:r>
      <w:r w:rsidR="006C6F09">
        <w:t xml:space="preserve"> </w:t>
      </w:r>
      <w:r>
        <w:t>TPP’s</w:t>
      </w:r>
      <w:r w:rsidR="006C6F09">
        <w:t xml:space="preserve"> </w:t>
      </w:r>
      <w:r>
        <w:t>PI</w:t>
      </w:r>
      <w:r w:rsidR="006C6F09">
        <w:t xml:space="preserve"> </w:t>
      </w:r>
      <w:r>
        <w:t>Section</w:t>
      </w:r>
      <w:r w:rsidR="006C6F09">
        <w:t xml:space="preserve"> </w:t>
      </w:r>
      <w:r>
        <w:t>toward</w:t>
      </w:r>
      <w:r w:rsidR="006C6F09">
        <w:t xml:space="preserve"> </w:t>
      </w:r>
      <w:r>
        <w:t>this</w:t>
      </w:r>
      <w:r w:rsidR="006C6F09">
        <w:t xml:space="preserve"> </w:t>
      </w:r>
      <w:r>
        <w:t>goal</w:t>
      </w:r>
      <w:r w:rsidR="006C6F09">
        <w:t xml:space="preserve"> </w:t>
      </w:r>
      <w:r>
        <w:t>(see</w:t>
      </w:r>
      <w:r w:rsidR="006C6F09">
        <w:t xml:space="preserve"> </w:t>
      </w:r>
      <w:r>
        <w:t>section</w:t>
      </w:r>
      <w:r w:rsidR="006C6F09">
        <w:t xml:space="preserve"> </w:t>
      </w:r>
      <w:r w:rsidRPr="00263E76">
        <w:rPr>
          <w:u w:val="single"/>
        </w:rPr>
        <w:fldChar w:fldCharType="begin"/>
      </w:r>
      <w:r w:rsidRPr="00263E76">
        <w:rPr>
          <w:u w:val="single"/>
        </w:rPr>
        <w:instrText xml:space="preserve"> REF _Ref219385407 \h  \* MERGEFORMAT </w:instrText>
      </w:r>
      <w:r w:rsidRPr="00263E76">
        <w:rPr>
          <w:u w:val="single"/>
        </w:rPr>
      </w:r>
      <w:r w:rsidRPr="00263E76">
        <w:rPr>
          <w:u w:val="single"/>
        </w:rPr>
        <w:fldChar w:fldCharType="separate"/>
      </w:r>
      <w:r w:rsidRPr="00263E76">
        <w:rPr>
          <w:color w:val="0056A9"/>
          <w:u w:val="single"/>
        </w:rPr>
        <w:t>1.2.3</w:t>
      </w:r>
      <w:r w:rsidRPr="00263E76">
        <w:rPr>
          <w:u w:val="single"/>
        </w:rPr>
        <w:fldChar w:fldCharType="end"/>
      </w:r>
      <w:r w:rsidR="006C6F09">
        <w:t xml:space="preserve"> </w:t>
      </w:r>
      <w:r>
        <w:t>of</w:t>
      </w:r>
      <w:r w:rsidR="006C6F09">
        <w:t xml:space="preserve"> </w:t>
      </w:r>
      <w:r>
        <w:t>this</w:t>
      </w:r>
      <w:r w:rsidR="006C6F09">
        <w:t xml:space="preserve"> </w:t>
      </w:r>
      <w:r>
        <w:t>Handbook).</w:t>
      </w:r>
    </w:p>
    <w:p w14:paraId="30AE3138" w14:textId="3CF76E2A" w:rsidR="00457754" w:rsidRPr="00B23AD6" w:rsidRDefault="00457754" w:rsidP="00457754">
      <w:pPr>
        <w:spacing w:after="0"/>
        <w:rPr>
          <w:b/>
          <w:bCs/>
        </w:rPr>
      </w:pPr>
      <w:r w:rsidRPr="00B23AD6">
        <w:rPr>
          <w:b/>
          <w:bCs/>
        </w:rPr>
        <w:t>Holding</w:t>
      </w:r>
      <w:r w:rsidR="006C6F09" w:rsidRPr="00B23AD6">
        <w:rPr>
          <w:b/>
          <w:bCs/>
        </w:rPr>
        <w:t xml:space="preserve"> </w:t>
      </w:r>
      <w:r w:rsidRPr="00B23AD6">
        <w:rPr>
          <w:b/>
          <w:bCs/>
        </w:rPr>
        <w:t>the</w:t>
      </w:r>
      <w:r w:rsidR="006C6F09" w:rsidRPr="00B23AD6">
        <w:rPr>
          <w:b/>
          <w:bCs/>
        </w:rPr>
        <w:t xml:space="preserve"> </w:t>
      </w:r>
      <w:r w:rsidRPr="00B23AD6">
        <w:rPr>
          <w:b/>
          <w:bCs/>
        </w:rPr>
        <w:t>In-Person</w:t>
      </w:r>
      <w:r w:rsidR="006C6F09" w:rsidRPr="00B23AD6">
        <w:rPr>
          <w:b/>
          <w:bCs/>
        </w:rPr>
        <w:t xml:space="preserve"> </w:t>
      </w:r>
      <w:r w:rsidRPr="00B23AD6">
        <w:rPr>
          <w:b/>
          <w:bCs/>
        </w:rPr>
        <w:t>Option</w:t>
      </w:r>
      <w:r w:rsidR="006C6F09" w:rsidRPr="00B23AD6">
        <w:rPr>
          <w:b/>
          <w:bCs/>
        </w:rPr>
        <w:t xml:space="preserve"> </w:t>
      </w:r>
      <w:r w:rsidRPr="00B23AD6">
        <w:rPr>
          <w:b/>
          <w:bCs/>
        </w:rPr>
        <w:t>in</w:t>
      </w:r>
      <w:r w:rsidR="006C6F09" w:rsidRPr="00B23AD6">
        <w:rPr>
          <w:b/>
          <w:bCs/>
        </w:rPr>
        <w:t xml:space="preserve"> </w:t>
      </w:r>
      <w:r w:rsidRPr="00B23AD6">
        <w:rPr>
          <w:b/>
          <w:bCs/>
        </w:rPr>
        <w:t>a</w:t>
      </w:r>
      <w:r w:rsidR="006C6F09" w:rsidRPr="00B23AD6">
        <w:rPr>
          <w:b/>
          <w:bCs/>
        </w:rPr>
        <w:t xml:space="preserve"> </w:t>
      </w:r>
      <w:r w:rsidRPr="00B23AD6">
        <w:rPr>
          <w:b/>
          <w:bCs/>
        </w:rPr>
        <w:t>Traditional</w:t>
      </w:r>
      <w:r w:rsidR="006C6F09" w:rsidRPr="00B23AD6">
        <w:rPr>
          <w:b/>
          <w:bCs/>
        </w:rPr>
        <w:t xml:space="preserve"> </w:t>
      </w:r>
      <w:r w:rsidRPr="00B23AD6">
        <w:rPr>
          <w:b/>
          <w:bCs/>
        </w:rPr>
        <w:t>Public</w:t>
      </w:r>
      <w:r w:rsidR="006C6F09" w:rsidRPr="00B23AD6">
        <w:rPr>
          <w:b/>
          <w:bCs/>
        </w:rPr>
        <w:t xml:space="preserve"> </w:t>
      </w:r>
      <w:r w:rsidRPr="00B23AD6">
        <w:rPr>
          <w:b/>
          <w:bCs/>
        </w:rPr>
        <w:t>Meeting</w:t>
      </w:r>
      <w:r w:rsidR="006C6F09" w:rsidRPr="00B23AD6">
        <w:rPr>
          <w:b/>
          <w:bCs/>
        </w:rPr>
        <w:t xml:space="preserve"> </w:t>
      </w:r>
      <w:r w:rsidRPr="00B23AD6">
        <w:rPr>
          <w:b/>
          <w:bCs/>
        </w:rPr>
        <w:t>Format</w:t>
      </w:r>
    </w:p>
    <w:p w14:paraId="25A3051E" w14:textId="7A0973C8" w:rsidR="00457754" w:rsidRDefault="00457754" w:rsidP="001A7DAF">
      <w:r>
        <w:t>A</w:t>
      </w:r>
      <w:r w:rsidR="006C6F09">
        <w:t xml:space="preserve"> </w:t>
      </w:r>
      <w:r>
        <w:t>traditional</w:t>
      </w:r>
      <w:r w:rsidR="006C6F09">
        <w:t xml:space="preserve"> </w:t>
      </w:r>
      <w:r>
        <w:t>public</w:t>
      </w:r>
      <w:r w:rsidR="006C6F09">
        <w:t xml:space="preserve"> </w:t>
      </w:r>
      <w:r>
        <w:t>meeting</w:t>
      </w:r>
      <w:r w:rsidR="006C6F09">
        <w:t xml:space="preserve"> </w:t>
      </w:r>
      <w:r>
        <w:t>is</w:t>
      </w:r>
      <w:r w:rsidR="006C6F09">
        <w:t xml:space="preserve"> </w:t>
      </w:r>
      <w:r>
        <w:t>a</w:t>
      </w:r>
      <w:r w:rsidR="006C6F09">
        <w:t xml:space="preserve"> </w:t>
      </w:r>
      <w:r>
        <w:t>more</w:t>
      </w:r>
      <w:r w:rsidR="006C6F09">
        <w:t xml:space="preserve"> </w:t>
      </w:r>
      <w:r>
        <w:t>formal</w:t>
      </w:r>
      <w:r w:rsidR="006C6F09">
        <w:t xml:space="preserve"> </w:t>
      </w:r>
      <w:r>
        <w:t>event</w:t>
      </w:r>
      <w:r w:rsidR="006C6F09">
        <w:t xml:space="preserve"> </w:t>
      </w:r>
      <w:r>
        <w:t>where</w:t>
      </w:r>
      <w:r w:rsidR="006C6F09">
        <w:t xml:space="preserve"> </w:t>
      </w:r>
      <w:r>
        <w:t>a</w:t>
      </w:r>
      <w:r w:rsidR="006C6F09">
        <w:t xml:space="preserve"> </w:t>
      </w:r>
      <w:r>
        <w:t>presentation</w:t>
      </w:r>
      <w:r w:rsidR="006C6F09">
        <w:t xml:space="preserve"> </w:t>
      </w:r>
      <w:r>
        <w:t>is</w:t>
      </w:r>
      <w:r w:rsidR="006C6F09">
        <w:t xml:space="preserve"> </w:t>
      </w:r>
      <w:r>
        <w:t>delivered</w:t>
      </w:r>
      <w:r w:rsidR="006C6F09">
        <w:t xml:space="preserve"> </w:t>
      </w:r>
      <w:r>
        <w:t>to</w:t>
      </w:r>
      <w:r w:rsidR="006C6F09">
        <w:t xml:space="preserve"> </w:t>
      </w:r>
      <w:r>
        <w:t>the</w:t>
      </w:r>
      <w:r w:rsidR="006C6F09">
        <w:t xml:space="preserve"> </w:t>
      </w:r>
      <w:r>
        <w:t>meeting</w:t>
      </w:r>
      <w:r w:rsidR="006C6F09">
        <w:t xml:space="preserve"> </w:t>
      </w:r>
      <w:r>
        <w:t>attendees.</w:t>
      </w:r>
      <w:r w:rsidR="006C6F09">
        <w:t xml:space="preserve"> </w:t>
      </w:r>
      <w:r>
        <w:t>To</w:t>
      </w:r>
      <w:r w:rsidR="006C6F09">
        <w:t xml:space="preserve"> </w:t>
      </w:r>
      <w:r>
        <w:t>maximize</w:t>
      </w:r>
      <w:r w:rsidR="006C6F09">
        <w:t xml:space="preserve"> </w:t>
      </w:r>
      <w:r>
        <w:t>participation,</w:t>
      </w:r>
      <w:r w:rsidR="006C6F09">
        <w:t xml:space="preserve"> </w:t>
      </w:r>
      <w:r>
        <w:t>public</w:t>
      </w:r>
      <w:r w:rsidR="006C6F09">
        <w:t xml:space="preserve"> </w:t>
      </w:r>
      <w:r>
        <w:t>meetings</w:t>
      </w:r>
      <w:r w:rsidR="006C6F09">
        <w:t xml:space="preserve"> </w:t>
      </w:r>
      <w:r>
        <w:t>typically</w:t>
      </w:r>
      <w:r w:rsidR="006C6F09">
        <w:t xml:space="preserve"> </w:t>
      </w:r>
      <w:r>
        <w:t>are</w:t>
      </w:r>
      <w:r w:rsidR="006C6F09">
        <w:t xml:space="preserve"> </w:t>
      </w:r>
      <w:r>
        <w:t>held</w:t>
      </w:r>
      <w:r w:rsidR="006C6F09">
        <w:t xml:space="preserve"> </w:t>
      </w:r>
      <w:r>
        <w:t>on</w:t>
      </w:r>
      <w:r w:rsidR="006C6F09">
        <w:t xml:space="preserve"> </w:t>
      </w:r>
      <w:r>
        <w:t>a</w:t>
      </w:r>
      <w:r w:rsidR="006C6F09">
        <w:t xml:space="preserve"> </w:t>
      </w:r>
      <w:r>
        <w:t>weekday</w:t>
      </w:r>
      <w:r w:rsidR="006C6F09">
        <w:t xml:space="preserve"> </w:t>
      </w:r>
      <w:r>
        <w:t>afternoon</w:t>
      </w:r>
      <w:r w:rsidR="006C6F09">
        <w:t xml:space="preserve"> </w:t>
      </w:r>
      <w:r>
        <w:t>or</w:t>
      </w:r>
      <w:r w:rsidR="006C6F09">
        <w:t xml:space="preserve"> </w:t>
      </w:r>
      <w:r>
        <w:t>early</w:t>
      </w:r>
      <w:r w:rsidR="006C6F09">
        <w:t xml:space="preserve"> </w:t>
      </w:r>
      <w:r>
        <w:t>evening,</w:t>
      </w:r>
      <w:r w:rsidR="006C6F09">
        <w:t xml:space="preserve"> </w:t>
      </w:r>
      <w:r>
        <w:t>unless</w:t>
      </w:r>
      <w:r w:rsidR="006C6F09">
        <w:t xml:space="preserve"> </w:t>
      </w:r>
      <w:r>
        <w:t>the</w:t>
      </w:r>
      <w:r w:rsidR="006C6F09">
        <w:t xml:space="preserve"> </w:t>
      </w:r>
      <w:r>
        <w:t>public</w:t>
      </w:r>
      <w:r w:rsidR="006C6F09">
        <w:t xml:space="preserve"> </w:t>
      </w:r>
      <w:r>
        <w:t>prefers</w:t>
      </w:r>
      <w:r w:rsidR="006C6F09">
        <w:t xml:space="preserve"> </w:t>
      </w:r>
      <w:r>
        <w:t>another</w:t>
      </w:r>
      <w:r w:rsidR="006C6F09">
        <w:t xml:space="preserve"> </w:t>
      </w:r>
      <w:r>
        <w:t>time.</w:t>
      </w:r>
      <w:r w:rsidR="006C6F09">
        <w:t xml:space="preserve"> </w:t>
      </w:r>
      <w:r>
        <w:t>The</w:t>
      </w:r>
      <w:r w:rsidR="006C6F09">
        <w:t xml:space="preserve"> </w:t>
      </w:r>
      <w:r>
        <w:t>presentation</w:t>
      </w:r>
      <w:r w:rsidR="006C6F09">
        <w:t xml:space="preserve"> </w:t>
      </w:r>
      <w:r>
        <w:t>that</w:t>
      </w:r>
      <w:r w:rsidR="006C6F09">
        <w:t xml:space="preserve"> </w:t>
      </w:r>
      <w:r>
        <w:t>is</w:t>
      </w:r>
      <w:r w:rsidR="006C6F09">
        <w:t xml:space="preserve"> </w:t>
      </w:r>
      <w:r>
        <w:t>delivered</w:t>
      </w:r>
      <w:r w:rsidR="006C6F09">
        <w:t xml:space="preserve"> </w:t>
      </w:r>
      <w:r>
        <w:t>must</w:t>
      </w:r>
      <w:r w:rsidR="006C6F09">
        <w:t xml:space="preserve"> </w:t>
      </w:r>
      <w:r>
        <w:t>be</w:t>
      </w:r>
      <w:r w:rsidR="006C6F09">
        <w:t xml:space="preserve"> </w:t>
      </w:r>
      <w:r>
        <w:t>substantively</w:t>
      </w:r>
      <w:r w:rsidR="006C6F09">
        <w:t xml:space="preserve"> </w:t>
      </w:r>
      <w:r>
        <w:t>identical</w:t>
      </w:r>
      <w:r w:rsidR="006C6F09">
        <w:t xml:space="preserve"> </w:t>
      </w:r>
      <w:r>
        <w:t>to</w:t>
      </w:r>
      <w:r w:rsidR="006C6F09">
        <w:t xml:space="preserve"> </w:t>
      </w:r>
      <w:r>
        <w:t>the</w:t>
      </w:r>
      <w:r w:rsidR="006C6F09">
        <w:t xml:space="preserve"> </w:t>
      </w:r>
      <w:r>
        <w:t>virtual</w:t>
      </w:r>
      <w:r w:rsidR="006C6F09">
        <w:t xml:space="preserve"> </w:t>
      </w:r>
      <w:r>
        <w:t>public</w:t>
      </w:r>
      <w:r w:rsidR="006C6F09">
        <w:t xml:space="preserve"> </w:t>
      </w:r>
      <w:r>
        <w:t>meeting</w:t>
      </w:r>
      <w:r w:rsidR="006C6F09">
        <w:t xml:space="preserve"> </w:t>
      </w:r>
      <w:r>
        <w:t>presentation</w:t>
      </w:r>
      <w:r w:rsidR="006C6F09">
        <w:t xml:space="preserve"> </w:t>
      </w:r>
      <w:r>
        <w:t>(in</w:t>
      </w:r>
      <w:r w:rsidR="006C6F09">
        <w:t xml:space="preserve"> </w:t>
      </w:r>
      <w:r>
        <w:t>other</w:t>
      </w:r>
      <w:r w:rsidR="006C6F09">
        <w:t xml:space="preserve"> </w:t>
      </w:r>
      <w:r>
        <w:lastRenderedPageBreak/>
        <w:t>words,</w:t>
      </w:r>
      <w:r w:rsidR="006C6F09">
        <w:t xml:space="preserve"> </w:t>
      </w:r>
      <w:r>
        <w:t>it</w:t>
      </w:r>
      <w:r w:rsidR="006C6F09">
        <w:t xml:space="preserve"> </w:t>
      </w:r>
      <w:r>
        <w:t>must</w:t>
      </w:r>
      <w:r w:rsidR="006C6F09">
        <w:t xml:space="preserve"> </w:t>
      </w:r>
      <w:r>
        <w:t>contain</w:t>
      </w:r>
      <w:r w:rsidR="006C6F09">
        <w:t xml:space="preserve"> </w:t>
      </w:r>
      <w:r>
        <w:t>the</w:t>
      </w:r>
      <w:r w:rsidR="006C6F09">
        <w:t xml:space="preserve"> </w:t>
      </w:r>
      <w:r>
        <w:t>same</w:t>
      </w:r>
      <w:r w:rsidR="006C6F09">
        <w:t xml:space="preserve"> </w:t>
      </w:r>
      <w:r>
        <w:t>substantive</w:t>
      </w:r>
      <w:r w:rsidR="006C6F09">
        <w:t xml:space="preserve"> </w:t>
      </w:r>
      <w:r>
        <w:t>information).</w:t>
      </w:r>
      <w:r w:rsidR="006C6F09">
        <w:t xml:space="preserve"> </w:t>
      </w:r>
      <w:r>
        <w:t>Strategies</w:t>
      </w:r>
      <w:r w:rsidR="006C6F09">
        <w:t xml:space="preserve"> </w:t>
      </w:r>
      <w:r>
        <w:t>to</w:t>
      </w:r>
      <w:r w:rsidR="006C6F09">
        <w:t xml:space="preserve"> </w:t>
      </w:r>
      <w:r>
        <w:t>communicate</w:t>
      </w:r>
      <w:r w:rsidR="006C6F09">
        <w:t xml:space="preserve"> </w:t>
      </w:r>
      <w:r>
        <w:t>with</w:t>
      </w:r>
      <w:r w:rsidR="006C6F09">
        <w:t xml:space="preserve"> </w:t>
      </w:r>
      <w:r>
        <w:t>potential</w:t>
      </w:r>
      <w:r w:rsidR="006C6F09">
        <w:t xml:space="preserve"> </w:t>
      </w:r>
      <w:r>
        <w:t>LEP</w:t>
      </w:r>
      <w:r w:rsidR="006C6F09">
        <w:t xml:space="preserve"> </w:t>
      </w:r>
      <w:r>
        <w:t>populations</w:t>
      </w:r>
      <w:r w:rsidR="006C6F09">
        <w:t xml:space="preserve"> </w:t>
      </w:r>
      <w:r>
        <w:t>should</w:t>
      </w:r>
      <w:r w:rsidR="006C6F09">
        <w:t xml:space="preserve"> </w:t>
      </w:r>
      <w:r>
        <w:t>be</w:t>
      </w:r>
      <w:r w:rsidR="006C6F09">
        <w:t xml:space="preserve"> </w:t>
      </w:r>
      <w:r>
        <w:t>developed.</w:t>
      </w:r>
      <w:r w:rsidR="006C6F09">
        <w:t xml:space="preserve"> </w:t>
      </w:r>
      <w:r>
        <w:t>Comment</w:t>
      </w:r>
      <w:r w:rsidR="006C6F09">
        <w:t xml:space="preserve"> </w:t>
      </w:r>
      <w:r>
        <w:t>cards</w:t>
      </w:r>
      <w:r w:rsidR="006C6F09">
        <w:t xml:space="preserve"> </w:t>
      </w:r>
      <w:r>
        <w:t>must</w:t>
      </w:r>
      <w:r w:rsidR="006C6F09">
        <w:t xml:space="preserve"> </w:t>
      </w:r>
      <w:r>
        <w:t>be</w:t>
      </w:r>
      <w:r w:rsidR="006C6F09">
        <w:t xml:space="preserve"> </w:t>
      </w:r>
      <w:r>
        <w:t>made</w:t>
      </w:r>
      <w:r w:rsidR="006C6F09">
        <w:t xml:space="preserve"> </w:t>
      </w:r>
      <w:r>
        <w:t>available</w:t>
      </w:r>
      <w:r w:rsidR="006C6F09">
        <w:t xml:space="preserve"> </w:t>
      </w:r>
      <w:r>
        <w:t>for</w:t>
      </w:r>
      <w:r w:rsidR="006C6F09">
        <w:t xml:space="preserve"> </w:t>
      </w:r>
      <w:r>
        <w:t>attendees</w:t>
      </w:r>
      <w:r w:rsidR="006C6F09">
        <w:t xml:space="preserve"> </w:t>
      </w:r>
      <w:r>
        <w:t>to</w:t>
      </w:r>
      <w:r w:rsidR="006C6F09">
        <w:t xml:space="preserve"> </w:t>
      </w:r>
      <w:r>
        <w:t>submit</w:t>
      </w:r>
      <w:r w:rsidR="006C6F09">
        <w:t xml:space="preserve"> </w:t>
      </w:r>
      <w:r>
        <w:t>written</w:t>
      </w:r>
      <w:r w:rsidR="006C6F09">
        <w:t xml:space="preserve"> </w:t>
      </w:r>
      <w:r>
        <w:t>comments.</w:t>
      </w:r>
      <w:r w:rsidR="006C6F09">
        <w:t xml:space="preserve"> </w:t>
      </w:r>
      <w:r>
        <w:t>Providing</w:t>
      </w:r>
      <w:r w:rsidR="006C6F09">
        <w:t xml:space="preserve"> </w:t>
      </w:r>
      <w:r>
        <w:t>a</w:t>
      </w:r>
      <w:r w:rsidR="006C6F09">
        <w:t xml:space="preserve"> </w:t>
      </w:r>
      <w:r>
        <w:t>table</w:t>
      </w:r>
      <w:r w:rsidR="006C6F09">
        <w:t xml:space="preserve"> </w:t>
      </w:r>
      <w:r>
        <w:t>or</w:t>
      </w:r>
      <w:r w:rsidR="006C6F09">
        <w:t xml:space="preserve"> </w:t>
      </w:r>
      <w:r>
        <w:t>other</w:t>
      </w:r>
      <w:r w:rsidR="006C6F09">
        <w:t xml:space="preserve"> </w:t>
      </w:r>
      <w:r>
        <w:t>specified</w:t>
      </w:r>
      <w:r w:rsidR="006C6F09">
        <w:t xml:space="preserve"> </w:t>
      </w:r>
      <w:r>
        <w:t>area</w:t>
      </w:r>
      <w:r w:rsidR="006C6F09">
        <w:t xml:space="preserve"> </w:t>
      </w:r>
      <w:r>
        <w:t>where</w:t>
      </w:r>
      <w:r w:rsidR="006C6F09">
        <w:t xml:space="preserve"> </w:t>
      </w:r>
      <w:r>
        <w:t>attendees</w:t>
      </w:r>
      <w:r w:rsidR="006C6F09">
        <w:t xml:space="preserve"> </w:t>
      </w:r>
      <w:r>
        <w:t>can</w:t>
      </w:r>
      <w:r w:rsidR="006C6F09">
        <w:t xml:space="preserve"> </w:t>
      </w:r>
      <w:r>
        <w:t>submit</w:t>
      </w:r>
      <w:r w:rsidR="006C6F09">
        <w:t xml:space="preserve"> </w:t>
      </w:r>
      <w:r>
        <w:t>public</w:t>
      </w:r>
      <w:r w:rsidR="006C6F09">
        <w:t xml:space="preserve"> </w:t>
      </w:r>
      <w:r>
        <w:t>comments</w:t>
      </w:r>
      <w:r w:rsidR="006C6F09">
        <w:t xml:space="preserve"> </w:t>
      </w:r>
      <w:r>
        <w:t>is</w:t>
      </w:r>
      <w:r w:rsidR="006C6F09">
        <w:t xml:space="preserve"> </w:t>
      </w:r>
      <w:r>
        <w:t>recommended.</w:t>
      </w:r>
      <w:r w:rsidR="006C6F09">
        <w:t xml:space="preserve"> </w:t>
      </w:r>
      <w:r>
        <w:t>A</w:t>
      </w:r>
      <w:r w:rsidR="006C6F09">
        <w:t xml:space="preserve"> </w:t>
      </w:r>
      <w:r>
        <w:t>court</w:t>
      </w:r>
      <w:r w:rsidR="006C6F09">
        <w:t xml:space="preserve"> </w:t>
      </w:r>
      <w:r>
        <w:t>reporter</w:t>
      </w:r>
      <w:r w:rsidR="006C6F09">
        <w:t xml:space="preserve"> </w:t>
      </w:r>
      <w:r>
        <w:t>is</w:t>
      </w:r>
      <w:r w:rsidR="006C6F09">
        <w:t xml:space="preserve"> </w:t>
      </w:r>
      <w:r>
        <w:t>not</w:t>
      </w:r>
      <w:r w:rsidR="006C6F09">
        <w:t xml:space="preserve"> </w:t>
      </w:r>
      <w:r>
        <w:t>required</w:t>
      </w:r>
      <w:r w:rsidR="006C6F09">
        <w:t xml:space="preserve"> </w:t>
      </w:r>
      <w:r>
        <w:t>for</w:t>
      </w:r>
      <w:r w:rsidR="006C6F09">
        <w:t xml:space="preserve"> </w:t>
      </w:r>
      <w:r>
        <w:t>a</w:t>
      </w:r>
      <w:r w:rsidR="006C6F09">
        <w:t xml:space="preserve"> </w:t>
      </w:r>
      <w:r>
        <w:t>public</w:t>
      </w:r>
      <w:r w:rsidR="006C6F09">
        <w:t xml:space="preserve"> </w:t>
      </w:r>
      <w:r>
        <w:t>meeting</w:t>
      </w:r>
      <w:r w:rsidR="006C6F09">
        <w:t xml:space="preserve"> </w:t>
      </w:r>
      <w:r>
        <w:t>but</w:t>
      </w:r>
      <w:r w:rsidR="006C6F09">
        <w:t xml:space="preserve"> </w:t>
      </w:r>
      <w:r>
        <w:t>may</w:t>
      </w:r>
      <w:r w:rsidR="006C6F09">
        <w:t xml:space="preserve"> </w:t>
      </w:r>
      <w:r>
        <w:t>participate</w:t>
      </w:r>
      <w:r w:rsidR="006C6F09">
        <w:t xml:space="preserve"> </w:t>
      </w:r>
      <w:r>
        <w:t>to</w:t>
      </w:r>
      <w:r w:rsidR="006C6F09">
        <w:t xml:space="preserve"> </w:t>
      </w:r>
      <w:r>
        <w:t>record</w:t>
      </w:r>
      <w:r w:rsidR="006C6F09">
        <w:t xml:space="preserve"> </w:t>
      </w:r>
      <w:r>
        <w:t>comments</w:t>
      </w:r>
      <w:r w:rsidR="006C6F09">
        <w:t xml:space="preserve"> </w:t>
      </w:r>
      <w:r>
        <w:t>provided</w:t>
      </w:r>
      <w:r w:rsidR="006C6F09">
        <w:t xml:space="preserve"> </w:t>
      </w:r>
      <w:r>
        <w:t>by</w:t>
      </w:r>
      <w:r w:rsidR="006C6F09">
        <w:t xml:space="preserve"> </w:t>
      </w:r>
      <w:r>
        <w:t>participants.</w:t>
      </w:r>
    </w:p>
    <w:p w14:paraId="7A080638" w14:textId="61A0B202" w:rsidR="00457754" w:rsidRPr="0087244D" w:rsidRDefault="00457754" w:rsidP="001A7DAF">
      <w:pPr>
        <w:pStyle w:val="Heading4"/>
        <w:spacing w:before="0" w:after="200" w:line="360" w:lineRule="auto"/>
      </w:pPr>
      <w:r w:rsidRPr="0087244D">
        <w:t>4.5.3</w:t>
      </w:r>
      <w:r w:rsidR="006C6F09">
        <w:t xml:space="preserve"> </w:t>
      </w:r>
      <w:r w:rsidRPr="0087244D">
        <w:t>Traffic</w:t>
      </w:r>
      <w:r w:rsidR="006C6F09">
        <w:t xml:space="preserve"> </w:t>
      </w:r>
      <w:r w:rsidRPr="0087244D">
        <w:t>Noise</w:t>
      </w:r>
      <w:r w:rsidR="006C6F09">
        <w:t xml:space="preserve"> </w:t>
      </w:r>
      <w:r w:rsidRPr="0087244D">
        <w:t>Workshops</w:t>
      </w:r>
    </w:p>
    <w:p w14:paraId="20E386A2" w14:textId="68278B0D" w:rsidR="00457754" w:rsidRDefault="00457754" w:rsidP="001A7DAF">
      <w:r w:rsidRPr="00924C37">
        <w:t>As</w:t>
      </w:r>
      <w:r w:rsidR="006C6F09">
        <w:t xml:space="preserve"> </w:t>
      </w:r>
      <w:r w:rsidRPr="00924C37">
        <w:t>explained</w:t>
      </w:r>
      <w:r w:rsidR="006C6F09">
        <w:t xml:space="preserve"> </w:t>
      </w:r>
      <w:r w:rsidRPr="00924C37">
        <w:t>in</w:t>
      </w:r>
      <w:r w:rsidR="006C6F09">
        <w:t xml:space="preserve"> </w:t>
      </w:r>
      <w:r w:rsidRPr="00924C37">
        <w:t>TxDOT’s</w:t>
      </w:r>
      <w:r w:rsidR="006C6F09">
        <w:t xml:space="preserve"> </w:t>
      </w:r>
      <w:r w:rsidRPr="00924C37">
        <w:t>Traffic</w:t>
      </w:r>
      <w:r w:rsidR="006C6F09">
        <w:t xml:space="preserve"> </w:t>
      </w:r>
      <w:r w:rsidRPr="00924C37">
        <w:t>Noise</w:t>
      </w:r>
      <w:r w:rsidR="006C6F09">
        <w:t xml:space="preserve"> </w:t>
      </w:r>
      <w:r w:rsidRPr="00924C37">
        <w:t>Policy</w:t>
      </w:r>
      <w:r w:rsidR="006C6F09">
        <w:t xml:space="preserve"> </w:t>
      </w:r>
      <w:r w:rsidRPr="00924C37">
        <w:t>Implementation</w:t>
      </w:r>
      <w:r w:rsidR="006C6F09">
        <w:t xml:space="preserve"> </w:t>
      </w:r>
      <w:r w:rsidRPr="00924C37">
        <w:t>Guidance,</w:t>
      </w:r>
      <w:r w:rsidR="006C6F09">
        <w:t xml:space="preserve"> </w:t>
      </w:r>
      <w:r w:rsidRPr="00924C37">
        <w:t>a</w:t>
      </w:r>
      <w:r w:rsidR="006C6F09">
        <w:t xml:space="preserve"> </w:t>
      </w:r>
      <w:r w:rsidRPr="00924C37">
        <w:t>separate</w:t>
      </w:r>
      <w:r w:rsidR="006C6F09">
        <w:t xml:space="preserve"> </w:t>
      </w:r>
      <w:r w:rsidRPr="00924C37">
        <w:t>type</w:t>
      </w:r>
      <w:r w:rsidR="006C6F09">
        <w:t xml:space="preserve"> </w:t>
      </w:r>
      <w:r w:rsidRPr="00924C37">
        <w:t>of</w:t>
      </w:r>
      <w:r w:rsidR="006C6F09">
        <w:t xml:space="preserve"> </w:t>
      </w:r>
      <w:r w:rsidRPr="00924C37">
        <w:t>meeting,</w:t>
      </w:r>
      <w:r w:rsidR="006C6F09">
        <w:t xml:space="preserve"> </w:t>
      </w:r>
      <w:r w:rsidRPr="00924C37">
        <w:t>called</w:t>
      </w:r>
      <w:r w:rsidR="006C6F09">
        <w:t xml:space="preserve"> </w:t>
      </w:r>
      <w:r w:rsidRPr="00924C37">
        <w:t>a</w:t>
      </w:r>
      <w:r w:rsidR="006C6F09">
        <w:t xml:space="preserve"> </w:t>
      </w:r>
      <w:r w:rsidRPr="00924C37">
        <w:t>traffic</w:t>
      </w:r>
      <w:r w:rsidR="006C6F09">
        <w:t xml:space="preserve"> </w:t>
      </w:r>
      <w:r w:rsidRPr="00924C37">
        <w:t>noise</w:t>
      </w:r>
      <w:r w:rsidR="006C6F09">
        <w:t xml:space="preserve"> </w:t>
      </w:r>
      <w:r w:rsidRPr="00924C37">
        <w:t>workshop,</w:t>
      </w:r>
      <w:r w:rsidR="006C6F09">
        <w:t xml:space="preserve"> </w:t>
      </w:r>
      <w:r w:rsidRPr="00924C37">
        <w:t>is</w:t>
      </w:r>
      <w:r w:rsidR="006C6F09">
        <w:t xml:space="preserve"> </w:t>
      </w:r>
      <w:r w:rsidRPr="00924C37">
        <w:t>held</w:t>
      </w:r>
      <w:r w:rsidR="006C6F09">
        <w:t xml:space="preserve"> </w:t>
      </w:r>
      <w:r w:rsidRPr="00924C37">
        <w:t>when</w:t>
      </w:r>
      <w:r w:rsidR="006C6F09">
        <w:t xml:space="preserve"> </w:t>
      </w:r>
      <w:r w:rsidRPr="00924C37">
        <w:t>it</w:t>
      </w:r>
      <w:r w:rsidR="006C6F09">
        <w:t xml:space="preserve"> </w:t>
      </w:r>
      <w:r w:rsidRPr="00924C37">
        <w:t>is</w:t>
      </w:r>
      <w:r w:rsidR="006C6F09">
        <w:t xml:space="preserve"> </w:t>
      </w:r>
      <w:r w:rsidRPr="00924C37">
        <w:t>determined</w:t>
      </w:r>
      <w:r w:rsidR="006C6F09">
        <w:t xml:space="preserve"> </w:t>
      </w:r>
      <w:r w:rsidRPr="00924C37">
        <w:t>that</w:t>
      </w:r>
      <w:r w:rsidR="006C6F09">
        <w:t xml:space="preserve"> </w:t>
      </w:r>
      <w:r w:rsidRPr="00924C37">
        <w:t>a</w:t>
      </w:r>
      <w:r w:rsidR="006C6F09">
        <w:t xml:space="preserve"> </w:t>
      </w:r>
      <w:r w:rsidRPr="00924C37">
        <w:t>proposed</w:t>
      </w:r>
      <w:r w:rsidR="006C6F09">
        <w:t xml:space="preserve"> </w:t>
      </w:r>
      <w:r w:rsidRPr="00924C37">
        <w:t>project</w:t>
      </w:r>
      <w:r w:rsidR="006C6F09">
        <w:t xml:space="preserve"> </w:t>
      </w:r>
      <w:r w:rsidRPr="00924C37">
        <w:t>impacts</w:t>
      </w:r>
      <w:r w:rsidR="006C6F09">
        <w:t xml:space="preserve"> </w:t>
      </w:r>
      <w:r w:rsidRPr="00924C37">
        <w:t>noise</w:t>
      </w:r>
      <w:r w:rsidR="006C6F09">
        <w:t xml:space="preserve"> </w:t>
      </w:r>
      <w:r w:rsidRPr="00924C37">
        <w:t>receivers,</w:t>
      </w:r>
      <w:r w:rsidR="006C6F09">
        <w:t xml:space="preserve"> </w:t>
      </w:r>
      <w:r w:rsidRPr="00924C37">
        <w:t>and</w:t>
      </w:r>
      <w:r w:rsidR="006C6F09">
        <w:t xml:space="preserve"> </w:t>
      </w:r>
      <w:r w:rsidRPr="00924C37">
        <w:t>feasible</w:t>
      </w:r>
      <w:r w:rsidR="006C6F09">
        <w:t xml:space="preserve"> </w:t>
      </w:r>
      <w:r w:rsidRPr="00924C37">
        <w:t>and</w:t>
      </w:r>
      <w:r w:rsidR="006C6F09">
        <w:t xml:space="preserve"> </w:t>
      </w:r>
      <w:r w:rsidRPr="00924C37">
        <w:t>reasonable</w:t>
      </w:r>
      <w:r w:rsidR="006C6F09">
        <w:t xml:space="preserve"> </w:t>
      </w:r>
      <w:r w:rsidRPr="00924C37">
        <w:t>abatement</w:t>
      </w:r>
      <w:r w:rsidR="006C6F09">
        <w:t xml:space="preserve"> </w:t>
      </w:r>
      <w:r w:rsidRPr="00924C37">
        <w:t>measures</w:t>
      </w:r>
      <w:r w:rsidR="006C6F09">
        <w:t xml:space="preserve"> </w:t>
      </w:r>
      <w:r w:rsidRPr="00924C37">
        <w:t>have</w:t>
      </w:r>
      <w:r w:rsidR="006C6F09">
        <w:t xml:space="preserve"> </w:t>
      </w:r>
      <w:r w:rsidRPr="00924C37">
        <w:t>been</w:t>
      </w:r>
      <w:r w:rsidR="006C6F09">
        <w:t xml:space="preserve"> </w:t>
      </w:r>
      <w:r w:rsidRPr="00924C37">
        <w:t>identified.</w:t>
      </w:r>
      <w:r w:rsidR="006C6F09">
        <w:t xml:space="preserve"> </w:t>
      </w:r>
      <w:r w:rsidRPr="00924C37">
        <w:t>This</w:t>
      </w:r>
      <w:r w:rsidR="006C6F09">
        <w:t xml:space="preserve"> </w:t>
      </w:r>
      <w:r w:rsidRPr="00924C37">
        <w:t>type</w:t>
      </w:r>
      <w:r w:rsidR="006C6F09">
        <w:t xml:space="preserve"> </w:t>
      </w:r>
      <w:r w:rsidRPr="00924C37">
        <w:t>of</w:t>
      </w:r>
      <w:r w:rsidR="006C6F09">
        <w:t xml:space="preserve"> </w:t>
      </w:r>
      <w:r w:rsidRPr="00924C37">
        <w:t>meeting</w:t>
      </w:r>
      <w:r w:rsidR="006C6F09">
        <w:t xml:space="preserve"> </w:t>
      </w:r>
      <w:r w:rsidRPr="00924C37">
        <w:t>is</w:t>
      </w:r>
      <w:r w:rsidR="006C6F09">
        <w:t xml:space="preserve"> </w:t>
      </w:r>
      <w:r w:rsidRPr="00924C37">
        <w:t>held</w:t>
      </w:r>
      <w:r w:rsidR="006C6F09">
        <w:t xml:space="preserve"> </w:t>
      </w:r>
      <w:r w:rsidRPr="00924C37">
        <w:t>specifically</w:t>
      </w:r>
      <w:r w:rsidR="006C6F09">
        <w:t xml:space="preserve"> </w:t>
      </w:r>
      <w:r w:rsidRPr="00924C37">
        <w:t>to</w:t>
      </w:r>
      <w:r w:rsidR="006C6F09">
        <w:t xml:space="preserve"> </w:t>
      </w:r>
      <w:r w:rsidRPr="00924C37">
        <w:t>allow</w:t>
      </w:r>
      <w:r w:rsidR="006C6F09">
        <w:t xml:space="preserve"> </w:t>
      </w:r>
      <w:r w:rsidRPr="00924C37">
        <w:t>property</w:t>
      </w:r>
      <w:r w:rsidR="006C6F09">
        <w:t xml:space="preserve"> </w:t>
      </w:r>
      <w:r w:rsidRPr="00924C37">
        <w:t>owners</w:t>
      </w:r>
      <w:r w:rsidR="006C6F09">
        <w:t xml:space="preserve"> </w:t>
      </w:r>
      <w:r w:rsidRPr="00924C37">
        <w:t>and</w:t>
      </w:r>
      <w:r w:rsidR="006C6F09">
        <w:t xml:space="preserve"> </w:t>
      </w:r>
      <w:r w:rsidRPr="00924C37">
        <w:t>residents</w:t>
      </w:r>
      <w:r w:rsidR="006C6F09">
        <w:t xml:space="preserve"> </w:t>
      </w:r>
      <w:r w:rsidRPr="00924C37">
        <w:t>adjacent</w:t>
      </w:r>
      <w:r w:rsidR="006C6F09">
        <w:t xml:space="preserve"> </w:t>
      </w:r>
      <w:r w:rsidRPr="00924C37">
        <w:t>to</w:t>
      </w:r>
      <w:r w:rsidR="006C6F09">
        <w:t xml:space="preserve"> </w:t>
      </w:r>
      <w:r w:rsidRPr="00924C37">
        <w:t>proposed</w:t>
      </w:r>
      <w:r w:rsidR="006C6F09">
        <w:t xml:space="preserve"> </w:t>
      </w:r>
      <w:r w:rsidRPr="00924C37">
        <w:t>abatement</w:t>
      </w:r>
      <w:r w:rsidR="006C6F09">
        <w:t xml:space="preserve"> </w:t>
      </w:r>
      <w:r w:rsidRPr="00924C37">
        <w:t>measures</w:t>
      </w:r>
      <w:r w:rsidR="006C6F09">
        <w:t xml:space="preserve"> </w:t>
      </w:r>
      <w:r w:rsidRPr="00924C37">
        <w:t>to</w:t>
      </w:r>
      <w:r w:rsidR="006C6F09">
        <w:t xml:space="preserve"> </w:t>
      </w:r>
      <w:r w:rsidRPr="00924C37">
        <w:t>provide</w:t>
      </w:r>
      <w:r w:rsidR="006C6F09">
        <w:t xml:space="preserve"> </w:t>
      </w:r>
      <w:r w:rsidRPr="00924C37">
        <w:t>input</w:t>
      </w:r>
      <w:r w:rsidR="006C6F09">
        <w:t xml:space="preserve"> </w:t>
      </w:r>
      <w:r w:rsidRPr="00924C37">
        <w:t>on</w:t>
      </w:r>
      <w:r w:rsidR="006C6F09">
        <w:t xml:space="preserve"> </w:t>
      </w:r>
      <w:r w:rsidRPr="00924C37">
        <w:t>such</w:t>
      </w:r>
      <w:r w:rsidR="006C6F09">
        <w:t xml:space="preserve"> </w:t>
      </w:r>
      <w:r w:rsidRPr="00924C37">
        <w:t>measures</w:t>
      </w:r>
      <w:r w:rsidR="006C6F09">
        <w:t xml:space="preserve"> </w:t>
      </w:r>
      <w:r w:rsidRPr="00924C37">
        <w:t>and</w:t>
      </w:r>
      <w:r w:rsidR="006C6F09">
        <w:t xml:space="preserve"> </w:t>
      </w:r>
      <w:r w:rsidRPr="00924C37">
        <w:t>therefore</w:t>
      </w:r>
      <w:r w:rsidR="006C6F09">
        <w:t xml:space="preserve"> </w:t>
      </w:r>
      <w:r w:rsidRPr="00924C37">
        <w:t>is</w:t>
      </w:r>
      <w:r w:rsidR="006C6F09">
        <w:t xml:space="preserve"> </w:t>
      </w:r>
      <w:r w:rsidR="008D2B7E" w:rsidRPr="00924C37">
        <w:t>not</w:t>
      </w:r>
      <w:r w:rsidR="006C6F09">
        <w:t xml:space="preserve"> </w:t>
      </w:r>
      <w:r w:rsidRPr="00924C37">
        <w:t>advertised</w:t>
      </w:r>
      <w:r w:rsidR="006C6F09">
        <w:t xml:space="preserve"> </w:t>
      </w:r>
      <w:r w:rsidRPr="00924C37">
        <w:t>to</w:t>
      </w:r>
      <w:r w:rsidR="006C6F09">
        <w:t xml:space="preserve"> </w:t>
      </w:r>
      <w:r w:rsidRPr="00924C37">
        <w:t>the</w:t>
      </w:r>
      <w:r w:rsidR="006C6F09">
        <w:t xml:space="preserve"> </w:t>
      </w:r>
      <w:r w:rsidRPr="00924C37">
        <w:t>public</w:t>
      </w:r>
      <w:r w:rsidR="006C6F09">
        <w:t xml:space="preserve"> </w:t>
      </w:r>
      <w:r w:rsidR="005A6693" w:rsidRPr="00924C37">
        <w:t>at</w:t>
      </w:r>
      <w:r w:rsidR="006C6F09">
        <w:t xml:space="preserve"> </w:t>
      </w:r>
      <w:r w:rsidR="005A6693" w:rsidRPr="00924C37">
        <w:t>large</w:t>
      </w:r>
      <w:r w:rsidRPr="00924C37">
        <w:t>.</w:t>
      </w:r>
    </w:p>
    <w:p w14:paraId="53B0CB18" w14:textId="56B61357" w:rsidR="00457754" w:rsidRDefault="00457754" w:rsidP="001A7DAF">
      <w:r>
        <w:t>Regardless</w:t>
      </w:r>
      <w:r w:rsidR="006C6F09">
        <w:t xml:space="preserve"> </w:t>
      </w:r>
      <w:r>
        <w:t>of</w:t>
      </w:r>
      <w:r w:rsidR="006C6F09">
        <w:t xml:space="preserve"> </w:t>
      </w:r>
      <w:r>
        <w:t>which</w:t>
      </w:r>
      <w:r w:rsidR="006C6F09">
        <w:t xml:space="preserve"> </w:t>
      </w:r>
      <w:r>
        <w:t>format</w:t>
      </w:r>
      <w:r w:rsidR="006C6F09">
        <w:t xml:space="preserve"> </w:t>
      </w:r>
      <w:r>
        <w:t>for</w:t>
      </w:r>
      <w:r w:rsidR="006C6F09">
        <w:t xml:space="preserve"> </w:t>
      </w:r>
      <w:r>
        <w:t>a</w:t>
      </w:r>
      <w:r w:rsidR="006C6F09">
        <w:t xml:space="preserve"> </w:t>
      </w:r>
      <w:r>
        <w:t>public</w:t>
      </w:r>
      <w:r w:rsidR="006C6F09">
        <w:t xml:space="preserve"> </w:t>
      </w:r>
      <w:r>
        <w:t>meeting</w:t>
      </w:r>
      <w:r w:rsidR="006C6F09">
        <w:t xml:space="preserve"> </w:t>
      </w:r>
      <w:r>
        <w:t>is</w:t>
      </w:r>
      <w:r w:rsidR="006C6F09">
        <w:t xml:space="preserve"> </w:t>
      </w:r>
      <w:r>
        <w:t>followed,</w:t>
      </w:r>
      <w:r w:rsidR="006C6F09">
        <w:t xml:space="preserve"> </w:t>
      </w:r>
      <w:r>
        <w:t>attendees’</w:t>
      </w:r>
      <w:r w:rsidR="006C6F09">
        <w:t xml:space="preserve"> </w:t>
      </w:r>
      <w:r>
        <w:t>email</w:t>
      </w:r>
      <w:r w:rsidR="006C6F09">
        <w:t xml:space="preserve"> </w:t>
      </w:r>
      <w:r>
        <w:t>addresses</w:t>
      </w:r>
      <w:r w:rsidR="006C6F09">
        <w:t xml:space="preserve"> </w:t>
      </w:r>
      <w:r>
        <w:t>should</w:t>
      </w:r>
      <w:r w:rsidR="006C6F09">
        <w:t xml:space="preserve"> </w:t>
      </w:r>
      <w:r w:rsidR="008D2B7E">
        <w:t>not</w:t>
      </w:r>
      <w:r w:rsidR="006C6F09">
        <w:t xml:space="preserve"> </w:t>
      </w:r>
      <w:r>
        <w:t>be</w:t>
      </w:r>
      <w:r w:rsidR="006C6F09">
        <w:t xml:space="preserve"> </w:t>
      </w:r>
      <w:r>
        <w:t>collected</w:t>
      </w:r>
      <w:r w:rsidR="006C6F09">
        <w:t xml:space="preserve"> </w:t>
      </w:r>
      <w:r>
        <w:t>on</w:t>
      </w:r>
      <w:r w:rsidR="006C6F09">
        <w:t xml:space="preserve"> </w:t>
      </w:r>
      <w:r>
        <w:t>the</w:t>
      </w:r>
      <w:r w:rsidR="006C6F09">
        <w:t xml:space="preserve"> </w:t>
      </w:r>
      <w:r>
        <w:t>sign-in</w:t>
      </w:r>
      <w:r w:rsidR="006C6F09">
        <w:t xml:space="preserve"> </w:t>
      </w:r>
      <w:r>
        <w:t>sheet.</w:t>
      </w:r>
      <w:r w:rsidR="006C6F09">
        <w:t xml:space="preserve"> </w:t>
      </w:r>
      <w:r>
        <w:t>However,</w:t>
      </w:r>
      <w:r w:rsidR="006C6F09">
        <w:t xml:space="preserve"> </w:t>
      </w:r>
      <w:r>
        <w:t>if</w:t>
      </w:r>
      <w:r w:rsidR="006C6F09">
        <w:t xml:space="preserve"> </w:t>
      </w:r>
      <w:r>
        <w:t>the</w:t>
      </w:r>
      <w:r w:rsidR="006C6F09">
        <w:t xml:space="preserve"> </w:t>
      </w:r>
      <w:r>
        <w:t>district,</w:t>
      </w:r>
      <w:r w:rsidR="006C6F09">
        <w:t xml:space="preserve"> </w:t>
      </w:r>
      <w:r>
        <w:t>or</w:t>
      </w:r>
      <w:r w:rsidR="006C6F09">
        <w:t xml:space="preserve"> </w:t>
      </w:r>
      <w:r>
        <w:t>the</w:t>
      </w:r>
      <w:r w:rsidR="006C6F09">
        <w:t xml:space="preserve"> </w:t>
      </w:r>
      <w:r>
        <w:t>core</w:t>
      </w:r>
      <w:r w:rsidR="006C6F09">
        <w:t xml:space="preserve"> </w:t>
      </w:r>
      <w:r>
        <w:t>team</w:t>
      </w:r>
      <w:r w:rsidR="006C6F09">
        <w:t xml:space="preserve"> </w:t>
      </w:r>
      <w:r>
        <w:t>in</w:t>
      </w:r>
      <w:r w:rsidR="006C6F09">
        <w:t xml:space="preserve"> </w:t>
      </w:r>
      <w:r>
        <w:t>the</w:t>
      </w:r>
      <w:r w:rsidR="006C6F09">
        <w:t xml:space="preserve"> </w:t>
      </w:r>
      <w:r>
        <w:t>case</w:t>
      </w:r>
      <w:r w:rsidR="006C6F09">
        <w:t xml:space="preserve"> </w:t>
      </w:r>
      <w:r>
        <w:t>of</w:t>
      </w:r>
      <w:r w:rsidR="006C6F09">
        <w:t xml:space="preserve"> </w:t>
      </w:r>
      <w:r>
        <w:t>an</w:t>
      </w:r>
      <w:r w:rsidR="006C6F09">
        <w:t xml:space="preserve"> </w:t>
      </w:r>
      <w:r>
        <w:t>EA</w:t>
      </w:r>
      <w:r w:rsidR="006C6F09">
        <w:t xml:space="preserve"> </w:t>
      </w:r>
      <w:r>
        <w:t>(Environmental</w:t>
      </w:r>
      <w:r w:rsidR="006C6F09">
        <w:t xml:space="preserve"> </w:t>
      </w:r>
      <w:r>
        <w:t>Assessment)</w:t>
      </w:r>
      <w:r w:rsidR="006C6F09">
        <w:t xml:space="preserve"> </w:t>
      </w:r>
      <w:r>
        <w:t>or</w:t>
      </w:r>
      <w:r w:rsidR="006C6F09">
        <w:t xml:space="preserve"> </w:t>
      </w:r>
      <w:r>
        <w:t>EIS</w:t>
      </w:r>
      <w:r w:rsidR="006C6F09">
        <w:t xml:space="preserve"> </w:t>
      </w:r>
      <w:r>
        <w:t>(Environmental</w:t>
      </w:r>
      <w:r w:rsidR="006C6F09">
        <w:t xml:space="preserve"> </w:t>
      </w:r>
      <w:r>
        <w:t>Impact</w:t>
      </w:r>
      <w:r w:rsidR="006C6F09">
        <w:t xml:space="preserve"> </w:t>
      </w:r>
      <w:r>
        <w:t>Statement),</w:t>
      </w:r>
      <w:r w:rsidR="006C6F09">
        <w:t xml:space="preserve"> </w:t>
      </w:r>
      <w:r>
        <w:t>determine</w:t>
      </w:r>
      <w:r w:rsidR="006C6F09">
        <w:t xml:space="preserve"> </w:t>
      </w:r>
      <w:r>
        <w:t>during</w:t>
      </w:r>
      <w:r w:rsidR="006C6F09">
        <w:t xml:space="preserve"> </w:t>
      </w:r>
      <w:r>
        <w:t>scoping</w:t>
      </w:r>
      <w:r w:rsidR="006C6F09">
        <w:t xml:space="preserve"> </w:t>
      </w:r>
      <w:r>
        <w:t>that</w:t>
      </w:r>
      <w:r w:rsidR="006C6F09">
        <w:t xml:space="preserve"> </w:t>
      </w:r>
      <w:r>
        <w:t>there</w:t>
      </w:r>
      <w:r w:rsidR="006C6F09">
        <w:t xml:space="preserve"> </w:t>
      </w:r>
      <w:r>
        <w:t>is</w:t>
      </w:r>
      <w:r w:rsidR="006C6F09">
        <w:t xml:space="preserve"> </w:t>
      </w:r>
      <w:r>
        <w:t>a</w:t>
      </w:r>
      <w:r w:rsidR="006C6F09">
        <w:t xml:space="preserve"> </w:t>
      </w:r>
      <w:r>
        <w:t>valid</w:t>
      </w:r>
      <w:r w:rsidR="006C6F09">
        <w:t xml:space="preserve"> </w:t>
      </w:r>
      <w:r>
        <w:t>reason</w:t>
      </w:r>
      <w:r w:rsidR="006C6F09">
        <w:t xml:space="preserve"> </w:t>
      </w:r>
      <w:r>
        <w:t>for</w:t>
      </w:r>
      <w:r w:rsidR="006C6F09">
        <w:t xml:space="preserve"> </w:t>
      </w:r>
      <w:r>
        <w:t>collecting</w:t>
      </w:r>
      <w:r w:rsidR="006C6F09">
        <w:t xml:space="preserve"> </w:t>
      </w:r>
      <w:r>
        <w:t>attendees’</w:t>
      </w:r>
      <w:r w:rsidR="006C6F09">
        <w:t xml:space="preserve"> </w:t>
      </w:r>
      <w:r>
        <w:t>email</w:t>
      </w:r>
      <w:r w:rsidR="006C6F09">
        <w:t xml:space="preserve"> </w:t>
      </w:r>
      <w:r>
        <w:t>addresses</w:t>
      </w:r>
      <w:r w:rsidR="006C6F09">
        <w:t xml:space="preserve"> </w:t>
      </w:r>
      <w:r>
        <w:t>on</w:t>
      </w:r>
      <w:r w:rsidR="006C6F09">
        <w:t xml:space="preserve"> </w:t>
      </w:r>
      <w:r>
        <w:t>the</w:t>
      </w:r>
      <w:r w:rsidR="006C6F09">
        <w:t xml:space="preserve"> </w:t>
      </w:r>
      <w:r>
        <w:t>sign-in</w:t>
      </w:r>
      <w:r w:rsidR="006C6F09">
        <w:t xml:space="preserve"> </w:t>
      </w:r>
      <w:r>
        <w:t>sheet</w:t>
      </w:r>
      <w:r w:rsidR="006C6F09">
        <w:t xml:space="preserve"> </w:t>
      </w:r>
      <w:r>
        <w:t>(in</w:t>
      </w:r>
      <w:r w:rsidR="006C6F09">
        <w:t xml:space="preserve"> </w:t>
      </w:r>
      <w:r>
        <w:t>other</w:t>
      </w:r>
      <w:r w:rsidR="006C6F09">
        <w:t xml:space="preserve"> </w:t>
      </w:r>
      <w:r>
        <w:t>words,</w:t>
      </w:r>
      <w:r w:rsidR="006C6F09">
        <w:t xml:space="preserve"> </w:t>
      </w:r>
      <w:r>
        <w:t>to</w:t>
      </w:r>
      <w:r w:rsidR="006C6F09">
        <w:t xml:space="preserve"> </w:t>
      </w:r>
      <w:r>
        <w:t>provide</w:t>
      </w:r>
      <w:r w:rsidR="006C6F09">
        <w:t xml:space="preserve"> </w:t>
      </w:r>
      <w:r>
        <w:t>project</w:t>
      </w:r>
      <w:r w:rsidR="006C6F09">
        <w:t xml:space="preserve"> </w:t>
      </w:r>
      <w:r>
        <w:t>updates,</w:t>
      </w:r>
      <w:r w:rsidR="006C6F09">
        <w:t xml:space="preserve"> </w:t>
      </w:r>
      <w:r>
        <w:t>newsletters,</w:t>
      </w:r>
      <w:r w:rsidR="006C6F09">
        <w:t xml:space="preserve"> </w:t>
      </w:r>
      <w:r>
        <w:t>or</w:t>
      </w:r>
      <w:r w:rsidR="006C6F09">
        <w:t xml:space="preserve"> </w:t>
      </w:r>
      <w:r>
        <w:t>other</w:t>
      </w:r>
      <w:r w:rsidR="006C6F09">
        <w:t xml:space="preserve"> </w:t>
      </w:r>
      <w:r>
        <w:t>information</w:t>
      </w:r>
      <w:r w:rsidR="006C6F09">
        <w:t xml:space="preserve"> </w:t>
      </w:r>
      <w:r>
        <w:t>about</w:t>
      </w:r>
      <w:r w:rsidR="006C6F09">
        <w:t xml:space="preserve"> </w:t>
      </w:r>
      <w:r>
        <w:t>the</w:t>
      </w:r>
      <w:r w:rsidR="006C6F09">
        <w:t xml:space="preserve"> </w:t>
      </w:r>
      <w:r>
        <w:t>project</w:t>
      </w:r>
      <w:r w:rsidR="006C6F09">
        <w:t xml:space="preserve"> </w:t>
      </w:r>
      <w:r>
        <w:t>by</w:t>
      </w:r>
      <w:r w:rsidR="006C6F09">
        <w:t xml:space="preserve"> </w:t>
      </w:r>
      <w:r>
        <w:t>email),</w:t>
      </w:r>
      <w:r w:rsidR="006C6F09">
        <w:t xml:space="preserve"> </w:t>
      </w:r>
      <w:r>
        <w:t>then</w:t>
      </w:r>
      <w:r w:rsidR="006C6F09">
        <w:t xml:space="preserve"> </w:t>
      </w:r>
      <w:r>
        <w:t>any</w:t>
      </w:r>
      <w:r w:rsidR="006C6F09">
        <w:t xml:space="preserve"> </w:t>
      </w:r>
      <w:r>
        <w:t>email</w:t>
      </w:r>
      <w:r w:rsidR="006C6F09">
        <w:t xml:space="preserve"> </w:t>
      </w:r>
      <w:r>
        <w:t>addresses</w:t>
      </w:r>
      <w:r w:rsidR="006C6F09">
        <w:t xml:space="preserve"> </w:t>
      </w:r>
      <w:r>
        <w:t>provided</w:t>
      </w:r>
      <w:r w:rsidR="006C6F09">
        <w:t xml:space="preserve"> </w:t>
      </w:r>
      <w:r>
        <w:t>by</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must</w:t>
      </w:r>
      <w:r w:rsidR="006C6F09">
        <w:t xml:space="preserve"> </w:t>
      </w:r>
      <w:r>
        <w:t>be</w:t>
      </w:r>
      <w:r w:rsidR="006C6F09">
        <w:t xml:space="preserve"> </w:t>
      </w:r>
      <w:r>
        <w:t>redacted</w:t>
      </w:r>
      <w:r w:rsidR="006C6F09">
        <w:t xml:space="preserve"> </w:t>
      </w:r>
      <w:r>
        <w:t>from</w:t>
      </w:r>
      <w:r w:rsidR="006C6F09">
        <w:t xml:space="preserve"> </w:t>
      </w:r>
      <w:r>
        <w:t>any</w:t>
      </w:r>
      <w:r w:rsidR="006C6F09">
        <w:t xml:space="preserve"> </w:t>
      </w:r>
      <w:r>
        <w:t>publicly</w:t>
      </w:r>
      <w:r w:rsidR="006C6F09">
        <w:t xml:space="preserve"> </w:t>
      </w:r>
      <w:r>
        <w:t>available</w:t>
      </w:r>
      <w:r w:rsidR="006C6F09">
        <w:t xml:space="preserve"> </w:t>
      </w:r>
      <w:r>
        <w:t>documents</w:t>
      </w:r>
      <w:r w:rsidR="006C6F09">
        <w:t xml:space="preserve"> </w:t>
      </w:r>
      <w:r>
        <w:t>and</w:t>
      </w:r>
      <w:r w:rsidR="006C6F09">
        <w:t xml:space="preserve"> </w:t>
      </w:r>
      <w:r>
        <w:t>withheld</w:t>
      </w:r>
      <w:r w:rsidR="006C6F09">
        <w:t xml:space="preserve"> </w:t>
      </w:r>
      <w:r>
        <w:t>from</w:t>
      </w:r>
      <w:r w:rsidR="006C6F09">
        <w:t xml:space="preserve"> </w:t>
      </w:r>
      <w:r>
        <w:t>public</w:t>
      </w:r>
      <w:r w:rsidR="006C6F09">
        <w:t xml:space="preserve"> </w:t>
      </w:r>
      <w:r>
        <w:t>disclosure</w:t>
      </w:r>
      <w:r w:rsidR="006C6F09">
        <w:t xml:space="preserve"> </w:t>
      </w:r>
      <w:r>
        <w:t>in</w:t>
      </w:r>
      <w:r w:rsidR="006C6F09">
        <w:t xml:space="preserve"> </w:t>
      </w:r>
      <w:r>
        <w:t>accordance</w:t>
      </w:r>
      <w:r w:rsidR="006C6F09">
        <w:t xml:space="preserve"> </w:t>
      </w:r>
      <w:r>
        <w:t>with</w:t>
      </w:r>
      <w:r w:rsidR="006C6F09">
        <w:t xml:space="preserve"> </w:t>
      </w:r>
      <w:r w:rsidRPr="00D6221A">
        <w:t>Texas</w:t>
      </w:r>
      <w:r w:rsidR="006C6F09">
        <w:t xml:space="preserve"> </w:t>
      </w:r>
      <w:r w:rsidRPr="00D6221A">
        <w:t>Government</w:t>
      </w:r>
      <w:r w:rsidR="006C6F09">
        <w:t xml:space="preserve"> </w:t>
      </w:r>
      <w:r w:rsidRPr="00D6221A">
        <w:t>Code</w:t>
      </w:r>
      <w:r w:rsidR="006C6F09">
        <w:rPr>
          <w:i/>
          <w:iCs/>
        </w:rPr>
        <w:t xml:space="preserve"> </w:t>
      </w:r>
      <w:r>
        <w:t>552.137(a)</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t>Texas</w:t>
      </w:r>
      <w:r w:rsidR="006C6F09">
        <w:t xml:space="preserve"> </w:t>
      </w:r>
      <w:r w:rsidRPr="00D6221A">
        <w:t>Attorney</w:t>
      </w:r>
      <w:r w:rsidR="006C6F09">
        <w:t xml:space="preserve"> </w:t>
      </w:r>
      <w:r w:rsidRPr="00D6221A">
        <w:t>General’s</w:t>
      </w:r>
      <w:r w:rsidR="006C6F09">
        <w:t xml:space="preserve"> </w:t>
      </w:r>
      <w:r w:rsidRPr="00D6221A">
        <w:t>2020</w:t>
      </w:r>
      <w:r w:rsidR="006C6F09">
        <w:t xml:space="preserve"> </w:t>
      </w:r>
      <w:r w:rsidRPr="00D6221A">
        <w:t>Public</w:t>
      </w:r>
      <w:r w:rsidR="006C6F09">
        <w:t xml:space="preserve"> </w:t>
      </w:r>
      <w:r w:rsidRPr="00D6221A">
        <w:t>Information</w:t>
      </w:r>
      <w:r w:rsidR="006C6F09">
        <w:t xml:space="preserve"> </w:t>
      </w:r>
      <w:r w:rsidRPr="00D6221A">
        <w:t>Act</w:t>
      </w:r>
      <w:r w:rsidR="006C6F09">
        <w:t xml:space="preserve"> </w:t>
      </w:r>
      <w:r w:rsidRPr="00D6221A">
        <w:t>Handbook</w:t>
      </w:r>
      <w:r w:rsidR="006C6F09">
        <w:t xml:space="preserve"> </w:t>
      </w:r>
      <w:r>
        <w:t>at</w:t>
      </w:r>
      <w:r w:rsidR="006C6F09">
        <w:t xml:space="preserve"> </w:t>
      </w:r>
      <w:r>
        <w:t>pages</w:t>
      </w:r>
      <w:r w:rsidR="006C6F09">
        <w:t xml:space="preserve"> </w:t>
      </w:r>
      <w:r>
        <w:t>161-</w:t>
      </w:r>
      <w:r>
        <w:lastRenderedPageBreak/>
        <w:t>162).</w:t>
      </w:r>
      <w:r w:rsidR="00135456">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t>to</w:t>
      </w:r>
      <w:r w:rsidR="006C6F09">
        <w:t xml:space="preserve"> </w:t>
      </w:r>
      <w:r>
        <w:t>redact</w:t>
      </w:r>
      <w:r w:rsidR="006C6F09">
        <w:t xml:space="preserve"> </w:t>
      </w:r>
      <w:r>
        <w:t>physical</w:t>
      </w:r>
      <w:r w:rsidR="006C6F09">
        <w:t xml:space="preserve"> </w:t>
      </w:r>
      <w:r>
        <w:t>addresses.</w:t>
      </w:r>
      <w:r w:rsidR="006C6F09">
        <w:t xml:space="preserve"> </w:t>
      </w:r>
      <w:proofErr w:type="gramStart"/>
      <w:r>
        <w:t>Redaction</w:t>
      </w:r>
      <w:proofErr w:type="gramEnd"/>
      <w:r w:rsidR="006C6F09">
        <w:t xml:space="preserve"> </w:t>
      </w:r>
      <w:r>
        <w:t>of</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done</w:t>
      </w:r>
      <w:r w:rsidR="006C6F09">
        <w:t xml:space="preserve"> </w:t>
      </w:r>
      <w:r>
        <w:t>on</w:t>
      </w:r>
      <w:r w:rsidR="006C6F09">
        <w:t xml:space="preserve"> </w:t>
      </w:r>
      <w:r>
        <w:t>a</w:t>
      </w:r>
      <w:r w:rsidR="006C6F09">
        <w:t xml:space="preserve"> </w:t>
      </w:r>
      <w:r>
        <w:t>discretionary</w:t>
      </w:r>
      <w:r w:rsidR="006C6F09">
        <w:t xml:space="preserve"> </w:t>
      </w:r>
      <w:r>
        <w:t>basis.</w:t>
      </w:r>
      <w:r w:rsidR="006C6F09">
        <w:t xml:space="preserve"> </w:t>
      </w:r>
    </w:p>
    <w:p w14:paraId="406C342E" w14:textId="391F6942" w:rsidR="00457754" w:rsidRDefault="00457754" w:rsidP="001A7DAF">
      <w:r>
        <w:t>For</w:t>
      </w:r>
      <w:r w:rsidR="006C6F09">
        <w:t xml:space="preserve"> </w:t>
      </w:r>
      <w:r>
        <w:t>EA</w:t>
      </w:r>
      <w:r w:rsidR="006C6F09">
        <w:t xml:space="preserve"> </w:t>
      </w:r>
      <w:r>
        <w:t>and</w:t>
      </w:r>
      <w:r w:rsidR="006C6F09">
        <w:t xml:space="preserve"> </w:t>
      </w:r>
      <w:r>
        <w:t>EIS</w:t>
      </w:r>
      <w:r w:rsidR="006C6F09">
        <w:t xml:space="preserve"> </w:t>
      </w:r>
      <w:r>
        <w:t>projects,</w:t>
      </w:r>
      <w:r w:rsidR="006C6F09">
        <w:t xml:space="preserve"> </w:t>
      </w:r>
      <w:r>
        <w:t>it</w:t>
      </w:r>
      <w:r w:rsidR="006C6F09">
        <w:t xml:space="preserve"> </w:t>
      </w:r>
      <w:r>
        <w:t>is</w:t>
      </w:r>
      <w:r w:rsidR="006C6F09">
        <w:t xml:space="preserve"> </w:t>
      </w:r>
      <w:r>
        <w:t>recommended</w:t>
      </w:r>
      <w:r w:rsidR="006C6F09">
        <w:t xml:space="preserve"> </w:t>
      </w:r>
      <w:r>
        <w:t>(but</w:t>
      </w:r>
      <w:r w:rsidR="006C6F09">
        <w:t xml:space="preserve"> </w:t>
      </w:r>
      <w:r>
        <w:t>not</w:t>
      </w:r>
      <w:r w:rsidR="006C6F09">
        <w:t xml:space="preserve"> </w:t>
      </w:r>
      <w:r>
        <w:t>required)</w:t>
      </w:r>
      <w:r w:rsidR="006C6F09">
        <w:t xml:space="preserve"> </w:t>
      </w:r>
      <w:r>
        <w:t>that</w:t>
      </w:r>
      <w:r w:rsidR="006C6F09">
        <w:t xml:space="preserve"> </w:t>
      </w:r>
      <w:r>
        <w:t>ENV</w:t>
      </w:r>
      <w:r w:rsidR="006C6F09">
        <w:t xml:space="preserve"> </w:t>
      </w:r>
      <w:r>
        <w:t>Project</w:t>
      </w:r>
      <w:r w:rsidR="006C6F09">
        <w:t xml:space="preserve"> </w:t>
      </w:r>
      <w:r>
        <w:t>Delivery</w:t>
      </w:r>
      <w:r w:rsidR="006C6F09">
        <w:t xml:space="preserve"> </w:t>
      </w:r>
      <w:r>
        <w:t>Staff</w:t>
      </w:r>
      <w:r w:rsidR="006C6F09">
        <w:t xml:space="preserve"> </w:t>
      </w:r>
      <w:r>
        <w:t>review</w:t>
      </w:r>
      <w:r w:rsidR="006C6F09">
        <w:t xml:space="preserve"> </w:t>
      </w:r>
      <w:r>
        <w:t>the</w:t>
      </w:r>
      <w:r w:rsidR="006C6F09">
        <w:t xml:space="preserve"> </w:t>
      </w:r>
      <w:r>
        <w:t>public</w:t>
      </w:r>
      <w:r w:rsidR="006C6F09">
        <w:t xml:space="preserve"> </w:t>
      </w:r>
      <w:r>
        <w:t>meeting</w:t>
      </w:r>
      <w:r w:rsidR="006C6F09">
        <w:t xml:space="preserve"> </w:t>
      </w:r>
      <w:r>
        <w:t>materials</w:t>
      </w:r>
      <w:r w:rsidR="006C6F09">
        <w:t xml:space="preserve"> </w:t>
      </w:r>
      <w:r>
        <w:t>before</w:t>
      </w:r>
      <w:r w:rsidR="006C6F09">
        <w:t xml:space="preserve"> </w:t>
      </w:r>
      <w:r>
        <w:t>the</w:t>
      </w:r>
      <w:r w:rsidR="006C6F09">
        <w:t xml:space="preserve"> </w:t>
      </w:r>
      <w:r>
        <w:t>public</w:t>
      </w:r>
      <w:r w:rsidR="006C6F09">
        <w:t xml:space="preserve"> </w:t>
      </w:r>
      <w:r>
        <w:t>meeting.</w:t>
      </w:r>
    </w:p>
    <w:p w14:paraId="121AA819" w14:textId="706168B5" w:rsidR="00457754" w:rsidRPr="00452949" w:rsidRDefault="00457754" w:rsidP="00457754">
      <w:pPr>
        <w:pStyle w:val="Heading2"/>
      </w:pPr>
      <w:bookmarkStart w:id="53" w:name="_Ref219790360"/>
      <w:bookmarkStart w:id="54" w:name="_Toc224026212"/>
      <w:r w:rsidRPr="00452949">
        <w:t>5.0</w:t>
      </w:r>
      <w:r w:rsidR="006C6F09">
        <w:t xml:space="preserve"> </w:t>
      </w:r>
      <w:r w:rsidRPr="00452949">
        <w:t>Opportunity</w:t>
      </w:r>
      <w:r w:rsidR="006C6F09">
        <w:t xml:space="preserve"> </w:t>
      </w:r>
      <w:r w:rsidRPr="00452949">
        <w:t>for</w:t>
      </w:r>
      <w:r w:rsidR="006C6F09">
        <w:t xml:space="preserve"> </w:t>
      </w:r>
      <w:r w:rsidRPr="00452949">
        <w:t>Public</w:t>
      </w:r>
      <w:r w:rsidR="006C6F09">
        <w:t xml:space="preserve"> </w:t>
      </w:r>
      <w:r w:rsidRPr="00452949">
        <w:t>Hearing</w:t>
      </w:r>
      <w:bookmarkEnd w:id="53"/>
      <w:bookmarkEnd w:id="54"/>
      <w:r w:rsidR="006C6F09">
        <w:t xml:space="preserve"> </w:t>
      </w:r>
    </w:p>
    <w:p w14:paraId="23AF8354" w14:textId="7A442A9B" w:rsidR="00457754" w:rsidRDefault="00457754" w:rsidP="00457754">
      <w:r>
        <w:t>For</w:t>
      </w:r>
      <w:r w:rsidR="006C6F09">
        <w:t xml:space="preserve"> </w:t>
      </w:r>
      <w:r>
        <w:t>projects</w:t>
      </w:r>
      <w:r w:rsidR="006C6F09">
        <w:t xml:space="preserve"> </w:t>
      </w:r>
      <w:r>
        <w:t>that</w:t>
      </w:r>
      <w:r w:rsidR="006C6F09">
        <w:t xml:space="preserve"> </w:t>
      </w:r>
      <w:r>
        <w:t>trigger</w:t>
      </w:r>
      <w:r w:rsidR="006C6F09">
        <w:t xml:space="preserve"> </w:t>
      </w:r>
      <w:r>
        <w:t>the</w:t>
      </w:r>
      <w:r w:rsidR="006C6F09">
        <w:t xml:space="preserve"> </w:t>
      </w:r>
      <w:r>
        <w:t>requirement</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(for</w:t>
      </w:r>
      <w:r w:rsidR="006C6F09">
        <w:t xml:space="preserve"> </w:t>
      </w:r>
      <w:r>
        <w:t>example,</w:t>
      </w:r>
      <w:r w:rsidR="006C6F09">
        <w:t xml:space="preserve"> </w:t>
      </w:r>
      <w:r>
        <w:t>EIS</w:t>
      </w:r>
      <w:r w:rsidR="006C6F09">
        <w:t xml:space="preserve"> </w:t>
      </w:r>
      <w:r>
        <w:t>projects),</w:t>
      </w:r>
      <w:r w:rsidR="006C6F09">
        <w:t xml:space="preserve"> </w:t>
      </w:r>
      <w:r>
        <w:t>this</w:t>
      </w:r>
      <w:r w:rsidR="006C6F09">
        <w:t xml:space="preserve"> </w:t>
      </w:r>
      <w:r>
        <w:t>Section</w:t>
      </w:r>
      <w:r w:rsidR="006C6F09">
        <w:t xml:space="preserve"> </w:t>
      </w:r>
      <w:r w:rsidRPr="009D494C">
        <w:fldChar w:fldCharType="begin"/>
      </w:r>
      <w:r w:rsidRPr="009D494C">
        <w:instrText xml:space="preserve"> REF _Ref219790360 \h  \* MERGEFORMAT </w:instrText>
      </w:r>
      <w:r w:rsidRPr="009D494C">
        <w:fldChar w:fldCharType="separate"/>
      </w:r>
      <w:r w:rsidRPr="009D494C">
        <w:t>5.0</w:t>
      </w:r>
      <w:r w:rsidR="006C6F09">
        <w:t xml:space="preserve"> </w:t>
      </w:r>
      <w:r w:rsidRPr="009D494C">
        <w:t>Opportunity</w:t>
      </w:r>
      <w:r w:rsidR="006C6F09">
        <w:t xml:space="preserve"> </w:t>
      </w:r>
      <w:r w:rsidRPr="009D494C">
        <w:t>for</w:t>
      </w:r>
      <w:r w:rsidR="006C6F09">
        <w:t xml:space="preserve"> </w:t>
      </w:r>
      <w:r w:rsidRPr="009D494C">
        <w:t>Public</w:t>
      </w:r>
      <w:r w:rsidR="006C6F09">
        <w:t xml:space="preserve"> </w:t>
      </w:r>
      <w:r w:rsidRPr="009D494C">
        <w:t>Hearing</w:t>
      </w:r>
      <w:r w:rsidRPr="009D494C">
        <w:fldChar w:fldCharType="end"/>
      </w:r>
      <w:r w:rsidR="006C6F09">
        <w:t xml:space="preserve"> </w:t>
      </w:r>
      <w:r>
        <w:t>does</w:t>
      </w:r>
      <w:r w:rsidR="006C6F09">
        <w:t xml:space="preserve"> </w:t>
      </w:r>
      <w:r>
        <w:t>not</w:t>
      </w:r>
      <w:r w:rsidR="006C6F09">
        <w:t xml:space="preserve"> </w:t>
      </w:r>
      <w:r>
        <w:t>apply.</w:t>
      </w:r>
      <w:r w:rsidR="006C6F09">
        <w:t xml:space="preserve"> </w:t>
      </w:r>
      <w:r>
        <w:t>Instead,</w:t>
      </w:r>
      <w:r w:rsidR="006C6F09">
        <w:t xml:space="preserve"> </w:t>
      </w:r>
      <w:r>
        <w:t>refer</w:t>
      </w:r>
      <w:r w:rsidR="006C6F09">
        <w:t xml:space="preserve"> </w:t>
      </w:r>
      <w:r>
        <w:t>to</w:t>
      </w:r>
      <w:r w:rsidR="006C6F09">
        <w:t xml:space="preserve"> </w:t>
      </w:r>
      <w:r w:rsidRPr="00345E66">
        <w:t>Section</w:t>
      </w:r>
      <w:r w:rsidR="006C6F09">
        <w:t xml:space="preserve"> </w:t>
      </w:r>
      <w:r w:rsidRPr="00263E76">
        <w:rPr>
          <w:color w:val="0056A9"/>
          <w:u w:val="single"/>
        </w:rPr>
        <w:fldChar w:fldCharType="begin"/>
      </w:r>
      <w:r w:rsidRPr="00263E76">
        <w:rPr>
          <w:color w:val="0056A9"/>
          <w:u w:val="single"/>
        </w:rPr>
        <w:instrText xml:space="preserve"> REF _Ref219385473 \h  \* MERGEFORMAT </w:instrText>
      </w:r>
      <w:r w:rsidRPr="00263E76">
        <w:rPr>
          <w:color w:val="0056A9"/>
          <w:u w:val="single"/>
        </w:rPr>
      </w:r>
      <w:r w:rsidRPr="00263E76">
        <w:rPr>
          <w:color w:val="0056A9"/>
          <w:u w:val="single"/>
        </w:rPr>
        <w:fldChar w:fldCharType="separate"/>
      </w:r>
      <w:r w:rsidRPr="00263E76">
        <w:rPr>
          <w:color w:val="0056A9"/>
          <w:u w:val="single"/>
        </w:rPr>
        <w:t>6.0</w:t>
      </w:r>
      <w:r w:rsidRPr="00263E76">
        <w:rPr>
          <w:color w:val="0056A9"/>
          <w:u w:val="single"/>
        </w:rPr>
        <w:fldChar w:fldCharType="end"/>
      </w:r>
      <w:r w:rsidR="006C6F09">
        <w:rPr>
          <w:i/>
          <w:iCs/>
          <w:color w:val="0056A9"/>
          <w:u w:val="single"/>
        </w:rPr>
        <w:t xml:space="preserve"> </w:t>
      </w:r>
      <w:r>
        <w:t>of</w:t>
      </w:r>
      <w:r w:rsidR="006C6F09">
        <w:t xml:space="preserve"> </w:t>
      </w:r>
      <w:r>
        <w:t>this</w:t>
      </w:r>
      <w:r w:rsidR="006C6F09">
        <w:t xml:space="preserve"> </w:t>
      </w:r>
      <w:r>
        <w:t>Handbook</w:t>
      </w:r>
      <w:r w:rsidR="006C6F09">
        <w:t xml:space="preserve"> </w:t>
      </w:r>
      <w:r>
        <w:t>regarding</w:t>
      </w:r>
      <w:r w:rsidR="006C6F09">
        <w:t xml:space="preserve"> </w:t>
      </w:r>
      <w:r>
        <w:t>Public</w:t>
      </w:r>
      <w:r w:rsidR="006C6F09">
        <w:t xml:space="preserve"> </w:t>
      </w:r>
      <w:r>
        <w:t>Hearings.</w:t>
      </w:r>
      <w:r w:rsidR="006C6F09">
        <w:t xml:space="preserve"> </w:t>
      </w:r>
    </w:p>
    <w:p w14:paraId="1F4DE27E" w14:textId="73B1AE63" w:rsidR="00457754" w:rsidRDefault="00457754" w:rsidP="00457754">
      <w:r>
        <w:t>A</w:t>
      </w:r>
      <w:r w:rsidR="006C6F09">
        <w:t xml:space="preserve"> </w:t>
      </w:r>
      <w:r>
        <w:t>notice</w:t>
      </w:r>
      <w:r w:rsidR="006C6F09">
        <w:t xml:space="preserve"> </w:t>
      </w:r>
      <w:r>
        <w:t>affording</w:t>
      </w:r>
      <w:r w:rsidR="006C6F09">
        <w:t xml:space="preserve"> </w:t>
      </w:r>
      <w:r>
        <w:t>an</w:t>
      </w:r>
      <w:r w:rsidR="006C6F09">
        <w:t xml:space="preserve"> </w:t>
      </w:r>
      <w:r>
        <w:t>opportunity</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(NAOPH)</w:t>
      </w:r>
      <w:r w:rsidR="006C6F09">
        <w:t xml:space="preserve"> </w:t>
      </w:r>
      <w:r>
        <w:t>is</w:t>
      </w:r>
      <w:r w:rsidR="006C6F09">
        <w:t xml:space="preserve"> </w:t>
      </w:r>
      <w:r>
        <w:t>required</w:t>
      </w:r>
      <w:r w:rsidR="006C6F09">
        <w:t xml:space="preserve"> </w:t>
      </w:r>
      <w:r>
        <w:t>for</w:t>
      </w:r>
      <w:r w:rsidR="006C6F09">
        <w:t xml:space="preserve"> </w:t>
      </w:r>
      <w:r>
        <w:t>specific</w:t>
      </w:r>
      <w:r w:rsidR="006C6F09">
        <w:t xml:space="preserve"> </w:t>
      </w:r>
      <w:r>
        <w:t>projects,</w:t>
      </w:r>
      <w:r w:rsidR="006C6F09">
        <w:t xml:space="preserve"> </w:t>
      </w:r>
      <w:r>
        <w:t>as</w:t>
      </w:r>
      <w:r w:rsidR="006C6F09">
        <w:t xml:space="preserve"> </w:t>
      </w:r>
      <w:r>
        <w:t>outlined</w:t>
      </w:r>
      <w:r w:rsidR="006C6F09">
        <w:t xml:space="preserve"> </w:t>
      </w:r>
      <w:r>
        <w:t>below,</w:t>
      </w:r>
      <w:r w:rsidR="006C6F09">
        <w:t xml:space="preserve"> </w:t>
      </w:r>
      <w:r>
        <w:t>to</w:t>
      </w:r>
      <w:r w:rsidR="006C6F09">
        <w:t xml:space="preserve"> </w:t>
      </w:r>
      <w:r>
        <w:t>determine</w:t>
      </w:r>
      <w:r w:rsidR="006C6F09">
        <w:t xml:space="preserve"> </w:t>
      </w:r>
      <w:r>
        <w:t>if</w:t>
      </w:r>
      <w:r w:rsidR="006C6F09">
        <w:t xml:space="preserve"> </w:t>
      </w:r>
      <w:r>
        <w:t>the</w:t>
      </w:r>
      <w:r w:rsidR="006C6F09">
        <w:t xml:space="preserve"> </w:t>
      </w:r>
      <w:r>
        <w:t>public</w:t>
      </w:r>
      <w:r w:rsidR="006C6F09">
        <w:t xml:space="preserve"> </w:t>
      </w:r>
      <w:r>
        <w:t>desires</w:t>
      </w:r>
      <w:r w:rsidR="006C6F09">
        <w:t xml:space="preserve"> </w:t>
      </w:r>
      <w:r>
        <w:t>a</w:t>
      </w:r>
      <w:r w:rsidR="006C6F09">
        <w:t xml:space="preserve"> </w:t>
      </w:r>
      <w:r>
        <w:t>formal</w:t>
      </w:r>
      <w:r w:rsidR="006C6F09">
        <w:t xml:space="preserve"> </w:t>
      </w:r>
      <w:r>
        <w:t>public</w:t>
      </w:r>
      <w:r w:rsidR="006C6F09">
        <w:t xml:space="preserve"> </w:t>
      </w:r>
      <w:r>
        <w:t>hearing.</w:t>
      </w:r>
      <w:r w:rsidR="006C6F09">
        <w:t xml:space="preserve"> </w:t>
      </w:r>
      <w:r>
        <w:t>A</w:t>
      </w:r>
      <w:r w:rsidR="006C6F09">
        <w:t xml:space="preserve"> </w:t>
      </w:r>
      <w:r>
        <w:t>project</w:t>
      </w:r>
      <w:r w:rsidR="006C6F09">
        <w:t xml:space="preserve"> </w:t>
      </w:r>
      <w:r>
        <w:t>sponsor</w:t>
      </w:r>
      <w:r w:rsidR="006C6F09">
        <w:t xml:space="preserve"> </w:t>
      </w:r>
      <w:r>
        <w:t>can</w:t>
      </w:r>
      <w:r w:rsidR="006C6F09">
        <w:t xml:space="preserve"> </w:t>
      </w:r>
      <w:r>
        <w:t>hold</w:t>
      </w:r>
      <w:r w:rsidR="006C6F09">
        <w:t xml:space="preserve"> </w:t>
      </w:r>
      <w:r>
        <w:t>a</w:t>
      </w:r>
      <w:r w:rsidR="006C6F09">
        <w:t xml:space="preserve"> </w:t>
      </w:r>
      <w:r>
        <w:t>formal</w:t>
      </w:r>
      <w:r w:rsidR="006C6F09">
        <w:t xml:space="preserve"> </w:t>
      </w:r>
      <w:r>
        <w:t>public</w:t>
      </w:r>
      <w:r w:rsidR="006C6F09">
        <w:t xml:space="preserve"> </w:t>
      </w:r>
      <w:r>
        <w:t>hearing</w:t>
      </w:r>
      <w:r w:rsidR="006C6F09">
        <w:t xml:space="preserve"> </w:t>
      </w:r>
      <w:r>
        <w:t>in</w:t>
      </w:r>
      <w:r w:rsidR="006C6F09">
        <w:t xml:space="preserve"> </w:t>
      </w:r>
      <w:r>
        <w:t>lieu</w:t>
      </w:r>
      <w:r w:rsidR="006C6F09">
        <w:t xml:space="preserve"> </w:t>
      </w:r>
      <w:r>
        <w:t>of</w:t>
      </w:r>
      <w:r w:rsidR="006C6F09">
        <w:t xml:space="preserve"> </w:t>
      </w:r>
      <w:r>
        <w:t>providing</w:t>
      </w:r>
      <w:r w:rsidR="006C6F09">
        <w:t xml:space="preserve"> </w:t>
      </w:r>
      <w:r>
        <w:t>an</w:t>
      </w:r>
      <w:r w:rsidR="006C6F09">
        <w:t xml:space="preserve"> </w:t>
      </w:r>
      <w:r>
        <w:t>opportunity</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The</w:t>
      </w:r>
      <w:r w:rsidR="006C6F09">
        <w:t xml:space="preserve"> </w:t>
      </w:r>
      <w:r>
        <w:t>decision</w:t>
      </w:r>
      <w:r w:rsidR="006C6F09">
        <w:t xml:space="preserve"> </w:t>
      </w:r>
      <w:r>
        <w:t>to</w:t>
      </w:r>
      <w:r w:rsidR="006C6F09">
        <w:t xml:space="preserve"> </w:t>
      </w:r>
      <w:r>
        <w:t>afford</w:t>
      </w:r>
      <w:r w:rsidR="006C6F09">
        <w:t xml:space="preserve"> </w:t>
      </w:r>
      <w:r>
        <w:t>an</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r>
        <w:t>is</w:t>
      </w:r>
      <w:r w:rsidR="006C6F09">
        <w:t xml:space="preserve"> </w:t>
      </w:r>
      <w:r>
        <w:t>made</w:t>
      </w:r>
      <w:r w:rsidR="006C6F09">
        <w:t xml:space="preserve"> </w:t>
      </w:r>
      <w:r>
        <w:t>by</w:t>
      </w:r>
      <w:r w:rsidR="006C6F09">
        <w:t xml:space="preserve"> </w:t>
      </w:r>
      <w:r>
        <w:t>a</w:t>
      </w:r>
      <w:r w:rsidR="006C6F09">
        <w:t xml:space="preserve"> </w:t>
      </w:r>
      <w:r>
        <w:t>project</w:t>
      </w:r>
      <w:r w:rsidR="006C6F09">
        <w:t xml:space="preserve"> </w:t>
      </w:r>
      <w:r>
        <w:t>sponsor</w:t>
      </w:r>
      <w:r w:rsidR="006C6F09">
        <w:t xml:space="preserve"> </w:t>
      </w:r>
      <w:r>
        <w:t>in</w:t>
      </w:r>
      <w:r w:rsidR="006C6F09">
        <w:t xml:space="preserve"> </w:t>
      </w:r>
      <w:r>
        <w:t>consultation</w:t>
      </w:r>
      <w:r w:rsidR="006C6F09">
        <w:t xml:space="preserve"> </w:t>
      </w:r>
      <w:r>
        <w:t>with</w:t>
      </w:r>
      <w:r w:rsidR="006C6F09">
        <w:t xml:space="preserve"> </w:t>
      </w:r>
      <w:r>
        <w:t>the</w:t>
      </w:r>
      <w:r w:rsidR="006C6F09">
        <w:t xml:space="preserve"> </w:t>
      </w:r>
      <w:r>
        <w:t>department</w:t>
      </w:r>
      <w:r w:rsidR="006C6F09">
        <w:t xml:space="preserve"> </w:t>
      </w:r>
      <w:r>
        <w:t>delegate.</w:t>
      </w:r>
    </w:p>
    <w:p w14:paraId="09F6BF5D" w14:textId="577FF4A4" w:rsidR="00457754" w:rsidRDefault="00457754" w:rsidP="00457754">
      <w:r>
        <w:t>An</w:t>
      </w:r>
      <w:r w:rsidR="006C6F09">
        <w:t xml:space="preserve"> </w:t>
      </w:r>
      <w:r>
        <w:t>NAOPH</w:t>
      </w:r>
      <w:r w:rsidR="006C6F09">
        <w:t xml:space="preserve"> </w:t>
      </w:r>
      <w:r>
        <w:t>informs</w:t>
      </w:r>
      <w:r w:rsidR="006C6F09">
        <w:t xml:space="preserve"> </w:t>
      </w:r>
      <w:r>
        <w:t>the</w:t>
      </w:r>
      <w:r w:rsidR="006C6F09">
        <w:t xml:space="preserve"> </w:t>
      </w:r>
      <w:r>
        <w:t>public</w:t>
      </w:r>
      <w:r w:rsidR="006C6F09">
        <w:t xml:space="preserve"> </w:t>
      </w:r>
      <w:r>
        <w:t>that</w:t>
      </w:r>
      <w:r w:rsidR="006C6F09">
        <w:t xml:space="preserve"> </w:t>
      </w:r>
      <w:r>
        <w:t>a</w:t>
      </w:r>
      <w:r w:rsidR="006C6F09">
        <w:t xml:space="preserve"> </w:t>
      </w:r>
      <w:r>
        <w:t>hearing</w:t>
      </w:r>
      <w:r w:rsidR="006C6F09">
        <w:t xml:space="preserve"> </w:t>
      </w:r>
      <w:r>
        <w:t>may</w:t>
      </w:r>
      <w:r w:rsidR="006C6F09">
        <w:t xml:space="preserve"> </w:t>
      </w:r>
      <w:r>
        <w:t>be</w:t>
      </w:r>
      <w:r w:rsidR="006C6F09">
        <w:t xml:space="preserve"> </w:t>
      </w:r>
      <w:r>
        <w:t>held</w:t>
      </w:r>
      <w:r w:rsidR="006C6F09">
        <w:t xml:space="preserve"> </w:t>
      </w:r>
      <w:r>
        <w:t>for</w:t>
      </w:r>
      <w:r w:rsidR="006C6F09">
        <w:t xml:space="preserve"> </w:t>
      </w:r>
      <w:r>
        <w:t>a</w:t>
      </w:r>
      <w:r w:rsidR="006C6F09">
        <w:t xml:space="preserve"> </w:t>
      </w:r>
      <w:r>
        <w:t>project</w:t>
      </w:r>
      <w:r w:rsidR="006C6F09">
        <w:t xml:space="preserve"> </w:t>
      </w:r>
      <w:r>
        <w:t>if</w:t>
      </w:r>
      <w:r w:rsidR="006C6F09">
        <w:t xml:space="preserve"> </w:t>
      </w:r>
      <w:r>
        <w:t>ten</w:t>
      </w:r>
      <w:r w:rsidR="006C6F09">
        <w:t xml:space="preserve"> </w:t>
      </w:r>
      <w:r>
        <w:t>or</w:t>
      </w:r>
      <w:r w:rsidR="006C6F09">
        <w:t xml:space="preserve"> </w:t>
      </w:r>
      <w:r>
        <w:t>more</w:t>
      </w:r>
      <w:r w:rsidR="006C6F09">
        <w:t xml:space="preserve"> </w:t>
      </w:r>
      <w:r>
        <w:t>individuals</w:t>
      </w:r>
      <w:r w:rsidR="006C6F09">
        <w:t xml:space="preserve"> </w:t>
      </w:r>
      <w:r>
        <w:t>request</w:t>
      </w:r>
      <w:r w:rsidR="006C6F09">
        <w:t xml:space="preserve"> </w:t>
      </w:r>
      <w:r>
        <w:t>a</w:t>
      </w:r>
      <w:r w:rsidR="006C6F09">
        <w:t xml:space="preserve"> </w:t>
      </w:r>
      <w:r>
        <w:t>hearing,</w:t>
      </w:r>
      <w:r w:rsidR="006C6F09">
        <w:t xml:space="preserve"> </w:t>
      </w:r>
      <w:r>
        <w:t>or</w:t>
      </w:r>
      <w:r w:rsidR="006C6F09">
        <w:t xml:space="preserve"> </w:t>
      </w:r>
      <w:r>
        <w:t>if</w:t>
      </w:r>
      <w:r w:rsidR="006C6F09">
        <w:t xml:space="preserve"> </w:t>
      </w:r>
      <w:r>
        <w:t>an</w:t>
      </w:r>
      <w:r w:rsidR="006C6F09">
        <w:t xml:space="preserve"> </w:t>
      </w:r>
      <w:r>
        <w:t>agency</w:t>
      </w:r>
      <w:r w:rsidR="006C6F09">
        <w:t xml:space="preserve"> </w:t>
      </w:r>
      <w:r>
        <w:t>with</w:t>
      </w:r>
      <w:r w:rsidR="006C6F09">
        <w:t xml:space="preserve"> </w:t>
      </w:r>
      <w:r>
        <w:t>jurisdiction</w:t>
      </w:r>
      <w:r w:rsidR="006C6F09">
        <w:t xml:space="preserve"> </w:t>
      </w:r>
      <w:r>
        <w:t>submits</w:t>
      </w:r>
      <w:r w:rsidR="006C6F09">
        <w:t xml:space="preserve"> </w:t>
      </w:r>
      <w:r>
        <w:t>a</w:t>
      </w:r>
      <w:r w:rsidR="006C6F09">
        <w:t xml:space="preserve"> </w:t>
      </w:r>
      <w:r>
        <w:t>request</w:t>
      </w:r>
      <w:r w:rsidR="006C6F09">
        <w:t xml:space="preserve"> </w:t>
      </w:r>
      <w:r>
        <w:t>supported</w:t>
      </w:r>
      <w:r w:rsidR="006C6F09">
        <w:t xml:space="preserve"> </w:t>
      </w:r>
      <w:r>
        <w:t>with</w:t>
      </w:r>
      <w:r w:rsidR="006C6F09">
        <w:t xml:space="preserve"> </w:t>
      </w:r>
      <w:r>
        <w:t>reasons</w:t>
      </w:r>
      <w:r w:rsidR="006C6F09">
        <w:t xml:space="preserve"> </w:t>
      </w:r>
      <w:r>
        <w:t>why</w:t>
      </w:r>
      <w:r w:rsidR="006C6F09">
        <w:t xml:space="preserve"> </w:t>
      </w:r>
      <w:r>
        <w:t>a</w:t>
      </w:r>
      <w:r w:rsidR="006C6F09">
        <w:t xml:space="preserve"> </w:t>
      </w:r>
      <w:r>
        <w:t>hearing</w:t>
      </w:r>
      <w:r w:rsidR="006C6F09">
        <w:t xml:space="preserve"> </w:t>
      </w:r>
      <w:r>
        <w:t>will</w:t>
      </w:r>
      <w:r w:rsidR="006C6F09">
        <w:t xml:space="preserve"> </w:t>
      </w:r>
      <w:r>
        <w:t>be</w:t>
      </w:r>
      <w:r w:rsidR="006C6F09">
        <w:t xml:space="preserve"> </w:t>
      </w:r>
      <w:r>
        <w:t>helpful</w:t>
      </w:r>
      <w:r w:rsidR="006C6F09">
        <w:t xml:space="preserve"> </w:t>
      </w:r>
      <w:r>
        <w:t>(</w:t>
      </w:r>
      <w:hyperlink r:id="rId47" w:history="1">
        <w:r w:rsidRPr="00332D95">
          <w:rPr>
            <w:rStyle w:val="Hyperlink"/>
            <w:rFonts w:cs="Arial"/>
          </w:rPr>
          <w:t>43</w:t>
        </w:r>
        <w:r w:rsidR="006C6F09">
          <w:rPr>
            <w:rStyle w:val="Hyperlink"/>
            <w:rFonts w:cs="Arial"/>
          </w:rPr>
          <w:t xml:space="preserve"> </w:t>
        </w:r>
        <w:r w:rsidRPr="00332D95">
          <w:rPr>
            <w:rStyle w:val="Hyperlink"/>
            <w:rFonts w:cs="Arial"/>
          </w:rPr>
          <w:t>TAC</w:t>
        </w:r>
        <w:r w:rsidR="006C6F09">
          <w:rPr>
            <w:rStyle w:val="Hyperlink"/>
            <w:rFonts w:cs="Arial"/>
          </w:rPr>
          <w:t xml:space="preserve"> </w:t>
        </w:r>
        <w:r w:rsidRPr="00332D95">
          <w:rPr>
            <w:rStyle w:val="Hyperlink"/>
            <w:rFonts w:cs="Arial"/>
          </w:rPr>
          <w:t>2.</w:t>
        </w:r>
        <w:r w:rsidRPr="00332D95">
          <w:rPr>
            <w:rStyle w:val="Hyperlink"/>
            <w:rFonts w:cs="Arial"/>
            <w:szCs w:val="22"/>
          </w:rPr>
          <w:t>106</w:t>
        </w:r>
      </w:hyperlink>
      <w:r w:rsidRPr="00332D95">
        <w:t>).</w:t>
      </w:r>
    </w:p>
    <w:p w14:paraId="5A18001E" w14:textId="6680B7BB" w:rsidR="00457754" w:rsidRPr="000E0D99" w:rsidRDefault="00457754" w:rsidP="000E0D99">
      <w:pPr>
        <w:pStyle w:val="Heading3"/>
        <w:spacing w:line="360" w:lineRule="auto"/>
      </w:pPr>
      <w:bookmarkStart w:id="55" w:name="_Hlk216860538"/>
      <w:bookmarkStart w:id="56" w:name="_Toc224026213"/>
      <w:r w:rsidRPr="000E0D99">
        <w:t>5.1</w:t>
      </w:r>
      <w:r w:rsidR="006C6F09" w:rsidRPr="000E0D99">
        <w:t xml:space="preserve"> </w:t>
      </w:r>
      <w:r w:rsidRPr="000E0D99">
        <w:t>When</w:t>
      </w:r>
      <w:r w:rsidR="006C6F09" w:rsidRPr="000E0D99">
        <w:t xml:space="preserve"> </w:t>
      </w:r>
      <w:r w:rsidRPr="000E0D99">
        <w:t>to</w:t>
      </w:r>
      <w:r w:rsidR="006C6F09" w:rsidRPr="000E0D99">
        <w:t xml:space="preserve"> </w:t>
      </w:r>
      <w:r w:rsidRPr="000E0D99">
        <w:t>Afford</w:t>
      </w:r>
      <w:r w:rsidR="006C6F09" w:rsidRPr="000E0D99">
        <w:t xml:space="preserve"> </w:t>
      </w:r>
      <w:r w:rsidRPr="000E0D99">
        <w:t>the</w:t>
      </w:r>
      <w:r w:rsidR="006C6F09" w:rsidRPr="000E0D99">
        <w:t xml:space="preserve"> </w:t>
      </w:r>
      <w:r w:rsidRPr="000E0D99">
        <w:t>Opportunity</w:t>
      </w:r>
      <w:r w:rsidR="006C6F09" w:rsidRPr="000E0D99">
        <w:t xml:space="preserve"> </w:t>
      </w:r>
      <w:r w:rsidRPr="000E0D99">
        <w:t>for</w:t>
      </w:r>
      <w:r w:rsidR="006C6F09" w:rsidRPr="000E0D99">
        <w:t xml:space="preserve"> </w:t>
      </w:r>
      <w:r w:rsidRPr="000E0D99">
        <w:t>a</w:t>
      </w:r>
      <w:r w:rsidR="006C6F09" w:rsidRPr="000E0D99">
        <w:t xml:space="preserve"> </w:t>
      </w:r>
      <w:r w:rsidRPr="000E0D99">
        <w:t>Public</w:t>
      </w:r>
      <w:r w:rsidR="006C6F09" w:rsidRPr="000E0D99">
        <w:t xml:space="preserve"> </w:t>
      </w:r>
      <w:r w:rsidRPr="000E0D99">
        <w:t>Hearing</w:t>
      </w:r>
      <w:bookmarkEnd w:id="56"/>
      <w:r w:rsidR="006C6F09" w:rsidRPr="000E0D99">
        <w:t xml:space="preserve"> </w:t>
      </w:r>
    </w:p>
    <w:bookmarkEnd w:id="55"/>
    <w:p w14:paraId="65C9549D" w14:textId="6FECB464" w:rsidR="00457754" w:rsidRDefault="00457754" w:rsidP="000E0D99">
      <w:pPr>
        <w:spacing w:after="220"/>
      </w:pPr>
      <w:r>
        <w:t>For</w:t>
      </w:r>
      <w:r w:rsidR="006C6F09">
        <w:t xml:space="preserve"> </w:t>
      </w:r>
      <w:r>
        <w:t>an</w:t>
      </w:r>
      <w:r w:rsidR="006C6F09">
        <w:t xml:space="preserve"> </w:t>
      </w:r>
      <w:r>
        <w:t>EA</w:t>
      </w:r>
      <w:r w:rsidR="006C6F09">
        <w:t xml:space="preserve"> </w:t>
      </w:r>
      <w:r>
        <w:t>project,</w:t>
      </w:r>
      <w:r w:rsidR="006C6F09">
        <w:t xml:space="preserve"> </w:t>
      </w:r>
      <w:r>
        <w:t>an</w:t>
      </w:r>
      <w:r w:rsidR="006C6F09">
        <w:t xml:space="preserve"> </w:t>
      </w:r>
      <w:r>
        <w:t>NAOPH</w:t>
      </w:r>
      <w:r w:rsidR="006C6F09">
        <w:t xml:space="preserve"> </w:t>
      </w:r>
      <w:r>
        <w:t>can</w:t>
      </w:r>
      <w:r w:rsidR="006C6F09">
        <w:t xml:space="preserve"> </w:t>
      </w:r>
      <w:r>
        <w:t>only</w:t>
      </w:r>
      <w:r w:rsidR="006C6F09">
        <w:t xml:space="preserve"> </w:t>
      </w:r>
      <w:r>
        <w:t>be</w:t>
      </w:r>
      <w:r w:rsidR="006C6F09">
        <w:t xml:space="preserve"> </w:t>
      </w:r>
      <w:r>
        <w:t>afforded</w:t>
      </w:r>
      <w:r w:rsidR="006C6F09">
        <w:t xml:space="preserve"> </w:t>
      </w:r>
      <w:r>
        <w:t>when</w:t>
      </w:r>
      <w:r w:rsidR="006C6F09">
        <w:t xml:space="preserve"> </w:t>
      </w:r>
      <w:r>
        <w:t>a</w:t>
      </w:r>
      <w:r w:rsidR="006C6F09">
        <w:t xml:space="preserve"> </w:t>
      </w:r>
      <w:r>
        <w:t>draft</w:t>
      </w:r>
      <w:r w:rsidR="006C6F09">
        <w:t xml:space="preserve"> </w:t>
      </w:r>
      <w:r>
        <w:t>EA</w:t>
      </w:r>
      <w:r w:rsidR="006C6F09">
        <w:t xml:space="preserve"> </w:t>
      </w:r>
      <w:r>
        <w:t>is</w:t>
      </w:r>
      <w:r w:rsidR="006C6F09">
        <w:t xml:space="preserve"> </w:t>
      </w:r>
      <w:r>
        <w:t>approved</w:t>
      </w:r>
      <w:r w:rsidR="006C6F09">
        <w:t xml:space="preserve"> </w:t>
      </w:r>
      <w:r>
        <w:t>for</w:t>
      </w:r>
      <w:r w:rsidR="006C6F09">
        <w:t xml:space="preserve"> </w:t>
      </w:r>
      <w:r>
        <w:t>circulation</w:t>
      </w:r>
      <w:r w:rsidR="006C6F09">
        <w:t xml:space="preserve"> </w:t>
      </w:r>
      <w:r>
        <w:t>by</w:t>
      </w:r>
      <w:r w:rsidR="006C6F09">
        <w:t xml:space="preserve"> </w:t>
      </w:r>
      <w:r>
        <w:t>the</w:t>
      </w:r>
      <w:r w:rsidR="006C6F09">
        <w:t xml:space="preserve"> </w:t>
      </w:r>
      <w:r>
        <w:t>department</w:t>
      </w:r>
      <w:r w:rsidR="006C6F09">
        <w:t xml:space="preserve"> </w:t>
      </w:r>
      <w:r>
        <w:t>delegate.</w:t>
      </w:r>
      <w:r w:rsidR="006C6F09">
        <w:t xml:space="preserve"> </w:t>
      </w:r>
      <w:r>
        <w:t>For</w:t>
      </w:r>
      <w:r w:rsidR="006C6F09">
        <w:t xml:space="preserve"> </w:t>
      </w:r>
      <w:r>
        <w:t>a</w:t>
      </w:r>
      <w:r w:rsidR="006C6F09">
        <w:t xml:space="preserve"> </w:t>
      </w:r>
      <w:r>
        <w:t>CE</w:t>
      </w:r>
      <w:r w:rsidR="006C6F09">
        <w:t xml:space="preserve"> </w:t>
      </w:r>
      <w:r>
        <w:t>project,</w:t>
      </w:r>
      <w:r w:rsidR="006C6F09">
        <w:t xml:space="preserve"> </w:t>
      </w:r>
      <w:r>
        <w:t>an</w:t>
      </w:r>
      <w:r w:rsidR="006C6F09">
        <w:t xml:space="preserve"> </w:t>
      </w:r>
      <w:r>
        <w:t>NAOPH</w:t>
      </w:r>
      <w:r w:rsidR="006C6F09">
        <w:t xml:space="preserve"> </w:t>
      </w:r>
      <w:r>
        <w:t>can</w:t>
      </w:r>
      <w:r w:rsidR="006C6F09">
        <w:t xml:space="preserve"> </w:t>
      </w:r>
      <w:r>
        <w:t>be</w:t>
      </w:r>
      <w:r w:rsidR="006C6F09">
        <w:t xml:space="preserve"> </w:t>
      </w:r>
      <w:r>
        <w:t>afforded</w:t>
      </w:r>
      <w:r w:rsidR="006C6F09">
        <w:t xml:space="preserve"> </w:t>
      </w:r>
      <w:r>
        <w:t>after</w:t>
      </w:r>
      <w:r w:rsidR="006C6F09">
        <w:t xml:space="preserve"> </w:t>
      </w:r>
      <w:r>
        <w:t>preliminary</w:t>
      </w:r>
      <w:r w:rsidR="006C6F09">
        <w:t xml:space="preserve"> </w:t>
      </w:r>
      <w:r>
        <w:t>location</w:t>
      </w:r>
      <w:r w:rsidR="006C6F09">
        <w:t xml:space="preserve"> </w:t>
      </w:r>
      <w:r>
        <w:t>and</w:t>
      </w:r>
      <w:r w:rsidR="006C6F09">
        <w:t xml:space="preserve"> </w:t>
      </w:r>
      <w:r>
        <w:t>design</w:t>
      </w:r>
      <w:r w:rsidR="006C6F09">
        <w:t xml:space="preserve"> </w:t>
      </w:r>
      <w:r>
        <w:t>studies</w:t>
      </w:r>
      <w:r w:rsidR="006C6F09">
        <w:t xml:space="preserve"> </w:t>
      </w:r>
      <w:r>
        <w:t>are</w:t>
      </w:r>
      <w:r w:rsidR="006C6F09">
        <w:t xml:space="preserve"> </w:t>
      </w:r>
      <w:r>
        <w:t>developed;</w:t>
      </w:r>
      <w:r w:rsidR="006C6F09">
        <w:t xml:space="preserve"> </w:t>
      </w:r>
      <w:r>
        <w:t>however,</w:t>
      </w:r>
      <w:r w:rsidR="006C6F09">
        <w:t xml:space="preserve"> </w:t>
      </w:r>
      <w:r>
        <w:t>for</w:t>
      </w:r>
      <w:r w:rsidR="006C6F09">
        <w:t xml:space="preserve"> </w:t>
      </w:r>
      <w:r>
        <w:t>an</w:t>
      </w:r>
      <w:r w:rsidR="006C6F09">
        <w:t xml:space="preserve"> </w:t>
      </w:r>
      <w:r>
        <w:t>open-ended</w:t>
      </w:r>
      <w:r w:rsidR="006C6F09">
        <w:t xml:space="preserve"> </w:t>
      </w:r>
      <w:r>
        <w:t>(d)-list</w:t>
      </w:r>
      <w:r w:rsidR="006C6F09">
        <w:t xml:space="preserve"> </w:t>
      </w:r>
      <w:r>
        <w:t>CE</w:t>
      </w:r>
      <w:r w:rsidR="006C6F09">
        <w:t xml:space="preserve"> </w:t>
      </w:r>
      <w:r>
        <w:t>project,</w:t>
      </w:r>
      <w:r w:rsidR="006C6F09">
        <w:t xml:space="preserve"> </w:t>
      </w:r>
      <w:r>
        <w:t>approval</w:t>
      </w:r>
      <w:r w:rsidR="006C6F09">
        <w:t xml:space="preserve"> </w:t>
      </w:r>
      <w:r>
        <w:t>by</w:t>
      </w:r>
      <w:r w:rsidR="006C6F09">
        <w:t xml:space="preserve"> </w:t>
      </w:r>
      <w:r>
        <w:t>the</w:t>
      </w:r>
      <w:r w:rsidR="006C6F09">
        <w:t xml:space="preserve"> </w:t>
      </w:r>
      <w:r>
        <w:t>Environmental</w:t>
      </w:r>
      <w:r w:rsidR="006C6F09">
        <w:t xml:space="preserve"> </w:t>
      </w:r>
      <w:r>
        <w:t>Affairs</w:t>
      </w:r>
      <w:r w:rsidR="006C6F09">
        <w:t xml:space="preserve"> </w:t>
      </w:r>
      <w:r>
        <w:t>Division’s</w:t>
      </w:r>
      <w:r w:rsidR="006C6F09">
        <w:t xml:space="preserve"> </w:t>
      </w:r>
      <w:r>
        <w:t>Project</w:t>
      </w:r>
      <w:r w:rsidR="006C6F09">
        <w:t xml:space="preserve"> </w:t>
      </w:r>
      <w:r>
        <w:t>Delivery</w:t>
      </w:r>
      <w:r w:rsidR="006C6F09">
        <w:t xml:space="preserve"> </w:t>
      </w:r>
      <w:r>
        <w:t>staff</w:t>
      </w:r>
      <w:r w:rsidR="006C6F09">
        <w:t xml:space="preserve"> </w:t>
      </w:r>
      <w:r>
        <w:t>is</w:t>
      </w:r>
      <w:r w:rsidR="006C6F09">
        <w:t xml:space="preserve"> </w:t>
      </w:r>
      <w:r>
        <w:t>required</w:t>
      </w:r>
      <w:r w:rsidR="006C6F09">
        <w:t xml:space="preserve"> </w:t>
      </w:r>
      <w:r>
        <w:t>to</w:t>
      </w:r>
      <w:r w:rsidR="006C6F09">
        <w:t xml:space="preserve"> </w:t>
      </w:r>
      <w:r>
        <w:t>proceed</w:t>
      </w:r>
      <w:r w:rsidR="006C6F09">
        <w:t xml:space="preserve"> </w:t>
      </w:r>
      <w:r>
        <w:t>to</w:t>
      </w:r>
      <w:r w:rsidR="006C6F09">
        <w:t xml:space="preserve"> </w:t>
      </w:r>
      <w:r>
        <w:t>an</w:t>
      </w:r>
      <w:r w:rsidR="006C6F09">
        <w:t xml:space="preserve"> </w:t>
      </w:r>
      <w:r>
        <w:t>NAOPH</w:t>
      </w:r>
      <w:r w:rsidR="006C6F09">
        <w:t xml:space="preserve"> </w:t>
      </w:r>
      <w:r>
        <w:t>(if</w:t>
      </w:r>
      <w:r w:rsidR="006C6F09">
        <w:t xml:space="preserve"> </w:t>
      </w:r>
      <w:r>
        <w:t>certain</w:t>
      </w:r>
      <w:r w:rsidR="006C6F09">
        <w:t xml:space="preserve"> </w:t>
      </w:r>
      <w:r>
        <w:t>acreage</w:t>
      </w:r>
      <w:r w:rsidR="006C6F09">
        <w:t xml:space="preserve"> </w:t>
      </w:r>
      <w:r>
        <w:t>or</w:t>
      </w:r>
      <w:r w:rsidR="006C6F09">
        <w:t xml:space="preserve"> </w:t>
      </w:r>
      <w:r>
        <w:t>displacement</w:t>
      </w:r>
      <w:r w:rsidR="006C6F09">
        <w:t xml:space="preserve"> </w:t>
      </w:r>
      <w:r>
        <w:t>thresholds</w:t>
      </w:r>
      <w:r w:rsidR="006C6F09">
        <w:t xml:space="preserve"> </w:t>
      </w:r>
      <w:r>
        <w:t>are</w:t>
      </w:r>
      <w:r w:rsidR="006C6F09">
        <w:t xml:space="preserve"> </w:t>
      </w:r>
      <w:r>
        <w:t>exceeded)</w:t>
      </w:r>
      <w:r w:rsidR="00C052B0">
        <w:t xml:space="preserve">. </w:t>
      </w:r>
      <w:r>
        <w:t>Additionally,</w:t>
      </w:r>
      <w:r w:rsidR="006C6F09">
        <w:t xml:space="preserve"> </w:t>
      </w:r>
      <w:r>
        <w:t>for</w:t>
      </w:r>
      <w:r w:rsidR="006C6F09">
        <w:t xml:space="preserve"> </w:t>
      </w:r>
      <w:r>
        <w:t>a</w:t>
      </w:r>
      <w:r w:rsidR="006C6F09">
        <w:t xml:space="preserve"> </w:t>
      </w:r>
      <w:r>
        <w:t>project</w:t>
      </w:r>
      <w:r w:rsidR="006C6F09">
        <w:t xml:space="preserve"> </w:t>
      </w:r>
      <w:r>
        <w:t>with</w:t>
      </w:r>
      <w:r w:rsidR="006C6F09">
        <w:t xml:space="preserve"> </w:t>
      </w:r>
      <w:r>
        <w:t>a</w:t>
      </w:r>
      <w:r w:rsidR="006C6F09">
        <w:t xml:space="preserve"> </w:t>
      </w:r>
      <w:r>
        <w:t>local</w:t>
      </w:r>
      <w:r w:rsidR="006C6F09">
        <w:t xml:space="preserve"> </w:t>
      </w:r>
      <w:r>
        <w:t>government</w:t>
      </w:r>
      <w:r w:rsidR="006C6F09">
        <w:t xml:space="preserve"> </w:t>
      </w:r>
      <w:r>
        <w:t>sponsor,</w:t>
      </w:r>
      <w:r w:rsidR="006C6F09">
        <w:t xml:space="preserve"> </w:t>
      </w:r>
      <w:r>
        <w:t>approval</w:t>
      </w:r>
      <w:r w:rsidR="006C6F09">
        <w:t xml:space="preserve"> </w:t>
      </w:r>
      <w:r>
        <w:t>by</w:t>
      </w:r>
      <w:r w:rsidR="006C6F09">
        <w:t xml:space="preserve"> </w:t>
      </w:r>
      <w:r>
        <w:t>the</w:t>
      </w:r>
      <w:r w:rsidR="006C6F09">
        <w:t xml:space="preserve"> </w:t>
      </w:r>
      <w:r>
        <w:t>department</w:t>
      </w:r>
      <w:r w:rsidR="006C6F09">
        <w:t xml:space="preserve"> </w:t>
      </w:r>
      <w:r>
        <w:t>delegate</w:t>
      </w:r>
      <w:r w:rsidR="006C6F09">
        <w:t xml:space="preserve"> </w:t>
      </w:r>
      <w:r>
        <w:t>is</w:t>
      </w:r>
      <w:r w:rsidR="006C6F09">
        <w:t xml:space="preserve"> </w:t>
      </w:r>
      <w:r>
        <w:t>required</w:t>
      </w:r>
      <w:r w:rsidR="006C6F09">
        <w:t xml:space="preserve"> </w:t>
      </w:r>
      <w:r>
        <w:t>to</w:t>
      </w:r>
      <w:r w:rsidR="006C6F09">
        <w:t xml:space="preserve"> </w:t>
      </w:r>
      <w:r>
        <w:t>proceed</w:t>
      </w:r>
      <w:r w:rsidR="006C6F09">
        <w:t xml:space="preserve"> </w:t>
      </w:r>
      <w:r>
        <w:t>to</w:t>
      </w:r>
      <w:r w:rsidR="006C6F09">
        <w:t xml:space="preserve"> </w:t>
      </w:r>
      <w:r>
        <w:t>an</w:t>
      </w:r>
      <w:r w:rsidR="006C6F09">
        <w:t xml:space="preserve"> </w:t>
      </w:r>
      <w:r>
        <w:t>NAOPH.</w:t>
      </w:r>
      <w:r w:rsidR="006C6F09">
        <w:t xml:space="preserve"> </w:t>
      </w:r>
      <w:r>
        <w:t>The</w:t>
      </w:r>
      <w:r w:rsidR="006C6F09">
        <w:t xml:space="preserve"> </w:t>
      </w:r>
      <w:r>
        <w:t>project</w:t>
      </w:r>
      <w:r w:rsidR="006C6F09">
        <w:t xml:space="preserve"> </w:t>
      </w:r>
      <w:r>
        <w:lastRenderedPageBreak/>
        <w:t>sponsor</w:t>
      </w:r>
      <w:r w:rsidR="006C6F09">
        <w:t xml:space="preserve"> </w:t>
      </w:r>
      <w:r>
        <w:t>may</w:t>
      </w:r>
      <w:r w:rsidR="006C6F09">
        <w:t xml:space="preserve"> </w:t>
      </w:r>
      <w:r>
        <w:t>decide</w:t>
      </w:r>
      <w:r w:rsidR="006C6F09">
        <w:t xml:space="preserve"> </w:t>
      </w:r>
      <w:r>
        <w:t>to</w:t>
      </w:r>
      <w:r w:rsidR="006C6F09">
        <w:t xml:space="preserve"> </w:t>
      </w:r>
      <w:r>
        <w:t>either</w:t>
      </w:r>
      <w:r w:rsidR="006C6F09">
        <w:t xml:space="preserve"> </w:t>
      </w:r>
      <w:r>
        <w:t>offer</w:t>
      </w:r>
      <w:r w:rsidR="006C6F09">
        <w:t xml:space="preserve"> </w:t>
      </w:r>
      <w:r>
        <w:t>an</w:t>
      </w:r>
      <w:r w:rsidR="006C6F09">
        <w:t xml:space="preserve"> </w:t>
      </w:r>
      <w:r>
        <w:t>opportunity</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or</w:t>
      </w:r>
      <w:r w:rsidR="006C6F09">
        <w:t xml:space="preserve"> </w:t>
      </w:r>
      <w:r>
        <w:t>proceed</w:t>
      </w:r>
      <w:r w:rsidR="006C6F09">
        <w:t xml:space="preserve"> </w:t>
      </w:r>
      <w:r>
        <w:t>directly</w:t>
      </w:r>
      <w:r w:rsidR="006C6F09">
        <w:t xml:space="preserve"> </w:t>
      </w:r>
      <w:r>
        <w:t>to</w:t>
      </w:r>
      <w:r w:rsidR="006C6F09">
        <w:t xml:space="preserve"> </w:t>
      </w:r>
      <w:r>
        <w:t>a</w:t>
      </w:r>
      <w:r w:rsidR="006C6F09">
        <w:t xml:space="preserve"> </w:t>
      </w:r>
      <w:r>
        <w:t>public</w:t>
      </w:r>
      <w:r w:rsidR="006C6F09">
        <w:t xml:space="preserve"> </w:t>
      </w:r>
      <w:r>
        <w:t>hearing</w:t>
      </w:r>
      <w:r w:rsidR="006C6F09">
        <w:t xml:space="preserve"> </w:t>
      </w:r>
      <w:r>
        <w:t>(subject</w:t>
      </w:r>
      <w:r w:rsidR="006C6F09">
        <w:t xml:space="preserve"> </w:t>
      </w:r>
      <w:r>
        <w:t>to</w:t>
      </w:r>
      <w:r w:rsidR="006C6F09">
        <w:t xml:space="preserve"> </w:t>
      </w:r>
      <w:r>
        <w:t>the</w:t>
      </w:r>
      <w:r w:rsidR="006C6F09">
        <w:t xml:space="preserve"> </w:t>
      </w:r>
      <w:r>
        <w:t>same</w:t>
      </w:r>
      <w:r w:rsidR="006C6F09">
        <w:t xml:space="preserve"> </w:t>
      </w:r>
      <w:r>
        <w:t>conditions</w:t>
      </w:r>
      <w:r w:rsidR="006C6F09">
        <w:t xml:space="preserve"> </w:t>
      </w:r>
      <w:r>
        <w:t>set</w:t>
      </w:r>
      <w:r w:rsidR="006C6F09">
        <w:t xml:space="preserve"> </w:t>
      </w:r>
      <w:r>
        <w:t>forth</w:t>
      </w:r>
      <w:r w:rsidR="006C6F09">
        <w:t xml:space="preserve"> </w:t>
      </w:r>
      <w:r>
        <w:t>earlier</w:t>
      </w:r>
      <w:r w:rsidR="006C6F09">
        <w:t xml:space="preserve"> </w:t>
      </w:r>
      <w:r>
        <w:t>in</w:t>
      </w:r>
      <w:r w:rsidR="006C6F09">
        <w:t xml:space="preserve"> </w:t>
      </w:r>
      <w:r>
        <w:t>this</w:t>
      </w:r>
      <w:r w:rsidR="006C6F09">
        <w:t xml:space="preserve"> </w:t>
      </w:r>
      <w:r>
        <w:t>paragraph).</w:t>
      </w:r>
      <w:r w:rsidR="006C6F09">
        <w:t xml:space="preserve"> </w:t>
      </w:r>
    </w:p>
    <w:p w14:paraId="77C00371" w14:textId="3C6DB4C8" w:rsidR="00457754" w:rsidRDefault="00457754" w:rsidP="00457754">
      <w:r>
        <w:t>In</w:t>
      </w:r>
      <w:r w:rsidR="006C6F09">
        <w:t xml:space="preserve"> </w:t>
      </w:r>
      <w:r>
        <w:t>lieu</w:t>
      </w:r>
      <w:r w:rsidR="006C6F09">
        <w:t xml:space="preserve"> </w:t>
      </w:r>
      <w:r>
        <w:t>of</w:t>
      </w:r>
      <w:r w:rsidR="006C6F09">
        <w:t xml:space="preserve"> </w:t>
      </w:r>
      <w:r>
        <w:t>holding</w:t>
      </w:r>
      <w:r w:rsidR="006C6F09">
        <w:t xml:space="preserve"> </w:t>
      </w:r>
      <w:r>
        <w:t>a</w:t>
      </w:r>
      <w:r w:rsidR="006C6F09">
        <w:t xml:space="preserve"> </w:t>
      </w:r>
      <w:r>
        <w:t>public</w:t>
      </w:r>
      <w:r w:rsidR="006C6F09">
        <w:t xml:space="preserve"> </w:t>
      </w:r>
      <w:r>
        <w:t>hearing,</w:t>
      </w:r>
      <w:r w:rsidR="006C6F09">
        <w:t xml:space="preserve"> </w:t>
      </w:r>
      <w:r>
        <w:t>an</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r>
        <w:t>must</w:t>
      </w:r>
      <w:r w:rsidR="006C6F09">
        <w:t xml:space="preserve"> </w:t>
      </w:r>
      <w:r>
        <w:t>be</w:t>
      </w:r>
      <w:r w:rsidR="006C6F09">
        <w:t xml:space="preserve"> </w:t>
      </w:r>
      <w:r>
        <w:t>afforded</w:t>
      </w:r>
      <w:r w:rsidR="006C6F09">
        <w:t xml:space="preserve"> </w:t>
      </w:r>
      <w:r>
        <w:t>if</w:t>
      </w:r>
      <w:r w:rsidR="006C6F09">
        <w:t xml:space="preserve"> </w:t>
      </w:r>
      <w:r>
        <w:t>the</w:t>
      </w:r>
      <w:r w:rsidR="006C6F09">
        <w:t xml:space="preserve"> </w:t>
      </w:r>
      <w:r>
        <w:t>project</w:t>
      </w:r>
      <w:r w:rsidR="006C6F09">
        <w:t xml:space="preserve"> </w:t>
      </w:r>
      <w:r>
        <w:t>meets</w:t>
      </w:r>
      <w:r w:rsidR="006C6F09">
        <w:t xml:space="preserve"> </w:t>
      </w:r>
      <w:r>
        <w:t>any</w:t>
      </w:r>
      <w:r w:rsidR="006C6F09">
        <w:t xml:space="preserve"> </w:t>
      </w:r>
      <w:r>
        <w:t>of</w:t>
      </w:r>
      <w:r w:rsidR="006C6F09">
        <w:t xml:space="preserve"> </w:t>
      </w:r>
      <w:r>
        <w:t>the</w:t>
      </w:r>
      <w:r w:rsidR="006C6F09">
        <w:t xml:space="preserve"> </w:t>
      </w:r>
      <w:r>
        <w:t>following</w:t>
      </w:r>
      <w:r w:rsidR="006C6F09">
        <w:t xml:space="preserve"> </w:t>
      </w:r>
      <w:r>
        <w:t>conditions.</w:t>
      </w:r>
    </w:p>
    <w:p w14:paraId="1C510249" w14:textId="5997F9A9" w:rsidR="00457754" w:rsidRDefault="00457754" w:rsidP="00457754">
      <w:pPr>
        <w:pStyle w:val="ListBullet"/>
      </w:pPr>
      <w:r w:rsidRPr="00D22122">
        <w:t>The</w:t>
      </w:r>
      <w:r w:rsidR="006C6F09">
        <w:t xml:space="preserve"> </w:t>
      </w:r>
      <w:r w:rsidRPr="00D22122">
        <w:t>project</w:t>
      </w:r>
      <w:r w:rsidR="006C6F09">
        <w:t xml:space="preserve"> </w:t>
      </w:r>
      <w:r w:rsidRPr="00D22122">
        <w:t>requires</w:t>
      </w:r>
      <w:r w:rsidR="006C6F09">
        <w:t xml:space="preserve"> </w:t>
      </w:r>
      <w:r w:rsidRPr="00D22122">
        <w:t>the</w:t>
      </w:r>
      <w:r w:rsidR="006C6F09">
        <w:t xml:space="preserve"> </w:t>
      </w:r>
      <w:r w:rsidRPr="00D22122">
        <w:t>acquisition</w:t>
      </w:r>
      <w:r w:rsidR="006C6F09">
        <w:t xml:space="preserve"> </w:t>
      </w:r>
      <w:r w:rsidRPr="00D22122">
        <w:t>of</w:t>
      </w:r>
      <w:r w:rsidR="006C6F09">
        <w:t xml:space="preserve"> </w:t>
      </w:r>
      <w:r w:rsidRPr="00D22122">
        <w:t>significant</w:t>
      </w:r>
      <w:r w:rsidR="006C6F09">
        <w:t xml:space="preserve"> </w:t>
      </w:r>
      <w:r w:rsidRPr="00D22122">
        <w:t>amounts</w:t>
      </w:r>
      <w:r w:rsidR="006C6F09">
        <w:t xml:space="preserve"> </w:t>
      </w:r>
      <w:r w:rsidRPr="00D22122">
        <w:t>of</w:t>
      </w:r>
      <w:r w:rsidR="006C6F09">
        <w:t xml:space="preserve"> </w:t>
      </w:r>
      <w:r w:rsidRPr="00D22122">
        <w:t>ROW.</w:t>
      </w:r>
    </w:p>
    <w:p w14:paraId="6AD16449" w14:textId="17F590A4" w:rsidR="00457754" w:rsidRDefault="00457754" w:rsidP="00457754">
      <w:pPr>
        <w:pStyle w:val="ListBullet"/>
      </w:pPr>
      <w:r w:rsidRPr="00D22122">
        <w:t>The</w:t>
      </w:r>
      <w:r w:rsidR="006C6F09">
        <w:t xml:space="preserve"> </w:t>
      </w:r>
      <w:r w:rsidRPr="00D22122">
        <w:t>project</w:t>
      </w:r>
      <w:r w:rsidR="006C6F09">
        <w:t xml:space="preserve"> </w:t>
      </w:r>
      <w:r w:rsidRPr="00D22122">
        <w:t>has</w:t>
      </w:r>
      <w:r w:rsidR="006C6F09">
        <w:t xml:space="preserve"> </w:t>
      </w:r>
      <w:r w:rsidRPr="00D22122">
        <w:t>a</w:t>
      </w:r>
      <w:r w:rsidR="006C6F09">
        <w:t xml:space="preserve"> </w:t>
      </w:r>
      <w:r w:rsidRPr="00D22122">
        <w:t>substantial</w:t>
      </w:r>
      <w:r w:rsidR="006C6F09">
        <w:t xml:space="preserve"> </w:t>
      </w:r>
      <w:r w:rsidRPr="00D22122">
        <w:t>adverse</w:t>
      </w:r>
      <w:r w:rsidR="006C6F09">
        <w:t xml:space="preserve"> </w:t>
      </w:r>
      <w:r w:rsidRPr="00D22122">
        <w:t>impact</w:t>
      </w:r>
      <w:r w:rsidR="006C6F09">
        <w:t xml:space="preserve"> </w:t>
      </w:r>
      <w:r w:rsidRPr="00D22122">
        <w:t>on</w:t>
      </w:r>
      <w:r w:rsidR="006C6F09">
        <w:t xml:space="preserve"> </w:t>
      </w:r>
      <w:r w:rsidRPr="00D22122">
        <w:t>or</w:t>
      </w:r>
      <w:r w:rsidR="006C6F09">
        <w:t xml:space="preserve"> </w:t>
      </w:r>
      <w:r w:rsidRPr="00D22122">
        <w:t>abutting</w:t>
      </w:r>
      <w:r w:rsidR="006C6F09">
        <w:t xml:space="preserve"> </w:t>
      </w:r>
      <w:r w:rsidRPr="00D22122">
        <w:t>real</w:t>
      </w:r>
      <w:r w:rsidR="006C6F09">
        <w:t xml:space="preserve"> </w:t>
      </w:r>
      <w:r w:rsidRPr="00D22122">
        <w:t>property.</w:t>
      </w:r>
    </w:p>
    <w:p w14:paraId="7E014671" w14:textId="7F857D95" w:rsidR="00457754" w:rsidRDefault="00457754" w:rsidP="00457754">
      <w:pPr>
        <w:pStyle w:val="ListBullet"/>
      </w:pPr>
      <w:r w:rsidRPr="00D22122">
        <w:t>The</w:t>
      </w:r>
      <w:r w:rsidR="006C6F09">
        <w:t xml:space="preserve"> </w:t>
      </w:r>
      <w:r w:rsidRPr="00D22122">
        <w:t>project</w:t>
      </w:r>
      <w:r w:rsidR="006C6F09">
        <w:t xml:space="preserve"> </w:t>
      </w:r>
      <w:r w:rsidRPr="00D22122">
        <w:t>is</w:t>
      </w:r>
      <w:r w:rsidR="006C6F09">
        <w:t xml:space="preserve"> </w:t>
      </w:r>
      <w:r w:rsidRPr="00D22122">
        <w:t>the</w:t>
      </w:r>
      <w:r w:rsidR="006C6F09">
        <w:t xml:space="preserve"> </w:t>
      </w:r>
      <w:r w:rsidRPr="00D22122">
        <w:t>subject</w:t>
      </w:r>
      <w:r w:rsidR="006C6F09">
        <w:t xml:space="preserve"> </w:t>
      </w:r>
      <w:r w:rsidRPr="00D22122">
        <w:t>of</w:t>
      </w:r>
      <w:r w:rsidR="006C6F09">
        <w:t xml:space="preserve"> </w:t>
      </w:r>
      <w:r w:rsidRPr="00D22122">
        <w:t>an</w:t>
      </w:r>
      <w:r w:rsidR="006C6F09">
        <w:t xml:space="preserve"> </w:t>
      </w:r>
      <w:r w:rsidRPr="00D22122">
        <w:t>EA.</w:t>
      </w:r>
      <w:r w:rsidR="006C6F09">
        <w:t xml:space="preserve"> </w:t>
      </w:r>
      <w:r w:rsidRPr="00D22122">
        <w:t>An</w:t>
      </w:r>
      <w:r w:rsidR="006C6F09">
        <w:t xml:space="preserve"> </w:t>
      </w:r>
      <w:r w:rsidRPr="00D22122">
        <w:t>opportunity</w:t>
      </w:r>
      <w:r w:rsidR="006C6F09">
        <w:t xml:space="preserve"> </w:t>
      </w:r>
      <w:r w:rsidRPr="00D22122">
        <w:t>for</w:t>
      </w:r>
      <w:r w:rsidR="006C6F09">
        <w:t xml:space="preserve"> </w:t>
      </w:r>
      <w:r w:rsidRPr="00D22122">
        <w:t>a</w:t>
      </w:r>
      <w:r w:rsidR="006C6F09">
        <w:t xml:space="preserve"> </w:t>
      </w:r>
      <w:r w:rsidRPr="00D22122">
        <w:t>public</w:t>
      </w:r>
      <w:r w:rsidR="006C6F09">
        <w:t xml:space="preserve"> </w:t>
      </w:r>
      <w:r w:rsidRPr="00D22122">
        <w:t>hearing</w:t>
      </w:r>
      <w:r w:rsidR="006C6F09">
        <w:t xml:space="preserve"> </w:t>
      </w:r>
      <w:r w:rsidRPr="00D22122">
        <w:t>is</w:t>
      </w:r>
      <w:r w:rsidR="006C6F09">
        <w:t xml:space="preserve"> </w:t>
      </w:r>
      <w:r w:rsidRPr="00D22122">
        <w:t>the</w:t>
      </w:r>
      <w:r w:rsidR="006C6F09">
        <w:t xml:space="preserve"> </w:t>
      </w:r>
      <w:r w:rsidRPr="00D22122">
        <w:t>minimum</w:t>
      </w:r>
      <w:r w:rsidR="006C6F09">
        <w:t xml:space="preserve"> </w:t>
      </w:r>
      <w:r w:rsidRPr="00D22122">
        <w:t>public</w:t>
      </w:r>
      <w:r w:rsidR="006C6F09">
        <w:t xml:space="preserve"> </w:t>
      </w:r>
      <w:r w:rsidRPr="00D22122">
        <w:t>i</w:t>
      </w:r>
      <w:r>
        <w:t>nvolvement</w:t>
      </w:r>
      <w:r w:rsidR="006C6F09">
        <w:t xml:space="preserve"> </w:t>
      </w:r>
      <w:r>
        <w:t>requirement</w:t>
      </w:r>
      <w:r w:rsidR="006C6F09">
        <w:t xml:space="preserve"> </w:t>
      </w:r>
      <w:r>
        <w:t>for</w:t>
      </w:r>
      <w:r w:rsidR="006C6F09">
        <w:t xml:space="preserve"> </w:t>
      </w:r>
      <w:r>
        <w:t>an</w:t>
      </w:r>
      <w:r w:rsidR="006C6F09">
        <w:t xml:space="preserve"> </w:t>
      </w:r>
      <w:r>
        <w:t>EA.</w:t>
      </w:r>
    </w:p>
    <w:p w14:paraId="11F85C0F" w14:textId="267C2C3F" w:rsidR="00457754" w:rsidRPr="003B76FD" w:rsidRDefault="00457754" w:rsidP="003B76FD">
      <w:pPr>
        <w:pStyle w:val="Heading3"/>
        <w:spacing w:line="360" w:lineRule="auto"/>
      </w:pPr>
      <w:bookmarkStart w:id="57" w:name="_Ref219894777"/>
      <w:bookmarkStart w:id="58" w:name="_Toc224026214"/>
      <w:r w:rsidRPr="003B76FD">
        <w:t>5.2</w:t>
      </w:r>
      <w:r w:rsidR="006C6F09" w:rsidRPr="003B76FD">
        <w:t xml:space="preserve"> </w:t>
      </w:r>
      <w:r w:rsidRPr="003B76FD">
        <w:t>Notifications</w:t>
      </w:r>
      <w:bookmarkEnd w:id="57"/>
      <w:bookmarkEnd w:id="58"/>
      <w:r w:rsidR="006C6F09" w:rsidRPr="003B76FD">
        <w:t xml:space="preserve"> </w:t>
      </w:r>
    </w:p>
    <w:p w14:paraId="7FF05A6D" w14:textId="734FA2D0" w:rsidR="00457754" w:rsidRDefault="00457754" w:rsidP="00457754">
      <w:r>
        <w:t>The</w:t>
      </w:r>
      <w:r w:rsidR="006C6F09">
        <w:t xml:space="preserve"> </w:t>
      </w:r>
      <w:r>
        <w:t>project</w:t>
      </w:r>
      <w:r w:rsidR="006C6F09">
        <w:t xml:space="preserve"> </w:t>
      </w:r>
      <w:r>
        <w:t>sponsor</w:t>
      </w:r>
      <w:r w:rsidR="006C6F09">
        <w:t xml:space="preserve"> </w:t>
      </w:r>
      <w:r>
        <w:t>is</w:t>
      </w:r>
      <w:r w:rsidR="006C6F09">
        <w:t xml:space="preserve"> </w:t>
      </w:r>
      <w:r>
        <w:t>responsible</w:t>
      </w:r>
      <w:r w:rsidR="006C6F09">
        <w:t xml:space="preserve"> </w:t>
      </w:r>
      <w:r>
        <w:t>for</w:t>
      </w:r>
      <w:r w:rsidR="006C6F09">
        <w:t xml:space="preserve"> </w:t>
      </w:r>
      <w:r>
        <w:t>preparing</w:t>
      </w:r>
      <w:r w:rsidR="006C6F09">
        <w:t xml:space="preserve"> </w:t>
      </w:r>
      <w:r>
        <w:t>and</w:t>
      </w:r>
      <w:r w:rsidR="006C6F09">
        <w:t xml:space="preserve"> </w:t>
      </w:r>
      <w:r>
        <w:t>providing</w:t>
      </w:r>
      <w:r w:rsidR="006C6F09">
        <w:t xml:space="preserve"> </w:t>
      </w:r>
      <w:proofErr w:type="gramStart"/>
      <w:r>
        <w:t>an</w:t>
      </w:r>
      <w:r w:rsidR="006C6F09">
        <w:t xml:space="preserve"> </w:t>
      </w:r>
      <w:r>
        <w:t>NAOPH</w:t>
      </w:r>
      <w:proofErr w:type="gramEnd"/>
      <w:r>
        <w:t>.</w:t>
      </w:r>
      <w:r w:rsidR="006C6F09">
        <w:t xml:space="preserve"> </w:t>
      </w:r>
      <w:r>
        <w:t>The</w:t>
      </w:r>
      <w:r w:rsidR="006C6F09">
        <w:t xml:space="preserve"> </w:t>
      </w:r>
      <w:r>
        <w:t>notice</w:t>
      </w:r>
      <w:r w:rsidR="006C6F09">
        <w:t xml:space="preserve"> </w:t>
      </w:r>
      <w:r>
        <w:t>must</w:t>
      </w:r>
      <w:r w:rsidR="006C6F09">
        <w:t xml:space="preserve"> </w:t>
      </w:r>
      <w:r>
        <w:t>be</w:t>
      </w:r>
      <w:r w:rsidR="006C6F09">
        <w:t xml:space="preserve"> </w:t>
      </w:r>
      <w:r>
        <w:t>published</w:t>
      </w:r>
      <w:r w:rsidR="006C6F09">
        <w:t xml:space="preserve"> </w:t>
      </w:r>
      <w:r>
        <w:t>in</w:t>
      </w:r>
      <w:r w:rsidR="006C6F09">
        <w:t xml:space="preserve"> </w:t>
      </w:r>
      <w:r>
        <w:t>a</w:t>
      </w:r>
      <w:r w:rsidR="006C6F09">
        <w:t xml:space="preserve"> </w:t>
      </w:r>
      <w:r>
        <w:t>local</w:t>
      </w:r>
      <w:r w:rsidR="006C6F09">
        <w:t xml:space="preserve"> </w:t>
      </w:r>
      <w:r>
        <w:t>newspaper</w:t>
      </w:r>
      <w:r w:rsidR="006C6F09">
        <w:t xml:space="preserve"> </w:t>
      </w:r>
      <w:proofErr w:type="gramStart"/>
      <w:r>
        <w:t>having</w:t>
      </w:r>
      <w:proofErr w:type="gramEnd"/>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The</w:t>
      </w:r>
      <w:r w:rsidR="006C6F09">
        <w:t xml:space="preserve"> </w:t>
      </w:r>
      <w:r>
        <w:t>notice</w:t>
      </w:r>
      <w:r w:rsidR="006C6F09">
        <w:t xml:space="preserve"> </w:t>
      </w:r>
      <w:r>
        <w:t>can</w:t>
      </w:r>
      <w:r w:rsidR="006C6F09">
        <w:t xml:space="preserve"> </w:t>
      </w:r>
      <w:r>
        <w:t>be</w:t>
      </w:r>
      <w:r w:rsidR="006C6F09">
        <w:t xml:space="preserve"> </w:t>
      </w:r>
      <w:r>
        <w:t>published</w:t>
      </w:r>
      <w:r w:rsidR="006C6F09">
        <w:t xml:space="preserve"> </w:t>
      </w:r>
      <w:r>
        <w:t>in</w:t>
      </w:r>
      <w:r w:rsidR="006C6F09">
        <w:t xml:space="preserve"> </w:t>
      </w:r>
      <w:r>
        <w:t>any</w:t>
      </w:r>
      <w:r w:rsidR="006C6F09">
        <w:t xml:space="preserve"> </w:t>
      </w:r>
      <w:r>
        <w:t>section</w:t>
      </w:r>
      <w:r w:rsidR="006C6F09">
        <w:t xml:space="preserve"> </w:t>
      </w:r>
      <w:r>
        <w:t>of</w:t>
      </w:r>
      <w:r w:rsidR="006C6F09">
        <w:t xml:space="preserve"> </w:t>
      </w:r>
      <w:r>
        <w:t>the</w:t>
      </w:r>
      <w:r w:rsidR="006C6F09">
        <w:t xml:space="preserve"> </w:t>
      </w:r>
      <w:r>
        <w:t>newspaper</w:t>
      </w:r>
      <w:r w:rsidR="006C6F09">
        <w:t xml:space="preserve"> </w:t>
      </w:r>
      <w:r>
        <w:t>and</w:t>
      </w:r>
      <w:r w:rsidR="006C6F09">
        <w:t xml:space="preserve"> </w:t>
      </w:r>
      <w:r>
        <w:t>in</w:t>
      </w:r>
      <w:r w:rsidR="006C6F09">
        <w:t xml:space="preserve"> </w:t>
      </w:r>
      <w:r>
        <w:t>any</w:t>
      </w:r>
      <w:r w:rsidR="006C6F09">
        <w:t xml:space="preserve"> </w:t>
      </w:r>
      <w:r>
        <w:t>format,</w:t>
      </w:r>
      <w:r w:rsidR="006C6F09">
        <w:t xml:space="preserve"> </w:t>
      </w:r>
      <w:r>
        <w:t>although</w:t>
      </w:r>
      <w:r w:rsidR="006C6F09">
        <w:t xml:space="preserve"> </w:t>
      </w:r>
      <w:r>
        <w:t>it</w:t>
      </w:r>
      <w:r w:rsidR="006C6F09">
        <w:t xml:space="preserve"> </w:t>
      </w:r>
      <w:r>
        <w:t>is</w:t>
      </w:r>
      <w:r w:rsidR="006C6F09">
        <w:t xml:space="preserve"> </w:t>
      </w:r>
      <w:r>
        <w:t>recommended</w:t>
      </w:r>
      <w:r w:rsidR="006C6F09">
        <w:t xml:space="preserve"> </w:t>
      </w:r>
      <w:r>
        <w:t>that</w:t>
      </w:r>
      <w:r w:rsidR="006C6F09">
        <w:t xml:space="preserve"> </w:t>
      </w:r>
      <w:r>
        <w:t>the</w:t>
      </w:r>
      <w:r w:rsidR="006C6F09">
        <w:t xml:space="preserve"> </w:t>
      </w:r>
      <w:r>
        <w:t>notice</w:t>
      </w:r>
      <w:r w:rsidR="006C6F09">
        <w:t xml:space="preserve"> </w:t>
      </w:r>
      <w:proofErr w:type="gramStart"/>
      <w:r>
        <w:t>not</w:t>
      </w:r>
      <w:r w:rsidR="006C6F09">
        <w:t xml:space="preserve"> </w:t>
      </w:r>
      <w:r>
        <w:t>be</w:t>
      </w:r>
      <w:proofErr w:type="gramEnd"/>
      <w:r w:rsidR="006C6F09">
        <w:t xml:space="preserve"> </w:t>
      </w:r>
      <w:r>
        <w:t>published</w:t>
      </w:r>
      <w:r w:rsidR="006C6F09">
        <w:t xml:space="preserve"> </w:t>
      </w:r>
      <w:r>
        <w:t>in</w:t>
      </w:r>
      <w:r w:rsidR="006C6F09">
        <w:t xml:space="preserve"> </w:t>
      </w:r>
      <w:r>
        <w:t>the</w:t>
      </w:r>
      <w:r w:rsidR="006C6F09">
        <w:t xml:space="preserve"> </w:t>
      </w:r>
      <w:r>
        <w:t>legal</w:t>
      </w:r>
      <w:r w:rsidR="006C6F09">
        <w:t xml:space="preserve"> </w:t>
      </w:r>
      <w:r>
        <w:t>notices</w:t>
      </w:r>
      <w:r w:rsidR="006C6F09">
        <w:t xml:space="preserve"> </w:t>
      </w:r>
      <w:r>
        <w:t>section.</w:t>
      </w:r>
      <w:r w:rsidR="006C6F09">
        <w:t xml:space="preserve"> </w:t>
      </w:r>
      <w:r>
        <w:t>If</w:t>
      </w:r>
      <w:r w:rsidR="006C6F09">
        <w:t xml:space="preserve"> </w:t>
      </w:r>
      <w:r>
        <w:t>there</w:t>
      </w:r>
      <w:r w:rsidR="006C6F09">
        <w:t xml:space="preserve"> </w:t>
      </w:r>
      <w:r>
        <w:t>is</w:t>
      </w:r>
      <w:r w:rsidR="006C6F09">
        <w:t xml:space="preserve"> </w:t>
      </w:r>
      <w:r>
        <w:t>no</w:t>
      </w:r>
      <w:r w:rsidR="006C6F09">
        <w:t xml:space="preserve"> </w:t>
      </w:r>
      <w:r>
        <w:t>local</w:t>
      </w:r>
      <w:r w:rsidR="006C6F09">
        <w:t xml:space="preserve"> </w:t>
      </w:r>
      <w:r>
        <w:t>newspaper</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the</w:t>
      </w:r>
      <w:r w:rsidR="006C6F09">
        <w:t xml:space="preserve"> </w:t>
      </w:r>
      <w:r>
        <w:t>project</w:t>
      </w:r>
      <w:r w:rsidR="006C6F09">
        <w:t xml:space="preserve"> </w:t>
      </w:r>
      <w:r>
        <w:t>sponsor</w:t>
      </w:r>
      <w:r w:rsidR="006C6F09">
        <w:t xml:space="preserve"> </w:t>
      </w:r>
      <w:r>
        <w:t>publishes</w:t>
      </w:r>
      <w:r w:rsidR="006C6F09">
        <w:t xml:space="preserve"> </w:t>
      </w:r>
      <w:r>
        <w:t>notice</w:t>
      </w:r>
      <w:r w:rsidR="006C6F09">
        <w:t xml:space="preserve"> </w:t>
      </w:r>
      <w:r>
        <w:t>in</w:t>
      </w:r>
      <w:r w:rsidR="006C6F09">
        <w:t xml:space="preserve"> </w:t>
      </w:r>
      <w:r>
        <w:t>a</w:t>
      </w:r>
      <w:r w:rsidR="006C6F09">
        <w:t xml:space="preserve"> </w:t>
      </w:r>
      <w:r>
        <w:t>newspaper</w:t>
      </w:r>
      <w:r w:rsidR="006C6F09">
        <w:t xml:space="preserve"> </w:t>
      </w:r>
      <w:r>
        <w:t>with</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in</w:t>
      </w:r>
      <w:r w:rsidR="006C6F09">
        <w:t xml:space="preserve"> </w:t>
      </w:r>
      <w:r>
        <w:t>a</w:t>
      </w:r>
      <w:r w:rsidR="006C6F09">
        <w:t xml:space="preserve"> </w:t>
      </w:r>
      <w:r>
        <w:t>remote</w:t>
      </w:r>
      <w:r w:rsidR="006C6F09">
        <w:t xml:space="preserve"> </w:t>
      </w:r>
      <w:r>
        <w:t>area</w:t>
      </w:r>
      <w:r w:rsidR="006C6F09">
        <w:t xml:space="preserve"> </w:t>
      </w:r>
      <w:r>
        <w:t>with</w:t>
      </w:r>
      <w:r w:rsidR="006C6F09">
        <w:t xml:space="preserve"> </w:t>
      </w:r>
      <w:r>
        <w:t>no</w:t>
      </w:r>
      <w:r w:rsidR="006C6F09">
        <w:t xml:space="preserve"> </w:t>
      </w:r>
      <w:r>
        <w:t>newspapers</w:t>
      </w:r>
      <w:r w:rsidR="006C6F09">
        <w:t xml:space="preserve"> </w:t>
      </w:r>
      <w:r>
        <w:t>in</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or</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in</w:t>
      </w:r>
      <w:r w:rsidR="006C6F09">
        <w:t xml:space="preserve"> </w:t>
      </w:r>
      <w:r>
        <w:t>a</w:t>
      </w:r>
      <w:r w:rsidR="006C6F09">
        <w:t xml:space="preserve"> </w:t>
      </w:r>
      <w:r>
        <w:t>county</w:t>
      </w:r>
      <w:r w:rsidR="006C6F09">
        <w:t xml:space="preserve"> </w:t>
      </w:r>
      <w:r>
        <w:t>with</w:t>
      </w:r>
      <w:r w:rsidR="006C6F09">
        <w:t xml:space="preserve"> </w:t>
      </w:r>
      <w:r>
        <w:t>a</w:t>
      </w:r>
      <w:r w:rsidR="006C6F09">
        <w:t xml:space="preserve"> </w:t>
      </w:r>
      <w:r>
        <w:t>population</w:t>
      </w:r>
      <w:r w:rsidR="006C6F09">
        <w:t xml:space="preserve"> </w:t>
      </w:r>
      <w:r>
        <w:t>of</w:t>
      </w:r>
      <w:r w:rsidR="006C6F09">
        <w:t xml:space="preserve"> </w:t>
      </w:r>
      <w:r>
        <w:t>at</w:t>
      </w:r>
      <w:r w:rsidR="006C6F09">
        <w:t xml:space="preserve"> </w:t>
      </w:r>
      <w:r>
        <w:t>least</w:t>
      </w:r>
      <w:r w:rsidR="006C6F09">
        <w:t xml:space="preserve"> </w:t>
      </w:r>
      <w:r>
        <w:t>30,000</w:t>
      </w:r>
      <w:r w:rsidR="006C6F09">
        <w:t xml:space="preserve"> </w:t>
      </w:r>
      <w:r>
        <w:t>and</w:t>
      </w:r>
      <w:r w:rsidR="006C6F09">
        <w:t xml:space="preserve"> </w:t>
      </w:r>
      <w:r>
        <w:t>not</w:t>
      </w:r>
      <w:r w:rsidR="006C6F09">
        <w:t xml:space="preserve"> </w:t>
      </w:r>
      <w:r>
        <w:t>more</w:t>
      </w:r>
      <w:r w:rsidR="006C6F09">
        <w:t xml:space="preserve"> </w:t>
      </w:r>
      <w:r>
        <w:t>than</w:t>
      </w:r>
      <w:r w:rsidR="006C6F09">
        <w:t xml:space="preserve"> </w:t>
      </w:r>
      <w:r>
        <w:t>42,000</w:t>
      </w:r>
      <w:r w:rsidR="006C6F09">
        <w:t xml:space="preserve"> </w:t>
      </w:r>
      <w:r>
        <w:t>that</w:t>
      </w:r>
      <w:r w:rsidR="006C6F09">
        <w:t xml:space="preserve"> </w:t>
      </w:r>
      <w:r>
        <w:t>borders</w:t>
      </w:r>
      <w:r w:rsidR="006C6F09">
        <w:t xml:space="preserve"> </w:t>
      </w:r>
      <w:r>
        <w:t>the</w:t>
      </w:r>
      <w:r w:rsidR="006C6F09">
        <w:t xml:space="preserve"> </w:t>
      </w:r>
      <w:r>
        <w:t>Red</w:t>
      </w:r>
      <w:r w:rsidR="006C6F09">
        <w:t xml:space="preserve"> </w:t>
      </w:r>
      <w:r>
        <w:t>River</w:t>
      </w:r>
      <w:r w:rsidR="006C6F09">
        <w:t xml:space="preserve"> </w:t>
      </w:r>
      <w:r>
        <w:t>(currently</w:t>
      </w:r>
      <w:r w:rsidR="006C6F09">
        <w:t xml:space="preserve"> </w:t>
      </w:r>
      <w:r>
        <w:t>only</w:t>
      </w:r>
      <w:r w:rsidR="006C6F09">
        <w:t xml:space="preserve"> </w:t>
      </w:r>
      <w:r>
        <w:t>Fannin</w:t>
      </w:r>
      <w:r w:rsidR="006C6F09">
        <w:t xml:space="preserve"> </w:t>
      </w:r>
      <w:r>
        <w:t>County</w:t>
      </w:r>
      <w:r w:rsidR="006C6F09">
        <w:t xml:space="preserve"> </w:t>
      </w:r>
      <w:r>
        <w:t>meets</w:t>
      </w:r>
      <w:r w:rsidR="006C6F09">
        <w:t xml:space="preserve"> </w:t>
      </w:r>
      <w:r>
        <w:t>this</w:t>
      </w:r>
      <w:r w:rsidR="006C6F09">
        <w:t xml:space="preserve"> </w:t>
      </w:r>
      <w:r>
        <w:t>definition),</w:t>
      </w:r>
      <w:r w:rsidR="006C6F09">
        <w:t xml:space="preserve"> </w:t>
      </w:r>
      <w:r>
        <w:t>then</w:t>
      </w:r>
      <w:r w:rsidR="006C6F09">
        <w:t xml:space="preserve"> </w:t>
      </w:r>
      <w:r>
        <w:t>the</w:t>
      </w:r>
      <w:r w:rsidR="006C6F09">
        <w:t xml:space="preserve"> </w:t>
      </w:r>
      <w:r>
        <w:t>notice</w:t>
      </w:r>
      <w:r w:rsidR="006C6F09">
        <w:t xml:space="preserve"> </w:t>
      </w:r>
      <w:r>
        <w:t>may</w:t>
      </w:r>
      <w:r w:rsidR="006C6F09">
        <w:t xml:space="preserve"> </w:t>
      </w:r>
      <w:r>
        <w:t>be</w:t>
      </w:r>
      <w:r w:rsidR="006C6F09">
        <w:t xml:space="preserve"> </w:t>
      </w:r>
      <w:r>
        <w:t>published</w:t>
      </w:r>
      <w:r w:rsidR="006C6F09">
        <w:t xml:space="preserve"> </w:t>
      </w:r>
      <w:r>
        <w:t>in</w:t>
      </w:r>
      <w:r w:rsidR="006C6F09">
        <w:t xml:space="preserve"> </w:t>
      </w:r>
      <w:r>
        <w:t>a</w:t>
      </w:r>
      <w:r w:rsidR="006C6F09">
        <w:t xml:space="preserve"> </w:t>
      </w:r>
      <w:r>
        <w:t>digital</w:t>
      </w:r>
      <w:r w:rsidR="006C6F09">
        <w:t xml:space="preserve"> </w:t>
      </w:r>
      <w:r>
        <w:t>newspaper</w:t>
      </w:r>
      <w:r w:rsidR="006C6F09">
        <w:t xml:space="preserve"> </w:t>
      </w:r>
      <w:r>
        <w:t>that</w:t>
      </w:r>
      <w:r w:rsidR="006C6F09">
        <w:t xml:space="preserve"> </w:t>
      </w:r>
      <w:r>
        <w:t>meets</w:t>
      </w:r>
      <w:r w:rsidR="006C6F09">
        <w:t xml:space="preserve"> </w:t>
      </w:r>
      <w:r>
        <w:t>certain</w:t>
      </w:r>
      <w:r w:rsidR="006C6F09">
        <w:t xml:space="preserve"> </w:t>
      </w:r>
      <w:r>
        <w:t>requirements</w:t>
      </w:r>
      <w:r w:rsidR="006C6F09">
        <w:t xml:space="preserve"> </w:t>
      </w:r>
      <w:r>
        <w:t>–</w:t>
      </w:r>
      <w:r w:rsidR="006C6F09">
        <w:t xml:space="preserve"> </w:t>
      </w:r>
      <w:r>
        <w:t>see</w:t>
      </w:r>
      <w:r w:rsidR="006C6F09">
        <w:t xml:space="preserve"> </w:t>
      </w:r>
      <w:r w:rsidRPr="00D6221A">
        <w:t>Texas</w:t>
      </w:r>
      <w:r w:rsidR="006C6F09">
        <w:t xml:space="preserve"> </w:t>
      </w:r>
      <w:r w:rsidRPr="00D6221A">
        <w:t>Government</w:t>
      </w:r>
      <w:r w:rsidR="006C6F09">
        <w:t xml:space="preserve"> </w:t>
      </w:r>
      <w:r w:rsidRPr="00D6221A">
        <w:t>Code</w:t>
      </w:r>
      <w:r w:rsidR="006C6F09">
        <w:rPr>
          <w:i/>
          <w:iCs/>
        </w:rPr>
        <w:t xml:space="preserve"> </w:t>
      </w:r>
      <w:r>
        <w:t>2051.0441(b-1).</w:t>
      </w:r>
    </w:p>
    <w:p w14:paraId="42CA0387" w14:textId="60719B8B" w:rsidR="00457754" w:rsidRDefault="00457754" w:rsidP="00457754">
      <w:r>
        <w:t>In</w:t>
      </w:r>
      <w:r w:rsidR="006C6F09">
        <w:t xml:space="preserve"> </w:t>
      </w:r>
      <w:r>
        <w:t>addition,</w:t>
      </w:r>
      <w:r w:rsidR="006C6F09">
        <w:t xml:space="preserve"> </w:t>
      </w:r>
      <w:r>
        <w:t>the</w:t>
      </w:r>
      <w:r w:rsidR="006C6F09">
        <w:t xml:space="preserve"> </w:t>
      </w:r>
      <w:r>
        <w:t>project</w:t>
      </w:r>
      <w:r w:rsidR="006C6F09">
        <w:t xml:space="preserve"> </w:t>
      </w:r>
      <w:r>
        <w:t>sponsor</w:t>
      </w:r>
      <w:r w:rsidR="006C6F09">
        <w:t xml:space="preserve"> </w:t>
      </w:r>
      <w:r>
        <w:t>must</w:t>
      </w:r>
      <w:r w:rsidR="006C6F09">
        <w:t xml:space="preserve"> </w:t>
      </w:r>
      <w:r>
        <w:t>select</w:t>
      </w:r>
      <w:r w:rsidR="006C6F09">
        <w:t xml:space="preserve"> </w:t>
      </w:r>
      <w:r>
        <w:t>a</w:t>
      </w:r>
      <w:r w:rsidR="006C6F09">
        <w:t xml:space="preserve"> </w:t>
      </w:r>
      <w:r>
        <w:t>minimum</w:t>
      </w:r>
      <w:r w:rsidR="006C6F09">
        <w:t xml:space="preserve"> </w:t>
      </w:r>
      <w:r>
        <w:t>of</w:t>
      </w:r>
      <w:r w:rsidR="006C6F09">
        <w:t xml:space="preserve"> </w:t>
      </w:r>
      <w:r>
        <w:t>one</w:t>
      </w:r>
      <w:r w:rsidR="006C6F09">
        <w:t xml:space="preserve"> </w:t>
      </w:r>
      <w:r>
        <w:t>additional</w:t>
      </w:r>
      <w:r w:rsidR="006C6F09">
        <w:t xml:space="preserve"> </w:t>
      </w:r>
      <w:r>
        <w:t>outreach</w:t>
      </w:r>
      <w:r w:rsidR="006C6F09">
        <w:t xml:space="preserve"> </w:t>
      </w:r>
      <w:r>
        <w:t>method</w:t>
      </w:r>
      <w:r w:rsidR="006C6F09">
        <w:t xml:space="preserve"> </w:t>
      </w:r>
      <w:r>
        <w:t>to</w:t>
      </w:r>
      <w:r w:rsidR="006C6F09">
        <w:t xml:space="preserve"> </w:t>
      </w:r>
      <w:r>
        <w:t>inform</w:t>
      </w:r>
      <w:r w:rsidR="006C6F09">
        <w:t xml:space="preserve"> </w:t>
      </w:r>
      <w:r>
        <w:t>the</w:t>
      </w:r>
      <w:r w:rsidR="006C6F09">
        <w:t xml:space="preserve"> </w:t>
      </w:r>
      <w:r>
        <w:t>public</w:t>
      </w:r>
      <w:r w:rsidR="006C6F09">
        <w:t xml:space="preserve"> </w:t>
      </w:r>
      <w:r>
        <w:t>of</w:t>
      </w:r>
      <w:r w:rsidR="006C6F09">
        <w:t xml:space="preserve"> </w:t>
      </w:r>
      <w:r>
        <w:t>an</w:t>
      </w:r>
      <w:r w:rsidR="006C6F09">
        <w:t xml:space="preserve"> </w:t>
      </w:r>
      <w:r>
        <w:t>opportunity</w:t>
      </w:r>
      <w:r w:rsidR="006C6F09">
        <w:t xml:space="preserve"> </w:t>
      </w:r>
      <w:r>
        <w:t>to</w:t>
      </w:r>
      <w:r w:rsidR="006C6F09">
        <w:t xml:space="preserve"> </w:t>
      </w:r>
      <w:r>
        <w:t>request</w:t>
      </w:r>
      <w:r w:rsidR="006C6F09">
        <w:t xml:space="preserve"> </w:t>
      </w:r>
      <w:r>
        <w:t>a</w:t>
      </w:r>
      <w:r w:rsidR="006C6F09">
        <w:t xml:space="preserve"> </w:t>
      </w:r>
      <w:r>
        <w:t>public</w:t>
      </w:r>
      <w:r w:rsidR="006C6F09">
        <w:t xml:space="preserve"> </w:t>
      </w:r>
      <w:r>
        <w:t>hearing.</w:t>
      </w:r>
      <w:r w:rsidR="006C6F09">
        <w:t xml:space="preserve"> </w:t>
      </w:r>
      <w:r>
        <w:t>These</w:t>
      </w:r>
      <w:r w:rsidR="006C6F09">
        <w:t xml:space="preserve"> </w:t>
      </w:r>
      <w:r>
        <w:t>methods</w:t>
      </w:r>
      <w:r w:rsidR="006C6F09">
        <w:t xml:space="preserve"> </w:t>
      </w:r>
      <w:r>
        <w:t>can</w:t>
      </w:r>
      <w:r w:rsidR="006C6F09">
        <w:t xml:space="preserve"> </w:t>
      </w:r>
      <w:r>
        <w:t>include,</w:t>
      </w:r>
      <w:r w:rsidR="006C6F09">
        <w:t xml:space="preserve"> </w:t>
      </w:r>
      <w:r>
        <w:t>but</w:t>
      </w:r>
      <w:r w:rsidR="006C6F09">
        <w:t xml:space="preserve"> </w:t>
      </w:r>
      <w:r>
        <w:t>are</w:t>
      </w:r>
      <w:r w:rsidR="006C6F09">
        <w:t xml:space="preserve"> </w:t>
      </w:r>
      <w:r>
        <w:t>not</w:t>
      </w:r>
      <w:r w:rsidR="006C6F09">
        <w:t xml:space="preserve"> </w:t>
      </w:r>
      <w:r>
        <w:t>limited</w:t>
      </w:r>
      <w:r w:rsidR="006C6F09">
        <w:t xml:space="preserve"> </w:t>
      </w:r>
      <w:r>
        <w:t>to,</w:t>
      </w:r>
      <w:r w:rsidR="006C6F09">
        <w:t xml:space="preserve"> </w:t>
      </w:r>
      <w:r>
        <w:t>posting</w:t>
      </w:r>
      <w:r w:rsidR="006C6F09">
        <w:t xml:space="preserve"> </w:t>
      </w:r>
      <w:r>
        <w:t>information</w:t>
      </w:r>
      <w:r w:rsidR="006C6F09">
        <w:t xml:space="preserve"> </w:t>
      </w:r>
      <w:r>
        <w:t>on</w:t>
      </w:r>
      <w:r w:rsidR="006C6F09">
        <w:t xml:space="preserve"> </w:t>
      </w:r>
      <w:r>
        <w:t>project</w:t>
      </w:r>
      <w:r w:rsidR="006C6F09">
        <w:t xml:space="preserve"> </w:t>
      </w:r>
      <w:r>
        <w:t>specific</w:t>
      </w:r>
      <w:r w:rsidR="006C6F09">
        <w:t xml:space="preserve"> </w:t>
      </w:r>
      <w:proofErr w:type="gramStart"/>
      <w:r>
        <w:t>website</w:t>
      </w:r>
      <w:proofErr w:type="gramEnd"/>
      <w:r>
        <w:t>,</w:t>
      </w:r>
      <w:r w:rsidR="006C6F09">
        <w:t xml:space="preserve"> </w:t>
      </w:r>
      <w:r>
        <w:t>email</w:t>
      </w:r>
      <w:r w:rsidR="006C6F09">
        <w:t xml:space="preserve"> </w:t>
      </w:r>
      <w:r>
        <w:t>blast</w:t>
      </w:r>
      <w:r w:rsidR="006C6F09">
        <w:t xml:space="preserve"> </w:t>
      </w:r>
      <w:r>
        <w:t>to</w:t>
      </w:r>
      <w:r w:rsidR="006C6F09">
        <w:t xml:space="preserve"> </w:t>
      </w:r>
      <w:r>
        <w:t>stakeholder</w:t>
      </w:r>
      <w:r w:rsidR="006C6F09">
        <w:t xml:space="preserve"> </w:t>
      </w:r>
      <w:r>
        <w:t>list,</w:t>
      </w:r>
      <w:r w:rsidR="006C6F09">
        <w:t xml:space="preserve"> </w:t>
      </w:r>
      <w:r>
        <w:t>publishing</w:t>
      </w:r>
      <w:r w:rsidR="006C6F09">
        <w:t xml:space="preserve"> </w:t>
      </w:r>
      <w:r>
        <w:t>an</w:t>
      </w:r>
      <w:r w:rsidR="006C6F09">
        <w:t xml:space="preserve"> </w:t>
      </w:r>
      <w:r>
        <w:t>additional</w:t>
      </w:r>
      <w:r w:rsidR="006C6F09">
        <w:t xml:space="preserve"> </w:t>
      </w:r>
      <w:r>
        <w:t>notice</w:t>
      </w:r>
      <w:r w:rsidR="006C6F09">
        <w:t xml:space="preserve"> </w:t>
      </w:r>
      <w:r>
        <w:t>in</w:t>
      </w:r>
      <w:r w:rsidR="006C6F09">
        <w:t xml:space="preserve"> </w:t>
      </w:r>
      <w:r>
        <w:t>the</w:t>
      </w:r>
      <w:r w:rsidR="006C6F09">
        <w:t xml:space="preserve"> </w:t>
      </w:r>
      <w:r>
        <w:t>newspaper</w:t>
      </w:r>
      <w:r w:rsidR="006C6F09">
        <w:t xml:space="preserve"> </w:t>
      </w:r>
      <w:r>
        <w:t>or</w:t>
      </w:r>
      <w:r w:rsidR="006C6F09">
        <w:t xml:space="preserve"> </w:t>
      </w:r>
      <w:r>
        <w:t>online</w:t>
      </w:r>
      <w:r w:rsidR="006C6F09">
        <w:t xml:space="preserve"> </w:t>
      </w:r>
      <w:r>
        <w:t>media,</w:t>
      </w:r>
      <w:r w:rsidR="006C6F09">
        <w:t xml:space="preserve"> </w:t>
      </w:r>
      <w:r>
        <w:t>providing</w:t>
      </w:r>
      <w:r w:rsidR="006C6F09">
        <w:t xml:space="preserve"> </w:t>
      </w:r>
      <w:r>
        <w:t>notices</w:t>
      </w:r>
      <w:r w:rsidR="006C6F09">
        <w:t xml:space="preserve"> </w:t>
      </w:r>
      <w:r>
        <w:t>to</w:t>
      </w:r>
      <w:r w:rsidR="006C6F09">
        <w:t xml:space="preserve"> </w:t>
      </w:r>
      <w:r>
        <w:t>local</w:t>
      </w:r>
      <w:r w:rsidR="006C6F09">
        <w:t xml:space="preserve"> </w:t>
      </w:r>
      <w:r>
        <w:t>community</w:t>
      </w:r>
      <w:r w:rsidR="006C6F09">
        <w:t xml:space="preserve"> </w:t>
      </w:r>
      <w:r>
        <w:t>groups,</w:t>
      </w:r>
      <w:r w:rsidR="006C6F09">
        <w:t xml:space="preserve"> </w:t>
      </w:r>
      <w:r>
        <w:t>neighborhood</w:t>
      </w:r>
      <w:r w:rsidR="006C6F09">
        <w:t xml:space="preserve"> </w:t>
      </w:r>
      <w:r>
        <w:t>associations,</w:t>
      </w:r>
      <w:r w:rsidR="006C6F09">
        <w:t xml:space="preserve"> </w:t>
      </w:r>
      <w:r>
        <w:t>schools,</w:t>
      </w:r>
      <w:r w:rsidR="006C6F09">
        <w:t xml:space="preserve"> </w:t>
      </w:r>
      <w:r>
        <w:t>and</w:t>
      </w:r>
      <w:r w:rsidR="006C6F09">
        <w:t xml:space="preserve"> </w:t>
      </w:r>
      <w:r>
        <w:lastRenderedPageBreak/>
        <w:t>other</w:t>
      </w:r>
      <w:r w:rsidR="006C6F09">
        <w:t xml:space="preserve"> </w:t>
      </w:r>
      <w:r>
        <w:t>locations</w:t>
      </w:r>
      <w:r w:rsidR="006C6F09">
        <w:t xml:space="preserve"> </w:t>
      </w:r>
      <w:r>
        <w:t>within</w:t>
      </w:r>
      <w:r w:rsidR="006C6F09">
        <w:t xml:space="preserve"> </w:t>
      </w:r>
      <w:r>
        <w:t>the</w:t>
      </w:r>
      <w:r w:rsidR="006C6F09">
        <w:t xml:space="preserve"> </w:t>
      </w:r>
      <w:r>
        <w:t>project</w:t>
      </w:r>
      <w:r w:rsidR="006C6F09">
        <w:t xml:space="preserve"> </w:t>
      </w:r>
      <w:r>
        <w:t>area</w:t>
      </w:r>
      <w:r w:rsidR="006C6F09">
        <w:t xml:space="preserve"> </w:t>
      </w:r>
      <w:r>
        <w:t>where</w:t>
      </w:r>
      <w:r w:rsidR="006C6F09">
        <w:t xml:space="preserve"> </w:t>
      </w:r>
      <w:r>
        <w:t>the</w:t>
      </w:r>
      <w:r w:rsidR="006C6F09">
        <w:t xml:space="preserve"> </w:t>
      </w:r>
      <w:r>
        <w:t>community</w:t>
      </w:r>
      <w:r w:rsidR="006C6F09">
        <w:t xml:space="preserve"> </w:t>
      </w:r>
      <w:r>
        <w:t>might</w:t>
      </w:r>
      <w:r w:rsidR="006C6F09">
        <w:t xml:space="preserve"> </w:t>
      </w:r>
      <w:r>
        <w:t>congregate,</w:t>
      </w:r>
      <w:r w:rsidR="006C6F09">
        <w:t xml:space="preserve"> </w:t>
      </w:r>
      <w:r>
        <w:t>social</w:t>
      </w:r>
      <w:r w:rsidR="006C6F09">
        <w:t xml:space="preserve"> </w:t>
      </w:r>
      <w:r>
        <w:t>media,</w:t>
      </w:r>
      <w:r w:rsidR="006C6F09">
        <w:t xml:space="preserve"> </w:t>
      </w:r>
      <w:r>
        <w:t>or</w:t>
      </w:r>
      <w:r w:rsidR="006C6F09">
        <w:t xml:space="preserve"> </w:t>
      </w:r>
      <w:r>
        <w:t>using</w:t>
      </w:r>
      <w:r w:rsidR="006C6F09">
        <w:t xml:space="preserve"> </w:t>
      </w:r>
      <w:r>
        <w:t>changeable</w:t>
      </w:r>
      <w:r w:rsidR="006C6F09">
        <w:t xml:space="preserve"> </w:t>
      </w:r>
      <w:r>
        <w:t>message</w:t>
      </w:r>
      <w:r w:rsidR="006C6F09">
        <w:t xml:space="preserve"> </w:t>
      </w:r>
      <w:r>
        <w:t>signs.</w:t>
      </w:r>
      <w:r w:rsidR="006C6F09">
        <w:t xml:space="preserve"> </w:t>
      </w:r>
      <w:r>
        <w:t>Strategies</w:t>
      </w:r>
      <w:r w:rsidR="006C6F09">
        <w:t xml:space="preserve"> </w:t>
      </w:r>
      <w:r>
        <w:t>to</w:t>
      </w:r>
      <w:r w:rsidR="006C6F09">
        <w:t xml:space="preserve"> </w:t>
      </w:r>
      <w:r>
        <w:t>address</w:t>
      </w:r>
      <w:r w:rsidR="006C6F09">
        <w:t xml:space="preserve"> </w:t>
      </w:r>
      <w:r>
        <w:t>LEP</w:t>
      </w:r>
      <w:r w:rsidR="006C6F09">
        <w:t xml:space="preserve"> </w:t>
      </w:r>
      <w:r>
        <w:t>populations</w:t>
      </w:r>
      <w:r w:rsidR="006C6F09">
        <w:t xml:space="preserve"> </w:t>
      </w:r>
      <w:r>
        <w:t>must</w:t>
      </w:r>
      <w:r w:rsidR="006C6F09">
        <w:t xml:space="preserve"> </w:t>
      </w:r>
      <w:r>
        <w:t>be</w:t>
      </w:r>
      <w:r w:rsidR="006C6F09">
        <w:t xml:space="preserve"> </w:t>
      </w:r>
      <w:r>
        <w:t>developed</w:t>
      </w:r>
      <w:r w:rsidR="006C6F09">
        <w:t xml:space="preserve"> </w:t>
      </w:r>
      <w:r>
        <w:t>and</w:t>
      </w:r>
      <w:r w:rsidR="006C6F09">
        <w:t xml:space="preserve"> </w:t>
      </w:r>
      <w:r>
        <w:t>implemented</w:t>
      </w:r>
      <w:r w:rsidR="006C6F09">
        <w:t xml:space="preserve"> </w:t>
      </w:r>
      <w:r>
        <w:t>where</w:t>
      </w:r>
      <w:r w:rsidR="006C6F09">
        <w:t xml:space="preserve"> </w:t>
      </w:r>
      <w:r>
        <w:t>populations</w:t>
      </w:r>
      <w:r w:rsidR="006C6F09">
        <w:t xml:space="preserve"> </w:t>
      </w:r>
      <w:r>
        <w:t>are</w:t>
      </w:r>
      <w:r w:rsidR="006C6F09">
        <w:t xml:space="preserve"> </w:t>
      </w:r>
      <w:r>
        <w:t>identified</w:t>
      </w:r>
      <w:r w:rsidR="006C6F09">
        <w:t xml:space="preserve"> </w:t>
      </w:r>
      <w:r>
        <w:t>in</w:t>
      </w:r>
      <w:r w:rsidR="006C6F09">
        <w:t xml:space="preserve"> </w:t>
      </w:r>
      <w:r>
        <w:t>the</w:t>
      </w:r>
      <w:r w:rsidR="006C6F09">
        <w:t xml:space="preserve"> </w:t>
      </w:r>
      <w:r>
        <w:t>project</w:t>
      </w:r>
      <w:r w:rsidR="006C6F09">
        <w:t xml:space="preserve"> </w:t>
      </w:r>
      <w:r>
        <w:t>area.</w:t>
      </w:r>
      <w:r w:rsidR="006C6F09">
        <w:t xml:space="preserve"> </w:t>
      </w:r>
      <w:r>
        <w:t>Project</w:t>
      </w:r>
      <w:r w:rsidR="006C6F09">
        <w:t xml:space="preserve"> </w:t>
      </w:r>
      <w:r>
        <w:t>sponsors</w:t>
      </w:r>
      <w:r w:rsidR="006C6F09">
        <w:t xml:space="preserve"> </w:t>
      </w:r>
      <w:r>
        <w:t>are</w:t>
      </w:r>
      <w:r w:rsidR="006C6F09">
        <w:t xml:space="preserve"> </w:t>
      </w:r>
      <w:r>
        <w:t>encouraged</w:t>
      </w:r>
      <w:r w:rsidR="006C6F09">
        <w:t xml:space="preserve"> </w:t>
      </w:r>
      <w:r>
        <w:t>to</w:t>
      </w:r>
      <w:r w:rsidR="006C6F09">
        <w:t xml:space="preserve"> </w:t>
      </w:r>
      <w:r>
        <w:t>work</w:t>
      </w:r>
      <w:r w:rsidR="006C6F09">
        <w:t xml:space="preserve"> </w:t>
      </w:r>
      <w:r>
        <w:t>with</w:t>
      </w:r>
      <w:r w:rsidR="006C6F09">
        <w:t xml:space="preserve"> </w:t>
      </w:r>
      <w:r>
        <w:t>the</w:t>
      </w:r>
      <w:r w:rsidR="006C6F09">
        <w:t xml:space="preserve"> </w:t>
      </w:r>
      <w:r>
        <w:t>Public</w:t>
      </w:r>
      <w:r w:rsidR="006C6F09">
        <w:t xml:space="preserve"> </w:t>
      </w:r>
      <w:r>
        <w:t>Involvement</w:t>
      </w:r>
      <w:r w:rsidR="006C6F09">
        <w:t xml:space="preserve"> </w:t>
      </w:r>
      <w:r>
        <w:t>(PI)</w:t>
      </w:r>
      <w:r w:rsidR="006C6F09">
        <w:t xml:space="preserve"> </w:t>
      </w:r>
      <w:r>
        <w:t>Section</w:t>
      </w:r>
      <w:r w:rsidR="006C6F09">
        <w:t xml:space="preserve"> </w:t>
      </w:r>
      <w:r>
        <w:t>of</w:t>
      </w:r>
      <w:r w:rsidR="006C6F09">
        <w:t xml:space="preserve"> </w:t>
      </w:r>
      <w:r>
        <w:t>TxDOT’s</w:t>
      </w:r>
      <w:r w:rsidR="006C6F09">
        <w:t xml:space="preserve"> </w:t>
      </w:r>
      <w:r>
        <w:t>Transportation</w:t>
      </w:r>
      <w:r w:rsidR="006C6F09">
        <w:t xml:space="preserve"> </w:t>
      </w:r>
      <w:r>
        <w:t>Planning</w:t>
      </w:r>
      <w:r w:rsidR="006C6F09">
        <w:t xml:space="preserve"> </w:t>
      </w:r>
      <w:r>
        <w:t>and</w:t>
      </w:r>
      <w:r w:rsidR="006C6F09">
        <w:t xml:space="preserve"> </w:t>
      </w:r>
      <w:r>
        <w:t>Programming</w:t>
      </w:r>
      <w:r w:rsidR="006C6F09">
        <w:t xml:space="preserve"> </w:t>
      </w:r>
      <w:r>
        <w:t>(TPP)</w:t>
      </w:r>
      <w:r w:rsidR="006C6F09">
        <w:t xml:space="preserve"> </w:t>
      </w:r>
      <w:r>
        <w:t>Division</w:t>
      </w:r>
      <w:r w:rsidR="006C6F09">
        <w:t xml:space="preserve"> </w:t>
      </w:r>
      <w:r>
        <w:t>in</w:t>
      </w:r>
      <w:r w:rsidR="006C6F09">
        <w:t xml:space="preserve"> </w:t>
      </w:r>
      <w:r>
        <w:t>identifying</w:t>
      </w:r>
      <w:r w:rsidR="006C6F09">
        <w:t xml:space="preserve"> </w:t>
      </w:r>
      <w:r>
        <w:t>additional</w:t>
      </w:r>
      <w:r w:rsidR="006C6F09">
        <w:t xml:space="preserve"> </w:t>
      </w:r>
      <w:r>
        <w:t>outreach</w:t>
      </w:r>
      <w:r w:rsidR="006C6F09">
        <w:t xml:space="preserve"> </w:t>
      </w:r>
      <w:r>
        <w:t>methods</w:t>
      </w:r>
      <w:r w:rsidR="006C6F09">
        <w:t xml:space="preserve"> </w:t>
      </w:r>
      <w:r>
        <w:t>(see</w:t>
      </w:r>
      <w:r w:rsidR="006C6F09">
        <w:t xml:space="preserve"> </w:t>
      </w:r>
      <w:r>
        <w:t>Section</w:t>
      </w:r>
      <w:r w:rsidR="006C6F09">
        <w:t xml:space="preserve"> </w:t>
      </w:r>
      <w:r w:rsidRPr="00263E76">
        <w:rPr>
          <w:u w:val="single"/>
        </w:rPr>
        <w:fldChar w:fldCharType="begin"/>
      </w:r>
      <w:r w:rsidRPr="00263E76">
        <w:rPr>
          <w:u w:val="single"/>
        </w:rPr>
        <w:instrText xml:space="preserve"> REF _Ref219790416 \h  \* MERGEFORMAT </w:instrText>
      </w:r>
      <w:r w:rsidRPr="00263E76">
        <w:rPr>
          <w:u w:val="single"/>
        </w:rPr>
      </w:r>
      <w:r w:rsidRPr="00263E76">
        <w:rPr>
          <w:u w:val="single"/>
        </w:rPr>
        <w:fldChar w:fldCharType="separate"/>
      </w:r>
      <w:r w:rsidRPr="00263E76">
        <w:rPr>
          <w:color w:val="0056A9"/>
          <w:u w:val="single"/>
        </w:rPr>
        <w:t>1.2.3</w:t>
      </w:r>
      <w:r w:rsidRPr="00263E76">
        <w:rPr>
          <w:u w:val="single"/>
        </w:rPr>
        <w:fldChar w:fldCharType="end"/>
      </w:r>
      <w:r w:rsidR="006C6F09">
        <w:t xml:space="preserve"> </w:t>
      </w:r>
      <w:r>
        <w:t>of</w:t>
      </w:r>
      <w:r w:rsidR="006C6F09">
        <w:t xml:space="preserve"> </w:t>
      </w:r>
      <w:r>
        <w:t>this</w:t>
      </w:r>
      <w:r w:rsidR="006C6F09">
        <w:t xml:space="preserve"> </w:t>
      </w:r>
      <w:r>
        <w:t>Handbook).</w:t>
      </w:r>
      <w:r w:rsidR="006C6F09">
        <w:t xml:space="preserve"> </w:t>
      </w:r>
      <w:r>
        <w:t>Notices</w:t>
      </w:r>
      <w:r w:rsidR="006C6F09">
        <w:t xml:space="preserve"> </w:t>
      </w:r>
      <w:r>
        <w:t>must</w:t>
      </w:r>
      <w:r w:rsidR="006C6F09">
        <w:t xml:space="preserve"> </w:t>
      </w:r>
      <w:r>
        <w:t>be</w:t>
      </w:r>
      <w:r w:rsidR="006C6F09">
        <w:t xml:space="preserve"> </w:t>
      </w:r>
      <w:r>
        <w:t>provided</w:t>
      </w:r>
      <w:r w:rsidR="006C6F09">
        <w:t xml:space="preserve"> </w:t>
      </w:r>
      <w:r>
        <w:t>in</w:t>
      </w:r>
      <w:r w:rsidR="006C6F09">
        <w:t xml:space="preserve"> </w:t>
      </w:r>
      <w:r>
        <w:t>English</w:t>
      </w:r>
      <w:r w:rsidR="006C6F09">
        <w:t xml:space="preserve"> </w:t>
      </w:r>
      <w:r>
        <w:t>and</w:t>
      </w:r>
      <w:r w:rsidR="006C6F09">
        <w:t xml:space="preserve"> </w:t>
      </w:r>
      <w:r>
        <w:t>any</w:t>
      </w:r>
      <w:r w:rsidR="006C6F09">
        <w:t xml:space="preserve"> </w:t>
      </w:r>
      <w:r>
        <w:t>other</w:t>
      </w:r>
      <w:r w:rsidR="006C6F09">
        <w:t xml:space="preserve"> </w:t>
      </w:r>
      <w:r>
        <w:t>language</w:t>
      </w:r>
      <w:r w:rsidR="006C6F09">
        <w:t xml:space="preserve"> </w:t>
      </w:r>
      <w:r>
        <w:t>commonly</w:t>
      </w:r>
      <w:r w:rsidR="006C6F09">
        <w:t xml:space="preserve"> </w:t>
      </w:r>
      <w:r>
        <w:t>spoken</w:t>
      </w:r>
      <w:r w:rsidR="006C6F09">
        <w:t xml:space="preserve"> </w:t>
      </w:r>
      <w:r>
        <w:t>in</w:t>
      </w:r>
      <w:r w:rsidR="006C6F09">
        <w:t xml:space="preserve"> </w:t>
      </w:r>
      <w:r>
        <w:t>the</w:t>
      </w:r>
      <w:r w:rsidR="006C6F09">
        <w:t xml:space="preserve"> </w:t>
      </w:r>
      <w:r>
        <w:t>project</w:t>
      </w:r>
      <w:r w:rsidR="006C6F09">
        <w:t xml:space="preserve"> </w:t>
      </w:r>
      <w:r>
        <w:t>area.</w:t>
      </w:r>
      <w:r w:rsidR="006C6F09">
        <w:t xml:space="preserve"> </w:t>
      </w:r>
      <w:r>
        <w:t>TPP’s</w:t>
      </w:r>
      <w:r w:rsidR="006C6F09">
        <w:t xml:space="preserve"> </w:t>
      </w:r>
      <w:r>
        <w:t>PI</w:t>
      </w:r>
      <w:r w:rsidR="006C6F09">
        <w:t xml:space="preserve"> </w:t>
      </w:r>
      <w:r>
        <w:t>Section</w:t>
      </w:r>
      <w:r w:rsidR="006C6F09">
        <w:t xml:space="preserve"> </w:t>
      </w:r>
      <w:r>
        <w:t>is</w:t>
      </w:r>
      <w:r w:rsidR="006C6F09">
        <w:t xml:space="preserve"> </w:t>
      </w:r>
      <w:r>
        <w:t>available</w:t>
      </w:r>
      <w:r w:rsidR="006C6F09">
        <w:t xml:space="preserve"> </w:t>
      </w:r>
      <w:r>
        <w:t>to</w:t>
      </w:r>
      <w:r w:rsidR="006C6F09">
        <w:t xml:space="preserve"> </w:t>
      </w:r>
      <w:r>
        <w:t>assist</w:t>
      </w:r>
      <w:r w:rsidR="006C6F09">
        <w:t xml:space="preserve"> </w:t>
      </w:r>
      <w:r>
        <w:t>with</w:t>
      </w:r>
      <w:r w:rsidR="006C6F09">
        <w:t xml:space="preserve"> </w:t>
      </w:r>
      <w:r>
        <w:t>this</w:t>
      </w:r>
      <w:r w:rsidR="006C6F09">
        <w:t xml:space="preserve"> </w:t>
      </w:r>
      <w:r>
        <w:t>requirement.</w:t>
      </w:r>
    </w:p>
    <w:p w14:paraId="5AF63CAA" w14:textId="05F55406" w:rsidR="00457754" w:rsidRDefault="00457754" w:rsidP="00457754">
      <w:pPr>
        <w:spacing w:before="240"/>
      </w:pPr>
      <w:r>
        <w:t>The</w:t>
      </w:r>
      <w:r w:rsidR="006C6F09">
        <w:t xml:space="preserve"> </w:t>
      </w:r>
      <w:r>
        <w:t>project</w:t>
      </w:r>
      <w:r w:rsidR="006C6F09">
        <w:t xml:space="preserve"> </w:t>
      </w:r>
      <w:r>
        <w:t>sponsor</w:t>
      </w:r>
      <w:r w:rsidR="006C6F09">
        <w:t xml:space="preserve"> </w:t>
      </w:r>
      <w:r>
        <w:t>must</w:t>
      </w:r>
      <w:r w:rsidR="006C6F09">
        <w:t xml:space="preserve"> </w:t>
      </w:r>
      <w:r>
        <w:t>mail</w:t>
      </w:r>
      <w:r w:rsidR="006C6F09">
        <w:t xml:space="preserve"> </w:t>
      </w:r>
      <w:r>
        <w:t>(non-certified)</w:t>
      </w:r>
      <w:r w:rsidR="006C6F09">
        <w:t xml:space="preserve"> </w:t>
      </w:r>
      <w:r>
        <w:t>or</w:t>
      </w:r>
      <w:r w:rsidR="006C6F09">
        <w:t xml:space="preserve"> </w:t>
      </w:r>
      <w:r>
        <w:t>email</w:t>
      </w:r>
      <w:r w:rsidR="006C6F09">
        <w:t xml:space="preserve"> </w:t>
      </w:r>
      <w:r>
        <w:t>the</w:t>
      </w:r>
      <w:r w:rsidR="006C6F09">
        <w:t xml:space="preserve"> </w:t>
      </w:r>
      <w:r>
        <w:t>NAOPH</w:t>
      </w:r>
      <w:r w:rsidR="006C6F09">
        <w:t xml:space="preserve"> </w:t>
      </w:r>
      <w:r>
        <w:t>to</w:t>
      </w:r>
      <w:r w:rsidR="006C6F09">
        <w:t xml:space="preserve"> </w:t>
      </w:r>
      <w:r>
        <w:t>landowners</w:t>
      </w:r>
      <w:r w:rsidR="006C6F09">
        <w:t xml:space="preserve"> </w:t>
      </w:r>
      <w:r>
        <w:t>abutting</w:t>
      </w:r>
      <w:r w:rsidR="006C6F09">
        <w:t xml:space="preserve"> </w:t>
      </w:r>
      <w:r>
        <w:t>the</w:t>
      </w:r>
      <w:r w:rsidR="006C6F09">
        <w:t xml:space="preserve"> </w:t>
      </w:r>
      <w:r>
        <w:t>roadway</w:t>
      </w:r>
      <w:r w:rsidR="006C6F09">
        <w:t xml:space="preserve"> </w:t>
      </w:r>
      <w:r>
        <w:t>within</w:t>
      </w:r>
      <w:r w:rsidR="006C6F09">
        <w:t xml:space="preserve"> </w:t>
      </w:r>
      <w:r>
        <w:t>the</w:t>
      </w:r>
      <w:r w:rsidR="006C6F09">
        <w:t xml:space="preserve"> </w:t>
      </w:r>
      <w:r>
        <w:t>proposed</w:t>
      </w:r>
      <w:r w:rsidR="006C6F09">
        <w:t xml:space="preserve"> </w:t>
      </w:r>
      <w:r>
        <w:t>project</w:t>
      </w:r>
      <w:r w:rsidR="006C6F09">
        <w:t xml:space="preserve"> </w:t>
      </w:r>
      <w:r>
        <w:t>limits,</w:t>
      </w:r>
      <w:r w:rsidR="006C6F09">
        <w:t xml:space="preserve"> </w:t>
      </w:r>
      <w:r>
        <w:t>as</w:t>
      </w:r>
      <w:r w:rsidR="006C6F09">
        <w:t xml:space="preserve"> </w:t>
      </w:r>
      <w:r>
        <w:t>identified</w:t>
      </w:r>
      <w:r w:rsidR="006C6F09">
        <w:t xml:space="preserve"> </w:t>
      </w:r>
      <w:r>
        <w:t>by</w:t>
      </w:r>
      <w:r w:rsidR="006C6F09">
        <w:t xml:space="preserve"> </w:t>
      </w:r>
      <w:r>
        <w:t>tax</w:t>
      </w:r>
      <w:r w:rsidR="006C6F09">
        <w:t xml:space="preserve"> </w:t>
      </w:r>
      <w:r>
        <w:t>rolls</w:t>
      </w:r>
      <w:r w:rsidR="006C6F09">
        <w:t xml:space="preserve"> </w:t>
      </w:r>
      <w:r>
        <w:t>or</w:t>
      </w:r>
      <w:r w:rsidR="006C6F09">
        <w:t xml:space="preserve"> </w:t>
      </w:r>
      <w:r>
        <w:t>other</w:t>
      </w:r>
      <w:r w:rsidR="006C6F09">
        <w:t xml:space="preserve"> </w:t>
      </w:r>
      <w:r>
        <w:t>reliable</w:t>
      </w:r>
      <w:r w:rsidR="006C6F09">
        <w:t xml:space="preserve"> </w:t>
      </w:r>
      <w:r>
        <w:t>land</w:t>
      </w:r>
      <w:r w:rsidR="006C6F09">
        <w:t xml:space="preserve"> </w:t>
      </w:r>
      <w:r>
        <w:t>ownership</w:t>
      </w:r>
      <w:r w:rsidR="006C6F09">
        <w:t xml:space="preserve"> </w:t>
      </w:r>
      <w:r>
        <w:t>records;</w:t>
      </w:r>
      <w:r w:rsidR="006C6F09">
        <w:t xml:space="preserve"> </w:t>
      </w:r>
      <w:r>
        <w:t>affected</w:t>
      </w:r>
      <w:r w:rsidR="006C6F09">
        <w:t xml:space="preserve"> </w:t>
      </w:r>
      <w:r>
        <w:t>local</w:t>
      </w:r>
      <w:r w:rsidR="006C6F09">
        <w:t xml:space="preserve"> </w:t>
      </w:r>
      <w:r>
        <w:t>governments</w:t>
      </w:r>
      <w:r w:rsidR="006C6F09">
        <w:t xml:space="preserve"> </w:t>
      </w:r>
      <w:r>
        <w:t>and</w:t>
      </w:r>
      <w:r w:rsidR="006C6F09">
        <w:t xml:space="preserve"> </w:t>
      </w:r>
      <w:r>
        <w:t>public</w:t>
      </w:r>
      <w:r w:rsidR="006C6F09">
        <w:t xml:space="preserve"> </w:t>
      </w:r>
      <w:r>
        <w:t>officials;</w:t>
      </w:r>
      <w:r w:rsidR="006C6F09">
        <w:t xml:space="preserve"> </w:t>
      </w:r>
      <w:r>
        <w:t>and</w:t>
      </w:r>
      <w:r w:rsidR="006C6F09">
        <w:t xml:space="preserve"> </w:t>
      </w:r>
      <w:r>
        <w:t>to</w:t>
      </w:r>
      <w:r w:rsidR="006C6F09">
        <w:t xml:space="preserve"> </w:t>
      </w:r>
      <w:r>
        <w:t>any</w:t>
      </w:r>
      <w:r w:rsidR="006C6F09">
        <w:t xml:space="preserve"> </w:t>
      </w:r>
      <w:r>
        <w:t>public</w:t>
      </w:r>
      <w:r w:rsidR="006C6F09">
        <w:t xml:space="preserve"> </w:t>
      </w:r>
      <w:r>
        <w:t>official,</w:t>
      </w:r>
      <w:r w:rsidR="006C6F09">
        <w:t xml:space="preserve"> </w:t>
      </w:r>
      <w:r>
        <w:t>individual,</w:t>
      </w:r>
      <w:r w:rsidR="006C6F09">
        <w:t xml:space="preserve"> </w:t>
      </w:r>
      <w:r>
        <w:t>or</w:t>
      </w:r>
      <w:r w:rsidR="006C6F09">
        <w:t xml:space="preserve"> </w:t>
      </w:r>
      <w:r>
        <w:t>affected</w:t>
      </w:r>
      <w:r w:rsidR="006C6F09">
        <w:t xml:space="preserve"> </w:t>
      </w:r>
      <w:r>
        <w:t>interest</w:t>
      </w:r>
      <w:r w:rsidR="006C6F09">
        <w:t xml:space="preserve"> </w:t>
      </w:r>
      <w:r>
        <w:t>group</w:t>
      </w:r>
      <w:r w:rsidR="006C6F09">
        <w:t xml:space="preserve"> </w:t>
      </w:r>
      <w:r>
        <w:t>that</w:t>
      </w:r>
      <w:r w:rsidR="006C6F09">
        <w:t xml:space="preserve"> </w:t>
      </w:r>
      <w:r>
        <w:t>has</w:t>
      </w:r>
      <w:r w:rsidR="006C6F09">
        <w:t xml:space="preserve"> </w:t>
      </w:r>
      <w:r>
        <w:t>expressed</w:t>
      </w:r>
      <w:r w:rsidR="006C6F09">
        <w:t xml:space="preserve"> </w:t>
      </w:r>
      <w:r>
        <w:t>interest</w:t>
      </w:r>
      <w:r w:rsidR="006C6F09">
        <w:t xml:space="preserve"> </w:t>
      </w:r>
      <w:r>
        <w:t>in</w:t>
      </w:r>
      <w:r w:rsidR="006C6F09">
        <w:t xml:space="preserve"> </w:t>
      </w:r>
      <w:r>
        <w:t>the</w:t>
      </w:r>
      <w:r w:rsidR="006C6F09">
        <w:t xml:space="preserve"> </w:t>
      </w:r>
      <w:r>
        <w:t>project,</w:t>
      </w:r>
      <w:r w:rsidR="006C6F09">
        <w:t xml:space="preserve"> </w:t>
      </w:r>
      <w:r>
        <w:t>including</w:t>
      </w:r>
      <w:r w:rsidR="006C6F09">
        <w:t xml:space="preserve"> </w:t>
      </w:r>
      <w:r>
        <w:t>any</w:t>
      </w:r>
      <w:r w:rsidR="006C6F09">
        <w:t xml:space="preserve"> </w:t>
      </w:r>
      <w:r>
        <w:t>Section</w:t>
      </w:r>
      <w:r w:rsidR="006C6F09">
        <w:t xml:space="preserve"> </w:t>
      </w:r>
      <w:r>
        <w:t>106</w:t>
      </w:r>
      <w:r w:rsidR="006C6F09">
        <w:t xml:space="preserve"> </w:t>
      </w:r>
      <w:r>
        <w:t>consulting</w:t>
      </w:r>
      <w:r w:rsidR="006C6F09">
        <w:t xml:space="preserve"> </w:t>
      </w:r>
      <w:r>
        <w:t>parties.</w:t>
      </w:r>
      <w:r w:rsidR="006C6F09">
        <w:t xml:space="preserve"> </w:t>
      </w:r>
      <w:r>
        <w:t>Mailing</w:t>
      </w:r>
      <w:r w:rsidR="006C6F09">
        <w:t xml:space="preserve"> </w:t>
      </w:r>
      <w:r>
        <w:t>the</w:t>
      </w:r>
      <w:r w:rsidR="006C6F09">
        <w:t xml:space="preserve"> </w:t>
      </w:r>
      <w:r>
        <w:t>notice</w:t>
      </w:r>
      <w:r w:rsidR="006C6F09">
        <w:t xml:space="preserve"> </w:t>
      </w:r>
      <w:r>
        <w:t>to</w:t>
      </w:r>
      <w:r w:rsidR="006C6F09">
        <w:t xml:space="preserve"> </w:t>
      </w:r>
      <w:r>
        <w:t>the</w:t>
      </w:r>
      <w:r w:rsidR="006C6F09">
        <w:t xml:space="preserve"> </w:t>
      </w:r>
      <w:r>
        <w:t>address</w:t>
      </w:r>
      <w:r w:rsidR="006C6F09">
        <w:t xml:space="preserve"> </w:t>
      </w:r>
      <w:r>
        <w:t>listed</w:t>
      </w:r>
      <w:r w:rsidR="006C6F09">
        <w:t xml:space="preserve"> </w:t>
      </w:r>
      <w:r>
        <w:t>for</w:t>
      </w:r>
      <w:r w:rsidR="006C6F09">
        <w:t xml:space="preserve"> </w:t>
      </w:r>
      <w:r>
        <w:t>the</w:t>
      </w:r>
      <w:r w:rsidR="006C6F09">
        <w:t xml:space="preserve"> </w:t>
      </w:r>
      <w:r>
        <w:t>property</w:t>
      </w:r>
      <w:r w:rsidR="006C6F09">
        <w:t xml:space="preserve"> </w:t>
      </w:r>
      <w:r>
        <w:t>owner</w:t>
      </w:r>
      <w:r w:rsidR="006C6F09">
        <w:t xml:space="preserve"> </w:t>
      </w:r>
      <w:r>
        <w:t>in</w:t>
      </w:r>
      <w:r w:rsidR="006C6F09">
        <w:t xml:space="preserve"> </w:t>
      </w:r>
      <w:r>
        <w:t>county</w:t>
      </w:r>
      <w:r w:rsidR="006C6F09">
        <w:t xml:space="preserve"> </w:t>
      </w:r>
      <w:r>
        <w:t>or</w:t>
      </w:r>
      <w:r w:rsidR="006C6F09">
        <w:t xml:space="preserve"> </w:t>
      </w:r>
      <w:r>
        <w:t>city</w:t>
      </w:r>
      <w:r w:rsidR="006C6F09">
        <w:t xml:space="preserve"> </w:t>
      </w:r>
      <w:r>
        <w:t>records</w:t>
      </w:r>
      <w:r w:rsidR="006C6F09">
        <w:t xml:space="preserve"> </w:t>
      </w:r>
      <w:r>
        <w:t>is</w:t>
      </w:r>
      <w:r w:rsidR="006C6F09">
        <w:t xml:space="preserve"> </w:t>
      </w:r>
      <w:r>
        <w:t>sufficient.</w:t>
      </w:r>
      <w:r w:rsidR="006C6F09">
        <w:t xml:space="preserve"> </w:t>
      </w:r>
      <w:r>
        <w:t>If</w:t>
      </w:r>
      <w:r w:rsidR="006C6F09">
        <w:t xml:space="preserve"> </w:t>
      </w:r>
      <w:r>
        <w:t>email</w:t>
      </w:r>
      <w:r w:rsidR="006C6F09">
        <w:t xml:space="preserve"> </w:t>
      </w:r>
      <w:r>
        <w:t>is</w:t>
      </w:r>
      <w:r w:rsidR="006C6F09">
        <w:t xml:space="preserve"> </w:t>
      </w:r>
      <w:r>
        <w:t>used,</w:t>
      </w:r>
      <w:r w:rsidR="006C6F09">
        <w:t xml:space="preserve"> </w:t>
      </w:r>
      <w:r>
        <w:t>make</w:t>
      </w:r>
      <w:r w:rsidR="006C6F09">
        <w:t xml:space="preserve"> </w:t>
      </w:r>
      <w:r>
        <w:t>sure</w:t>
      </w:r>
      <w:r w:rsidR="006C6F09">
        <w:t xml:space="preserve"> </w:t>
      </w:r>
      <w:r>
        <w:t>that</w:t>
      </w:r>
      <w:r w:rsidR="006C6F09">
        <w:t xml:space="preserve"> </w:t>
      </w:r>
      <w:r>
        <w:t>recipients</w:t>
      </w:r>
      <w:r w:rsidR="006C6F09">
        <w:t xml:space="preserve"> </w:t>
      </w:r>
      <w:r>
        <w:t>cannot</w:t>
      </w:r>
      <w:r w:rsidR="006C6F09">
        <w:t xml:space="preserve"> </w:t>
      </w:r>
      <w:r>
        <w:t>view</w:t>
      </w:r>
      <w:r w:rsidR="006C6F09">
        <w:t xml:space="preserve"> </w:t>
      </w:r>
      <w:r>
        <w:t>other</w:t>
      </w:r>
      <w:r w:rsidR="006C6F09">
        <w:t xml:space="preserve"> </w:t>
      </w:r>
      <w:r>
        <w:t>recipients’</w:t>
      </w:r>
      <w:r w:rsidR="006C6F09">
        <w:t xml:space="preserve"> </w:t>
      </w:r>
      <w:r>
        <w:t>email</w:t>
      </w:r>
      <w:r w:rsidR="006C6F09">
        <w:t xml:space="preserve"> </w:t>
      </w:r>
      <w:r>
        <w:t>addresses,</w:t>
      </w:r>
      <w:r w:rsidR="006C6F09">
        <w:t xml:space="preserve"> </w:t>
      </w:r>
      <w:r>
        <w:t>as</w:t>
      </w:r>
      <w:r w:rsidR="006C6F09">
        <w:t xml:space="preserve"> </w:t>
      </w:r>
      <w:r>
        <w:t>email</w:t>
      </w:r>
      <w:r w:rsidR="006C6F09">
        <w:t xml:space="preserve"> </w:t>
      </w:r>
      <w:r>
        <w:t>addresses</w:t>
      </w:r>
      <w:r w:rsidR="006C6F09">
        <w:t xml:space="preserve"> </w:t>
      </w:r>
      <w:r>
        <w:t>of</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must</w:t>
      </w:r>
      <w:r w:rsidR="006C6F09">
        <w:t xml:space="preserve"> </w:t>
      </w:r>
      <w:r>
        <w:t>be</w:t>
      </w:r>
      <w:r w:rsidR="006C6F09">
        <w:t xml:space="preserve"> </w:t>
      </w:r>
      <w:r>
        <w:t>withheld</w:t>
      </w:r>
      <w:r w:rsidR="006C6F09">
        <w:t xml:space="preserve"> </w:t>
      </w:r>
      <w:r>
        <w:t>from</w:t>
      </w:r>
      <w:r w:rsidR="006C6F09">
        <w:t xml:space="preserve"> </w:t>
      </w:r>
      <w:r>
        <w:t>public</w:t>
      </w:r>
      <w:r w:rsidR="006C6F09">
        <w:t xml:space="preserve"> </w:t>
      </w:r>
      <w:r>
        <w:t>disclosure</w:t>
      </w:r>
      <w:r w:rsidR="006C6F09">
        <w:t xml:space="preserve"> </w:t>
      </w:r>
      <w:r>
        <w:t>in</w:t>
      </w:r>
      <w:r w:rsidR="006C6F09">
        <w:t xml:space="preserve"> </w:t>
      </w:r>
      <w:r>
        <w:t>accordance</w:t>
      </w:r>
      <w:r w:rsidR="006C6F09">
        <w:t xml:space="preserve"> </w:t>
      </w:r>
      <w:r>
        <w:t>with</w:t>
      </w:r>
      <w:r w:rsidR="006C6F09">
        <w:t xml:space="preserve"> </w:t>
      </w:r>
      <w:hyperlink r:id="rId48" w:history="1">
        <w:r w:rsidRPr="000308EA">
          <w:rPr>
            <w:rStyle w:val="Hyperlink"/>
          </w:rPr>
          <w:t>Texas</w:t>
        </w:r>
        <w:r w:rsidR="006C6F09">
          <w:rPr>
            <w:rStyle w:val="Hyperlink"/>
          </w:rPr>
          <w:t xml:space="preserve"> </w:t>
        </w:r>
        <w:r w:rsidRPr="000308EA">
          <w:rPr>
            <w:rStyle w:val="Hyperlink"/>
          </w:rPr>
          <w:t>Government</w:t>
        </w:r>
        <w:r w:rsidR="006C6F09">
          <w:rPr>
            <w:rStyle w:val="Hyperlink"/>
          </w:rPr>
          <w:t xml:space="preserve"> </w:t>
        </w:r>
        <w:r w:rsidRPr="000308EA">
          <w:rPr>
            <w:rStyle w:val="Hyperlink"/>
          </w:rPr>
          <w:t>Code</w:t>
        </w:r>
        <w:r w:rsidR="006C6F09">
          <w:rPr>
            <w:rStyle w:val="Hyperlink"/>
          </w:rPr>
          <w:t xml:space="preserve"> </w:t>
        </w:r>
        <w:r w:rsidRPr="000308EA">
          <w:rPr>
            <w:rStyle w:val="Hyperlink"/>
          </w:rPr>
          <w:t>552.137(a).</w:t>
        </w:r>
      </w:hyperlink>
    </w:p>
    <w:p w14:paraId="338231CE" w14:textId="7C1FB6B0" w:rsidR="00457754" w:rsidRDefault="00457754" w:rsidP="00457754">
      <w:pPr>
        <w:spacing w:before="240"/>
      </w:pPr>
      <w:r>
        <w:t>The</w:t>
      </w:r>
      <w:r w:rsidR="006C6F09">
        <w:t xml:space="preserve"> </w:t>
      </w:r>
      <w:r>
        <w:t>NAOPH</w:t>
      </w:r>
      <w:r w:rsidR="006C6F09">
        <w:t xml:space="preserve"> </w:t>
      </w:r>
      <w:r>
        <w:t>must</w:t>
      </w:r>
      <w:r w:rsidR="006C6F09">
        <w:t xml:space="preserve"> </w:t>
      </w:r>
      <w:r>
        <w:t>be</w:t>
      </w:r>
      <w:r w:rsidR="006C6F09">
        <w:t xml:space="preserve"> </w:t>
      </w:r>
      <w:r>
        <w:t>provided</w:t>
      </w:r>
      <w:r w:rsidR="006C6F09">
        <w:t xml:space="preserve"> </w:t>
      </w:r>
      <w:r>
        <w:t>and</w:t>
      </w:r>
      <w:r w:rsidR="006C6F09">
        <w:t xml:space="preserve"> </w:t>
      </w:r>
      <w:r>
        <w:t>published</w:t>
      </w:r>
      <w:r w:rsidR="006C6F09">
        <w:t xml:space="preserve"> </w:t>
      </w:r>
      <w:r>
        <w:t>as</w:t>
      </w:r>
      <w:r w:rsidR="006C6F09">
        <w:t xml:space="preserve"> </w:t>
      </w:r>
      <w:r>
        <w:t>described</w:t>
      </w:r>
      <w:r w:rsidR="006C6F09">
        <w:t xml:space="preserve"> </w:t>
      </w:r>
      <w:r>
        <w:t>above</w:t>
      </w:r>
      <w:r w:rsidR="006C6F09">
        <w:t xml:space="preserve"> </w:t>
      </w:r>
      <w:r>
        <w:t>at</w:t>
      </w:r>
      <w:r w:rsidR="006C6F09">
        <w:t xml:space="preserve"> </w:t>
      </w:r>
      <w:r>
        <w:t>least</w:t>
      </w:r>
      <w:r w:rsidR="006C6F09">
        <w:t xml:space="preserve"> </w:t>
      </w:r>
      <w:r>
        <w:t>15</w:t>
      </w:r>
      <w:r w:rsidR="006C6F09">
        <w:t xml:space="preserve"> </w:t>
      </w:r>
      <w:r>
        <w:t>calendar</w:t>
      </w:r>
      <w:r w:rsidR="006C6F09">
        <w:t xml:space="preserve"> </w:t>
      </w:r>
      <w:r>
        <w:t>days</w:t>
      </w:r>
      <w:r w:rsidR="006C6F09">
        <w:t xml:space="preserve"> </w:t>
      </w:r>
      <w:r>
        <w:t>prior</w:t>
      </w:r>
      <w:r w:rsidR="006C6F09">
        <w:t xml:space="preserve"> </w:t>
      </w:r>
      <w:r>
        <w:t>to</w:t>
      </w:r>
      <w:r w:rsidR="006C6F09">
        <w:t xml:space="preserve"> </w:t>
      </w:r>
      <w:r>
        <w:t>the</w:t>
      </w:r>
      <w:r w:rsidR="006C6F09">
        <w:t xml:space="preserve"> </w:t>
      </w:r>
      <w:r>
        <w:t>deadline</w:t>
      </w:r>
      <w:r w:rsidR="006C6F09">
        <w:t xml:space="preserve"> </w:t>
      </w:r>
      <w:r>
        <w:t>for</w:t>
      </w:r>
      <w:r w:rsidR="006C6F09">
        <w:t xml:space="preserve"> </w:t>
      </w:r>
      <w:r>
        <w:t>submitting</w:t>
      </w:r>
      <w:r w:rsidR="006C6F09">
        <w:t xml:space="preserve"> </w:t>
      </w:r>
      <w:r>
        <w:t>a</w:t>
      </w:r>
      <w:r w:rsidR="006C6F09">
        <w:t xml:space="preserve"> </w:t>
      </w:r>
      <w:r>
        <w:t>written</w:t>
      </w:r>
      <w:r w:rsidR="006C6F09">
        <w:t xml:space="preserve"> </w:t>
      </w:r>
      <w:r>
        <w:t>request</w:t>
      </w:r>
      <w:r w:rsidR="006C6F09">
        <w:t xml:space="preserve"> </w:t>
      </w:r>
      <w:r>
        <w:t>to</w:t>
      </w:r>
      <w:r w:rsidR="006C6F09">
        <w:t xml:space="preserve"> </w:t>
      </w:r>
      <w:r>
        <w:t>hold</w:t>
      </w:r>
      <w:r w:rsidR="006C6F09">
        <w:t xml:space="preserve"> </w:t>
      </w:r>
      <w:r>
        <w:t>a</w:t>
      </w:r>
      <w:r w:rsidR="006C6F09">
        <w:t xml:space="preserve"> </w:t>
      </w:r>
      <w:r>
        <w:t>public</w:t>
      </w:r>
      <w:r w:rsidR="006C6F09">
        <w:t xml:space="preserve"> </w:t>
      </w:r>
      <w:r>
        <w:t>hearing.</w:t>
      </w:r>
      <w:r w:rsidR="006C6F09">
        <w:t xml:space="preserve"> </w:t>
      </w:r>
      <w:r>
        <w:t>However,</w:t>
      </w:r>
      <w:r w:rsidR="006C6F09">
        <w:t xml:space="preserve"> </w:t>
      </w:r>
      <w:r>
        <w:t>for</w:t>
      </w:r>
      <w:r w:rsidR="006C6F09">
        <w:t xml:space="preserve"> </w:t>
      </w:r>
      <w:r>
        <w:t>an</w:t>
      </w:r>
      <w:r w:rsidR="006C6F09">
        <w:t xml:space="preserve"> </w:t>
      </w:r>
      <w:r>
        <w:t>EA</w:t>
      </w:r>
      <w:r w:rsidR="006C6F09">
        <w:t xml:space="preserve"> </w:t>
      </w:r>
      <w:r>
        <w:t>project,</w:t>
      </w:r>
      <w:r w:rsidR="006C6F09">
        <w:t xml:space="preserve"> </w:t>
      </w:r>
      <w:r>
        <w:t>the</w:t>
      </w:r>
      <w:r w:rsidR="006C6F09">
        <w:t xml:space="preserve"> </w:t>
      </w:r>
      <w:r>
        <w:t>NAOPH</w:t>
      </w:r>
      <w:r w:rsidR="006C6F09">
        <w:t xml:space="preserve"> </w:t>
      </w:r>
      <w:r>
        <w:t>is</w:t>
      </w:r>
      <w:r w:rsidR="006C6F09">
        <w:t xml:space="preserve"> </w:t>
      </w:r>
      <w:r>
        <w:t>combined</w:t>
      </w:r>
      <w:r w:rsidR="006C6F09">
        <w:t xml:space="preserve"> </w:t>
      </w:r>
      <w:r>
        <w:t>with</w:t>
      </w:r>
      <w:r w:rsidR="006C6F09">
        <w:t xml:space="preserve"> </w:t>
      </w:r>
      <w:r>
        <w:t>the</w:t>
      </w:r>
      <w:r w:rsidR="006C6F09">
        <w:t xml:space="preserve"> </w:t>
      </w:r>
      <w:r>
        <w:t>notice</w:t>
      </w:r>
      <w:r w:rsidR="006C6F09">
        <w:t xml:space="preserve"> </w:t>
      </w:r>
      <w:r>
        <w:t>of</w:t>
      </w:r>
      <w:r w:rsidR="006C6F09">
        <w:t xml:space="preserve"> </w:t>
      </w:r>
      <w:r>
        <w:t>availability</w:t>
      </w:r>
      <w:r w:rsidR="006C6F09">
        <w:t xml:space="preserve"> </w:t>
      </w:r>
      <w:r>
        <w:t>of</w:t>
      </w:r>
      <w:r w:rsidR="006C6F09">
        <w:t xml:space="preserve"> </w:t>
      </w:r>
      <w:r>
        <w:t>the</w:t>
      </w:r>
      <w:r w:rsidR="006C6F09">
        <w:t xml:space="preserve"> </w:t>
      </w:r>
      <w:r>
        <w:t>draft</w:t>
      </w:r>
      <w:r w:rsidR="006C6F09">
        <w:t xml:space="preserve"> </w:t>
      </w:r>
      <w:r>
        <w:t>EA</w:t>
      </w:r>
      <w:r w:rsidR="006C6F09">
        <w:t xml:space="preserve"> </w:t>
      </w:r>
      <w:r>
        <w:t>(see</w:t>
      </w:r>
      <w:r w:rsidR="006C6F09">
        <w:t xml:space="preserve"> </w:t>
      </w:r>
      <w:r>
        <w:t>Section</w:t>
      </w:r>
      <w:r w:rsidR="006C6F09">
        <w:t xml:space="preserve"> </w:t>
      </w:r>
      <w:r w:rsidRPr="00263E76">
        <w:rPr>
          <w:u w:val="single"/>
        </w:rPr>
        <w:fldChar w:fldCharType="begin"/>
      </w:r>
      <w:r w:rsidRPr="00263E76">
        <w:rPr>
          <w:u w:val="single"/>
        </w:rPr>
        <w:instrText xml:space="preserve"> REF _Ref219790477 \h  \* MERGEFORMAT </w:instrText>
      </w:r>
      <w:r w:rsidRPr="00263E76">
        <w:rPr>
          <w:u w:val="single"/>
        </w:rPr>
      </w:r>
      <w:r w:rsidRPr="00263E76">
        <w:rPr>
          <w:u w:val="single"/>
        </w:rPr>
        <w:fldChar w:fldCharType="separate"/>
      </w:r>
      <w:r w:rsidRPr="00263E76">
        <w:rPr>
          <w:color w:val="0056A9"/>
          <w:u w:val="single"/>
        </w:rPr>
        <w:t>9.2</w:t>
      </w:r>
      <w:r w:rsidRPr="00263E76">
        <w:rPr>
          <w:u w:val="single"/>
        </w:rPr>
        <w:fldChar w:fldCharType="end"/>
      </w:r>
      <w:r w:rsidR="006C6F09">
        <w:t xml:space="preserve"> </w:t>
      </w:r>
      <w:r>
        <w:t>below)</w:t>
      </w:r>
      <w:r w:rsidR="006C6F09">
        <w:t xml:space="preserve"> </w:t>
      </w:r>
      <w:r>
        <w:t>and</w:t>
      </w:r>
      <w:r w:rsidR="006C6F09">
        <w:t xml:space="preserve"> </w:t>
      </w:r>
      <w:r>
        <w:t>must</w:t>
      </w:r>
      <w:r w:rsidR="006C6F09">
        <w:t xml:space="preserve"> </w:t>
      </w:r>
      <w:r>
        <w:t>be</w:t>
      </w:r>
      <w:r w:rsidR="006C6F09">
        <w:t xml:space="preserve"> </w:t>
      </w:r>
      <w:r>
        <w:t>provided</w:t>
      </w:r>
      <w:r w:rsidR="006C6F09">
        <w:t xml:space="preserve"> </w:t>
      </w:r>
      <w:r>
        <w:t>and</w:t>
      </w:r>
      <w:r w:rsidR="006C6F09">
        <w:t xml:space="preserve"> </w:t>
      </w:r>
      <w:r>
        <w:t>published</w:t>
      </w:r>
      <w:r w:rsidR="006C6F09">
        <w:t xml:space="preserve"> </w:t>
      </w:r>
      <w:r>
        <w:t>at</w:t>
      </w:r>
      <w:r w:rsidR="006C6F09">
        <w:t xml:space="preserve"> </w:t>
      </w:r>
      <w:r>
        <w:t>least</w:t>
      </w:r>
      <w:r w:rsidR="006C6F09">
        <w:t xml:space="preserve"> </w:t>
      </w:r>
      <w:r>
        <w:t>30</w:t>
      </w:r>
      <w:r w:rsidR="006C6F09">
        <w:t xml:space="preserve"> </w:t>
      </w:r>
      <w:r>
        <w:t>calendar</w:t>
      </w:r>
      <w:r w:rsidR="006C6F09">
        <w:t xml:space="preserve"> </w:t>
      </w:r>
      <w:r>
        <w:t>days</w:t>
      </w:r>
      <w:r w:rsidR="006C6F09">
        <w:t xml:space="preserve"> </w:t>
      </w:r>
      <w:r>
        <w:t>prior</w:t>
      </w:r>
      <w:r w:rsidR="006C6F09">
        <w:t xml:space="preserve"> </w:t>
      </w:r>
      <w:r>
        <w:t>to</w:t>
      </w:r>
      <w:r w:rsidR="006C6F09">
        <w:t xml:space="preserve"> </w:t>
      </w:r>
      <w:r>
        <w:t>the</w:t>
      </w:r>
      <w:r w:rsidR="006C6F09">
        <w:t xml:space="preserve"> </w:t>
      </w:r>
      <w:r>
        <w:t>deadline</w:t>
      </w:r>
      <w:r w:rsidR="006C6F09">
        <w:t xml:space="preserve"> </w:t>
      </w:r>
      <w:r>
        <w:t>for</w:t>
      </w:r>
      <w:r w:rsidR="006C6F09">
        <w:t xml:space="preserve"> </w:t>
      </w:r>
      <w:r>
        <w:t>submitting</w:t>
      </w:r>
      <w:r w:rsidR="006C6F09">
        <w:t xml:space="preserve"> </w:t>
      </w:r>
      <w:r>
        <w:t>a</w:t>
      </w:r>
      <w:r w:rsidR="006C6F09">
        <w:t xml:space="preserve"> </w:t>
      </w:r>
      <w:r>
        <w:t>written</w:t>
      </w:r>
      <w:r w:rsidR="006C6F09">
        <w:t xml:space="preserve"> </w:t>
      </w:r>
      <w:r>
        <w:t>request</w:t>
      </w:r>
      <w:r w:rsidR="006C6F09">
        <w:t xml:space="preserve"> </w:t>
      </w:r>
      <w:r>
        <w:t>to</w:t>
      </w:r>
      <w:r w:rsidR="006C6F09">
        <w:t xml:space="preserve"> </w:t>
      </w:r>
      <w:r>
        <w:t>hold</w:t>
      </w:r>
      <w:r w:rsidR="006C6F09">
        <w:t xml:space="preserve"> </w:t>
      </w:r>
      <w:r>
        <w:t>a</w:t>
      </w:r>
      <w:r w:rsidR="006C6F09">
        <w:t xml:space="preserve"> </w:t>
      </w:r>
      <w:r>
        <w:t>public</w:t>
      </w:r>
      <w:r w:rsidR="006C6F09">
        <w:t xml:space="preserve"> </w:t>
      </w:r>
      <w:r>
        <w:t>hearing.</w:t>
      </w:r>
      <w:r w:rsidR="006C6F09">
        <w:t xml:space="preserve"> </w:t>
      </w:r>
      <w:r>
        <w:t>If</w:t>
      </w:r>
      <w:r w:rsidR="006C6F09">
        <w:t xml:space="preserve"> </w:t>
      </w:r>
      <w:r>
        <w:t>the</w:t>
      </w:r>
      <w:r w:rsidR="006C6F09">
        <w:t xml:space="preserve"> </w:t>
      </w:r>
      <w:r>
        <w:t>notice</w:t>
      </w:r>
      <w:r w:rsidR="006C6F09">
        <w:t xml:space="preserve"> </w:t>
      </w:r>
      <w:r>
        <w:t>is</w:t>
      </w:r>
      <w:r w:rsidR="006C6F09">
        <w:t xml:space="preserve"> </w:t>
      </w:r>
      <w:r>
        <w:t>sent</w:t>
      </w:r>
      <w:r w:rsidR="006C6F09">
        <w:t xml:space="preserve"> </w:t>
      </w:r>
      <w:r>
        <w:t>by</w:t>
      </w:r>
      <w:r w:rsidR="006C6F09">
        <w:t xml:space="preserve"> </w:t>
      </w:r>
      <w:r>
        <w:t>mail,</w:t>
      </w:r>
      <w:r w:rsidR="006C6F09">
        <w:t xml:space="preserve"> </w:t>
      </w:r>
      <w:r>
        <w:t>it</w:t>
      </w:r>
      <w:r w:rsidR="006C6F09">
        <w:t xml:space="preserve"> </w:t>
      </w:r>
      <w:proofErr w:type="gramStart"/>
      <w:r>
        <w:t>is</w:t>
      </w:r>
      <w:r w:rsidR="006C6F09">
        <w:t xml:space="preserve"> </w:t>
      </w:r>
      <w:r>
        <w:t>considered</w:t>
      </w:r>
      <w:r w:rsidR="006C6F09">
        <w:t xml:space="preserve"> </w:t>
      </w:r>
      <w:r>
        <w:t>to</w:t>
      </w:r>
      <w:r w:rsidR="006C6F09">
        <w:t xml:space="preserve"> </w:t>
      </w:r>
      <w:r>
        <w:t>be</w:t>
      </w:r>
      <w:proofErr w:type="gramEnd"/>
      <w:r w:rsidR="006C6F09">
        <w:t xml:space="preserve"> </w:t>
      </w:r>
      <w:r>
        <w:t>provided</w:t>
      </w:r>
      <w:r w:rsidR="006C6F09">
        <w:t xml:space="preserve"> </w:t>
      </w:r>
      <w:r>
        <w:t>on</w:t>
      </w:r>
      <w:r w:rsidR="006C6F09">
        <w:t xml:space="preserve"> </w:t>
      </w:r>
      <w:r>
        <w:t>the</w:t>
      </w:r>
      <w:r w:rsidR="006C6F09">
        <w:t xml:space="preserve"> </w:t>
      </w:r>
      <w:r>
        <w:t>third</w:t>
      </w:r>
      <w:r w:rsidR="006C6F09">
        <w:t xml:space="preserve"> </w:t>
      </w:r>
      <w:r>
        <w:t>day</w:t>
      </w:r>
      <w:r w:rsidR="006C6F09">
        <w:t xml:space="preserve"> </w:t>
      </w:r>
      <w:r>
        <w:t>after</w:t>
      </w:r>
      <w:r w:rsidR="006C6F09">
        <w:t xml:space="preserve"> </w:t>
      </w:r>
      <w:r>
        <w:t>the</w:t>
      </w:r>
      <w:r w:rsidR="006C6F09">
        <w:t xml:space="preserve"> </w:t>
      </w:r>
      <w:r>
        <w:t>date</w:t>
      </w:r>
      <w:r w:rsidR="006C6F09">
        <w:t xml:space="preserve"> </w:t>
      </w:r>
      <w:r>
        <w:t>of</w:t>
      </w:r>
      <w:r w:rsidR="006C6F09">
        <w:t xml:space="preserve"> </w:t>
      </w:r>
      <w:r>
        <w:t>mailing</w:t>
      </w:r>
      <w:r w:rsidR="006C6F09">
        <w:t xml:space="preserve"> </w:t>
      </w:r>
      <w:r>
        <w:t>(either</w:t>
      </w:r>
      <w:r w:rsidR="006C6F09">
        <w:t xml:space="preserve"> </w:t>
      </w:r>
      <w:r>
        <w:t>18</w:t>
      </w:r>
      <w:r w:rsidR="006C6F09">
        <w:t xml:space="preserve"> </w:t>
      </w:r>
      <w:r>
        <w:t>days</w:t>
      </w:r>
      <w:r w:rsidR="006C6F09">
        <w:t xml:space="preserve"> </w:t>
      </w:r>
      <w:r>
        <w:t>or</w:t>
      </w:r>
      <w:r w:rsidR="006C6F09">
        <w:t xml:space="preserve"> </w:t>
      </w:r>
      <w:r>
        <w:t>33</w:t>
      </w:r>
      <w:r w:rsidR="006C6F09">
        <w:t xml:space="preserve"> </w:t>
      </w:r>
      <w:r>
        <w:t>days</w:t>
      </w:r>
      <w:r w:rsidR="006C6F09">
        <w:t xml:space="preserve"> </w:t>
      </w:r>
      <w:r>
        <w:t>total).</w:t>
      </w:r>
    </w:p>
    <w:p w14:paraId="24BD82D4" w14:textId="5FA86686" w:rsidR="00457754" w:rsidRPr="003B76FD" w:rsidRDefault="00457754" w:rsidP="003B76FD">
      <w:pPr>
        <w:pStyle w:val="Heading3"/>
        <w:spacing w:line="360" w:lineRule="auto"/>
      </w:pPr>
      <w:bookmarkStart w:id="59" w:name="_Toc224026215"/>
      <w:r w:rsidRPr="003B76FD">
        <w:lastRenderedPageBreak/>
        <w:t>5.3</w:t>
      </w:r>
      <w:r w:rsidR="006C6F09" w:rsidRPr="003B76FD">
        <w:t xml:space="preserve"> </w:t>
      </w:r>
      <w:r w:rsidRPr="003B76FD">
        <w:t>Notice</w:t>
      </w:r>
      <w:r w:rsidR="006C6F09" w:rsidRPr="003B76FD">
        <w:t xml:space="preserve"> </w:t>
      </w:r>
      <w:r w:rsidRPr="003B76FD">
        <w:t>Format</w:t>
      </w:r>
      <w:bookmarkEnd w:id="59"/>
      <w:r w:rsidR="006C6F09" w:rsidRPr="003B76FD">
        <w:t xml:space="preserve"> </w:t>
      </w:r>
    </w:p>
    <w:p w14:paraId="1550D470" w14:textId="04A0713A" w:rsidR="00457754" w:rsidRDefault="00457754" w:rsidP="00457754">
      <w:r>
        <w:t>The</w:t>
      </w:r>
      <w:r w:rsidR="006C6F09">
        <w:t xml:space="preserve"> </w:t>
      </w:r>
      <w:r>
        <w:t>information</w:t>
      </w:r>
      <w:r w:rsidR="006C6F09">
        <w:t xml:space="preserve"> </w:t>
      </w:r>
      <w:r>
        <w:t>required</w:t>
      </w:r>
      <w:r w:rsidR="006C6F09">
        <w:t xml:space="preserve"> </w:t>
      </w:r>
      <w:r>
        <w:t>in</w:t>
      </w:r>
      <w:r w:rsidR="006C6F09">
        <w:t xml:space="preserve"> </w:t>
      </w:r>
      <w:r>
        <w:t>the</w:t>
      </w:r>
      <w:r w:rsidR="006C6F09">
        <w:t xml:space="preserve"> </w:t>
      </w:r>
      <w:r>
        <w:t>NAOPH</w:t>
      </w:r>
      <w:r w:rsidR="006C6F09">
        <w:t xml:space="preserve"> </w:t>
      </w:r>
      <w:r>
        <w:t>includes</w:t>
      </w:r>
      <w:r w:rsidR="006C6F09">
        <w:t xml:space="preserve"> </w:t>
      </w:r>
      <w:r>
        <w:t>several</w:t>
      </w:r>
      <w:r w:rsidR="006C6F09">
        <w:t xml:space="preserve"> </w:t>
      </w:r>
      <w:r>
        <w:t>project</w:t>
      </w:r>
      <w:r w:rsidR="006C6F09">
        <w:t xml:space="preserve"> </w:t>
      </w:r>
      <w:r>
        <w:t>specific</w:t>
      </w:r>
      <w:r w:rsidR="006C6F09">
        <w:t xml:space="preserve"> </w:t>
      </w:r>
      <w:r>
        <w:t>requirements.</w:t>
      </w:r>
      <w:r w:rsidR="006C6F09">
        <w:t xml:space="preserve"> </w:t>
      </w:r>
      <w:r>
        <w:t>It</w:t>
      </w:r>
      <w:r w:rsidR="006C6F09">
        <w:t xml:space="preserve"> </w:t>
      </w:r>
      <w:r>
        <w:t>is</w:t>
      </w:r>
      <w:r w:rsidR="006C6F09">
        <w:t xml:space="preserve"> </w:t>
      </w:r>
      <w:r>
        <w:t>important</w:t>
      </w:r>
      <w:r w:rsidR="006C6F09">
        <w:t xml:space="preserve"> </w:t>
      </w:r>
      <w:r>
        <w:t>to</w:t>
      </w:r>
      <w:r w:rsidR="006C6F09">
        <w:t xml:space="preserve"> </w:t>
      </w:r>
      <w:r>
        <w:t>present</w:t>
      </w:r>
      <w:r w:rsidR="006C6F09">
        <w:t xml:space="preserve"> </w:t>
      </w:r>
      <w:r>
        <w:t>the</w:t>
      </w:r>
      <w:r w:rsidR="006C6F09">
        <w:t xml:space="preserve"> </w:t>
      </w:r>
      <w:r>
        <w:t>following</w:t>
      </w:r>
      <w:r w:rsidR="006C6F09">
        <w:t xml:space="preserve"> </w:t>
      </w:r>
      <w:r>
        <w:t>information</w:t>
      </w:r>
      <w:r w:rsidR="006C6F09">
        <w:t xml:space="preserve"> </w:t>
      </w:r>
      <w:r>
        <w:t>in</w:t>
      </w:r>
      <w:r w:rsidR="006C6F09">
        <w:t xml:space="preserve"> </w:t>
      </w:r>
      <w:r>
        <w:t>the</w:t>
      </w:r>
      <w:r w:rsidR="006C6F09">
        <w:t xml:space="preserve"> </w:t>
      </w:r>
      <w:r>
        <w:t>notice,</w:t>
      </w:r>
      <w:r w:rsidR="006C6F09">
        <w:t xml:space="preserve"> </w:t>
      </w:r>
      <w:r>
        <w:t>as</w:t>
      </w:r>
      <w:r w:rsidR="006C6F09">
        <w:t xml:space="preserve"> </w:t>
      </w:r>
      <w:r>
        <w:t>it</w:t>
      </w:r>
      <w:r w:rsidR="006C6F09">
        <w:t xml:space="preserve"> </w:t>
      </w:r>
      <w:r>
        <w:t>could</w:t>
      </w:r>
      <w:r w:rsidR="006C6F09">
        <w:t xml:space="preserve"> </w:t>
      </w:r>
      <w:r>
        <w:t>be</w:t>
      </w:r>
      <w:r w:rsidR="006C6F09">
        <w:t xml:space="preserve"> </w:t>
      </w:r>
      <w:r>
        <w:t>the</w:t>
      </w:r>
      <w:r w:rsidR="006C6F09">
        <w:t xml:space="preserve"> </w:t>
      </w:r>
      <w:r>
        <w:t>only</w:t>
      </w:r>
      <w:r w:rsidR="006C6F09">
        <w:t xml:space="preserve"> </w:t>
      </w:r>
      <w:r>
        <w:t>notice</w:t>
      </w:r>
      <w:r w:rsidR="006C6F09">
        <w:t xml:space="preserve"> </w:t>
      </w:r>
      <w:r>
        <w:t>seen</w:t>
      </w:r>
      <w:r w:rsidR="006C6F09">
        <w:t xml:space="preserve"> </w:t>
      </w:r>
      <w:r>
        <w:t>by</w:t>
      </w:r>
      <w:r w:rsidR="006C6F09">
        <w:t xml:space="preserve"> </w:t>
      </w:r>
      <w:r>
        <w:t>the</w:t>
      </w:r>
      <w:r w:rsidR="006C6F09">
        <w:t xml:space="preserve"> </w:t>
      </w:r>
      <w:r>
        <w:t>public</w:t>
      </w:r>
      <w:r w:rsidR="006C6F09">
        <w:t xml:space="preserve"> </w:t>
      </w:r>
      <w:r>
        <w:t>regarding</w:t>
      </w:r>
      <w:r w:rsidR="006C6F09">
        <w:t xml:space="preserve"> </w:t>
      </w:r>
      <w:r>
        <w:t>the</w:t>
      </w:r>
      <w:r w:rsidR="006C6F09">
        <w:t xml:space="preserve"> </w:t>
      </w:r>
      <w:r>
        <w:t>proposed</w:t>
      </w:r>
      <w:r w:rsidR="006C6F09">
        <w:t xml:space="preserve"> </w:t>
      </w:r>
      <w:r>
        <w:t>project,</w:t>
      </w:r>
      <w:r w:rsidR="006C6F09">
        <w:t xml:space="preserve"> </w:t>
      </w:r>
      <w:r>
        <w:t>especially</w:t>
      </w:r>
      <w:r w:rsidR="006C6F09">
        <w:t xml:space="preserve"> </w:t>
      </w:r>
      <w:r>
        <w:t>if</w:t>
      </w:r>
      <w:r w:rsidR="006C6F09">
        <w:t xml:space="preserve"> </w:t>
      </w:r>
      <w:r>
        <w:t>a</w:t>
      </w:r>
      <w:r w:rsidR="006C6F09">
        <w:t xml:space="preserve"> </w:t>
      </w:r>
      <w:r>
        <w:t>hearing</w:t>
      </w:r>
      <w:r w:rsidR="006C6F09">
        <w:t xml:space="preserve"> </w:t>
      </w:r>
      <w:r>
        <w:t>is</w:t>
      </w:r>
      <w:r w:rsidR="006C6F09">
        <w:t xml:space="preserve"> </w:t>
      </w:r>
      <w:r>
        <w:t>not</w:t>
      </w:r>
      <w:r w:rsidR="006C6F09">
        <w:t xml:space="preserve"> </w:t>
      </w:r>
      <w:r>
        <w:t>held.</w:t>
      </w:r>
      <w:r w:rsidR="006C6F09">
        <w:t xml:space="preserve"> </w:t>
      </w:r>
    </w:p>
    <w:p w14:paraId="58F282DC" w14:textId="1A4935A1" w:rsidR="00457754" w:rsidRDefault="00457754" w:rsidP="00457754">
      <w:r>
        <w:t>The</w:t>
      </w:r>
      <w:r w:rsidR="006C6F09">
        <w:t xml:space="preserve"> </w:t>
      </w:r>
      <w:r>
        <w:t>procedure</w:t>
      </w:r>
      <w:r w:rsidR="006C6F09">
        <w:t xml:space="preserve"> </w:t>
      </w:r>
      <w:r>
        <w:t>for</w:t>
      </w:r>
      <w:r w:rsidR="006C6F09">
        <w:t xml:space="preserve"> </w:t>
      </w:r>
      <w:r>
        <w:t>requesting</w:t>
      </w:r>
      <w:r w:rsidR="006C6F09">
        <w:t xml:space="preserve"> </w:t>
      </w:r>
      <w:r>
        <w:t>a</w:t>
      </w:r>
      <w:r w:rsidR="006C6F09">
        <w:t xml:space="preserve"> </w:t>
      </w:r>
      <w:r>
        <w:t>public</w:t>
      </w:r>
      <w:r w:rsidR="006C6F09">
        <w:t xml:space="preserve"> </w:t>
      </w:r>
      <w:r>
        <w:t>hearing</w:t>
      </w:r>
      <w:r w:rsidR="006C6F09">
        <w:t xml:space="preserve"> </w:t>
      </w:r>
      <w:r>
        <w:t>must</w:t>
      </w:r>
      <w:r w:rsidR="006C6F09">
        <w:t xml:space="preserve"> </w:t>
      </w:r>
      <w:r>
        <w:t>be</w:t>
      </w:r>
      <w:r w:rsidR="006C6F09">
        <w:t xml:space="preserve"> </w:t>
      </w:r>
      <w:r>
        <w:t>explained</w:t>
      </w:r>
      <w:r w:rsidR="006C6F09">
        <w:t xml:space="preserve"> </w:t>
      </w:r>
      <w:r>
        <w:t>in</w:t>
      </w:r>
      <w:r w:rsidR="006C6F09">
        <w:t xml:space="preserve"> </w:t>
      </w:r>
      <w:r>
        <w:t>the</w:t>
      </w:r>
      <w:r w:rsidR="006C6F09">
        <w:t xml:space="preserve"> </w:t>
      </w:r>
      <w:r>
        <w:t>notice</w:t>
      </w:r>
      <w:r w:rsidR="006C6F09">
        <w:t xml:space="preserve"> </w:t>
      </w:r>
      <w:r>
        <w:t>and</w:t>
      </w:r>
      <w:r w:rsidR="006C6F09">
        <w:t xml:space="preserve"> </w:t>
      </w:r>
      <w:r>
        <w:t>must</w:t>
      </w:r>
      <w:r w:rsidR="006C6F09">
        <w:t xml:space="preserve"> </w:t>
      </w:r>
      <w:r>
        <w:t>include</w:t>
      </w:r>
      <w:r w:rsidR="006C6F09">
        <w:t xml:space="preserve"> </w:t>
      </w:r>
      <w:r>
        <w:t>the</w:t>
      </w:r>
      <w:r w:rsidR="006C6F09">
        <w:t xml:space="preserve"> </w:t>
      </w:r>
      <w:r>
        <w:t>following</w:t>
      </w:r>
      <w:r w:rsidR="006C6F09">
        <w:t xml:space="preserve"> </w:t>
      </w:r>
      <w:r>
        <w:t>information.</w:t>
      </w:r>
      <w:r w:rsidR="006C6F09">
        <w:t xml:space="preserve"> </w:t>
      </w:r>
    </w:p>
    <w:p w14:paraId="6A931846" w14:textId="07DDF57D" w:rsidR="00457754" w:rsidRDefault="00457754" w:rsidP="00457754">
      <w:pPr>
        <w:pStyle w:val="ListBullet"/>
      </w:pPr>
      <w:r w:rsidRPr="00D22122">
        <w:t>Identify</w:t>
      </w:r>
      <w:r w:rsidR="006C6F09">
        <w:t xml:space="preserve"> </w:t>
      </w:r>
      <w:r w:rsidRPr="00D22122">
        <w:t>the</w:t>
      </w:r>
      <w:r w:rsidR="006C6F09">
        <w:t xml:space="preserve"> </w:t>
      </w:r>
      <w:r w:rsidRPr="00D22122">
        <w:t>lead</w:t>
      </w:r>
      <w:r w:rsidR="006C6F09">
        <w:t xml:space="preserve"> </w:t>
      </w:r>
      <w:r w:rsidRPr="00D22122">
        <w:t>agency</w:t>
      </w:r>
      <w:r w:rsidR="006C6F09">
        <w:t xml:space="preserve"> </w:t>
      </w:r>
      <w:r w:rsidRPr="00D22122">
        <w:t>that</w:t>
      </w:r>
      <w:r w:rsidR="006C6F09">
        <w:t xml:space="preserve"> </w:t>
      </w:r>
      <w:r w:rsidRPr="00D22122">
        <w:t>will</w:t>
      </w:r>
      <w:r w:rsidR="006C6F09">
        <w:t xml:space="preserve"> </w:t>
      </w:r>
      <w:r w:rsidRPr="00D22122">
        <w:t>ultimately</w:t>
      </w:r>
      <w:r w:rsidR="006C6F09">
        <w:t xml:space="preserve"> </w:t>
      </w:r>
      <w:r w:rsidRPr="00D22122">
        <w:t>approve</w:t>
      </w:r>
      <w:r w:rsidR="006C6F09">
        <w:t xml:space="preserve"> </w:t>
      </w:r>
      <w:r w:rsidRPr="00D22122">
        <w:t>the</w:t>
      </w:r>
      <w:r w:rsidR="006C6F09">
        <w:t xml:space="preserve"> </w:t>
      </w:r>
      <w:r w:rsidRPr="00D22122">
        <w:t>environmental</w:t>
      </w:r>
      <w:r w:rsidR="006C6F09">
        <w:t xml:space="preserve"> </w:t>
      </w:r>
      <w:r w:rsidRPr="00D22122">
        <w:t>review,</w:t>
      </w:r>
    </w:p>
    <w:p w14:paraId="281713EB" w14:textId="521046F2" w:rsidR="00457754" w:rsidRDefault="00457754" w:rsidP="00457754">
      <w:pPr>
        <w:pStyle w:val="ListBullet"/>
      </w:pPr>
      <w:r w:rsidRPr="00D22122">
        <w:t>and</w:t>
      </w:r>
      <w:r w:rsidR="006C6F09">
        <w:t xml:space="preserve"> </w:t>
      </w:r>
      <w:r w:rsidRPr="00D22122">
        <w:t>reference</w:t>
      </w:r>
      <w:r w:rsidR="006C6F09">
        <w:t xml:space="preserve"> </w:t>
      </w:r>
      <w:r w:rsidRPr="00D22122">
        <w:t>any</w:t>
      </w:r>
      <w:r w:rsidR="006C6F09">
        <w:t xml:space="preserve"> </w:t>
      </w:r>
      <w:r w:rsidRPr="00D22122">
        <w:t>joint</w:t>
      </w:r>
      <w:r w:rsidR="006C6F09">
        <w:t xml:space="preserve"> </w:t>
      </w:r>
      <w:r w:rsidRPr="00D22122">
        <w:t>lead</w:t>
      </w:r>
      <w:r w:rsidR="006C6F09">
        <w:t xml:space="preserve"> </w:t>
      </w:r>
      <w:r w:rsidRPr="00D22122">
        <w:t>agencies,</w:t>
      </w:r>
      <w:r w:rsidR="006C6F09">
        <w:t xml:space="preserve"> </w:t>
      </w:r>
      <w:r w:rsidRPr="00D22122">
        <w:t>cooperating</w:t>
      </w:r>
      <w:r w:rsidR="006C6F09">
        <w:t xml:space="preserve"> </w:t>
      </w:r>
      <w:r w:rsidRPr="00D22122">
        <w:t>agencies,</w:t>
      </w:r>
      <w:r w:rsidR="006C6F09">
        <w:t xml:space="preserve"> </w:t>
      </w:r>
      <w:r w:rsidRPr="00D22122">
        <w:t>and</w:t>
      </w:r>
      <w:r w:rsidR="006C6F09">
        <w:t xml:space="preserve"> </w:t>
      </w:r>
      <w:r w:rsidRPr="00D22122">
        <w:t>any</w:t>
      </w:r>
      <w:r w:rsidR="006C6F09">
        <w:t xml:space="preserve"> </w:t>
      </w:r>
      <w:r w:rsidRPr="00D22122">
        <w:t>cooperating</w:t>
      </w:r>
      <w:r w:rsidR="006C6F09">
        <w:t xml:space="preserve"> </w:t>
      </w:r>
      <w:r w:rsidRPr="00D22122">
        <w:t>and</w:t>
      </w:r>
      <w:r w:rsidR="006C6F09">
        <w:t xml:space="preserve"> </w:t>
      </w:r>
      <w:r w:rsidRPr="00D22122">
        <w:t>or</w:t>
      </w:r>
      <w:r w:rsidR="006C6F09">
        <w:t xml:space="preserve"> </w:t>
      </w:r>
      <w:r w:rsidRPr="00D22122">
        <w:t>sponsoring</w:t>
      </w:r>
      <w:r w:rsidR="006C6F09">
        <w:t xml:space="preserve"> </w:t>
      </w:r>
      <w:r w:rsidRPr="00D22122">
        <w:t>local</w:t>
      </w:r>
      <w:r w:rsidR="006C6F09">
        <w:t xml:space="preserve"> </w:t>
      </w:r>
      <w:r w:rsidRPr="00D22122">
        <w:t>governments</w:t>
      </w:r>
      <w:r w:rsidR="006C6F09">
        <w:t xml:space="preserve"> </w:t>
      </w:r>
      <w:r w:rsidRPr="00D22122">
        <w:t>if</w:t>
      </w:r>
      <w:r w:rsidR="006C6F09">
        <w:t xml:space="preserve"> </w:t>
      </w:r>
      <w:r w:rsidRPr="00D22122">
        <w:t>applicable.</w:t>
      </w:r>
    </w:p>
    <w:p w14:paraId="1863D3B9" w14:textId="72F82762" w:rsidR="00457754" w:rsidRDefault="00457754" w:rsidP="00457754">
      <w:pPr>
        <w:pStyle w:val="ListBullet"/>
      </w:pPr>
      <w:r w:rsidRPr="00D22122">
        <w:t>Describe</w:t>
      </w:r>
      <w:r w:rsidR="006C6F09">
        <w:t xml:space="preserve"> </w:t>
      </w:r>
      <w:r w:rsidRPr="00D22122">
        <w:t>th</w:t>
      </w:r>
      <w:r w:rsidRPr="00760769">
        <w:t>e</w:t>
      </w:r>
      <w:r w:rsidR="006C6F09">
        <w:t xml:space="preserve"> </w:t>
      </w:r>
      <w:r w:rsidRPr="00760769">
        <w:t>proposed</w:t>
      </w:r>
      <w:r w:rsidR="006C6F09">
        <w:t xml:space="preserve"> </w:t>
      </w:r>
      <w:r w:rsidRPr="00760769">
        <w:t>project,</w:t>
      </w:r>
      <w:r w:rsidR="006C6F09">
        <w:t xml:space="preserve"> </w:t>
      </w:r>
      <w:r w:rsidRPr="00760769">
        <w:t>in</w:t>
      </w:r>
      <w:r w:rsidR="006C6F09">
        <w:t xml:space="preserve"> </w:t>
      </w:r>
      <w:r w:rsidRPr="00760769">
        <w:t>simple</w:t>
      </w:r>
      <w:r w:rsidR="006C6F09">
        <w:t xml:space="preserve"> </w:t>
      </w:r>
      <w:r w:rsidRPr="00760769">
        <w:t>and</w:t>
      </w:r>
      <w:r w:rsidR="006C6F09">
        <w:t xml:space="preserve"> </w:t>
      </w:r>
      <w:r w:rsidRPr="00760769">
        <w:t>easy-to-understand</w:t>
      </w:r>
      <w:r w:rsidR="006C6F09">
        <w:t xml:space="preserve"> </w:t>
      </w:r>
      <w:r w:rsidRPr="00760769">
        <w:t>language,</w:t>
      </w:r>
    </w:p>
    <w:p w14:paraId="48BE2045" w14:textId="7E94865B" w:rsidR="00457754" w:rsidRPr="00760769" w:rsidRDefault="00457754" w:rsidP="00457754">
      <w:pPr>
        <w:pStyle w:val="ListBullet"/>
      </w:pPr>
      <w:r w:rsidRPr="00760769">
        <w:t>including</w:t>
      </w:r>
      <w:r w:rsidR="006C6F09">
        <w:t xml:space="preserve"> </w:t>
      </w:r>
      <w:r w:rsidRPr="00760769">
        <w:t>the</w:t>
      </w:r>
      <w:r w:rsidR="006C6F09">
        <w:t xml:space="preserve"> </w:t>
      </w:r>
      <w:r w:rsidRPr="00760769">
        <w:t>following</w:t>
      </w:r>
      <w:r w:rsidR="006C6F09">
        <w:t xml:space="preserve"> </w:t>
      </w:r>
      <w:r w:rsidRPr="00760769">
        <w:t>information.</w:t>
      </w:r>
    </w:p>
    <w:p w14:paraId="40E8DC85" w14:textId="23672033" w:rsidR="00457754" w:rsidRPr="00760769" w:rsidRDefault="00457754" w:rsidP="00D97AAC">
      <w:pPr>
        <w:pStyle w:val="ListBullet"/>
        <w:numPr>
          <w:ilvl w:val="1"/>
          <w:numId w:val="3"/>
        </w:numPr>
      </w:pPr>
      <w:r w:rsidRPr="00760769">
        <w:t>Highway</w:t>
      </w:r>
      <w:r w:rsidR="006C6F09">
        <w:t xml:space="preserve"> </w:t>
      </w:r>
      <w:r w:rsidRPr="00760769">
        <w:t>number(s)</w:t>
      </w:r>
      <w:r w:rsidR="006C6F09">
        <w:t xml:space="preserve"> </w:t>
      </w:r>
      <w:r w:rsidRPr="00760769">
        <w:t>and</w:t>
      </w:r>
      <w:r w:rsidR="006C6F09">
        <w:t xml:space="preserve"> </w:t>
      </w:r>
      <w:r w:rsidRPr="00760769">
        <w:t>local</w:t>
      </w:r>
      <w:r w:rsidR="006C6F09">
        <w:t xml:space="preserve"> </w:t>
      </w:r>
      <w:r w:rsidRPr="00760769">
        <w:t>names</w:t>
      </w:r>
      <w:r w:rsidR="006C6F09">
        <w:t xml:space="preserve"> </w:t>
      </w:r>
    </w:p>
    <w:p w14:paraId="4060B1E8" w14:textId="464B12D4" w:rsidR="00457754" w:rsidRPr="00760769" w:rsidRDefault="00457754" w:rsidP="00D97AAC">
      <w:pPr>
        <w:pStyle w:val="ListBullet"/>
        <w:numPr>
          <w:ilvl w:val="1"/>
          <w:numId w:val="3"/>
        </w:numPr>
      </w:pPr>
      <w:r w:rsidRPr="00760769">
        <w:t>Project</w:t>
      </w:r>
      <w:r w:rsidR="006C6F09">
        <w:t xml:space="preserve"> </w:t>
      </w:r>
      <w:r w:rsidRPr="00760769">
        <w:t>termini</w:t>
      </w:r>
    </w:p>
    <w:p w14:paraId="5895F815" w14:textId="58F00435" w:rsidR="00457754" w:rsidRPr="00760769" w:rsidRDefault="00457754" w:rsidP="00D97AAC">
      <w:pPr>
        <w:pStyle w:val="ListBullet"/>
        <w:numPr>
          <w:ilvl w:val="1"/>
          <w:numId w:val="3"/>
        </w:numPr>
      </w:pPr>
      <w:r w:rsidRPr="00760769">
        <w:t>Project</w:t>
      </w:r>
      <w:r w:rsidR="006C6F09">
        <w:t xml:space="preserve"> </w:t>
      </w:r>
      <w:r w:rsidRPr="00760769">
        <w:t>length</w:t>
      </w:r>
      <w:r w:rsidR="006C6F09">
        <w:t xml:space="preserve"> </w:t>
      </w:r>
      <w:r w:rsidRPr="00760769">
        <w:t>in</w:t>
      </w:r>
      <w:r w:rsidR="006C6F09">
        <w:t xml:space="preserve"> </w:t>
      </w:r>
      <w:r w:rsidRPr="00760769">
        <w:t>miles</w:t>
      </w:r>
    </w:p>
    <w:p w14:paraId="0C5B1F90" w14:textId="362FC7A4" w:rsidR="00457754" w:rsidRPr="00760769" w:rsidRDefault="00457754" w:rsidP="00D97AAC">
      <w:pPr>
        <w:pStyle w:val="ListBullet"/>
        <w:numPr>
          <w:ilvl w:val="1"/>
          <w:numId w:val="3"/>
        </w:numPr>
      </w:pPr>
      <w:r w:rsidRPr="00760769">
        <w:t>Type</w:t>
      </w:r>
      <w:r w:rsidR="006C6F09">
        <w:t xml:space="preserve"> </w:t>
      </w:r>
      <w:r w:rsidRPr="00760769">
        <w:t>of</w:t>
      </w:r>
      <w:r w:rsidR="006C6F09">
        <w:t xml:space="preserve"> </w:t>
      </w:r>
      <w:r w:rsidRPr="00760769">
        <w:t>facility</w:t>
      </w:r>
      <w:r w:rsidR="006C6F09">
        <w:t xml:space="preserve"> </w:t>
      </w:r>
    </w:p>
    <w:p w14:paraId="1ED69A4D" w14:textId="4DB3F0AD" w:rsidR="00457754" w:rsidRPr="00760769" w:rsidRDefault="00457754" w:rsidP="00D97AAC">
      <w:pPr>
        <w:pStyle w:val="ListBullet"/>
        <w:numPr>
          <w:ilvl w:val="1"/>
          <w:numId w:val="3"/>
        </w:numPr>
      </w:pPr>
      <w:r w:rsidRPr="00760769">
        <w:t>Number</w:t>
      </w:r>
      <w:r w:rsidR="006C6F09">
        <w:t xml:space="preserve"> </w:t>
      </w:r>
      <w:r w:rsidRPr="00760769">
        <w:t>of</w:t>
      </w:r>
      <w:r w:rsidR="006C6F09">
        <w:t xml:space="preserve"> </w:t>
      </w:r>
      <w:r w:rsidRPr="00760769">
        <w:t>lanes</w:t>
      </w:r>
    </w:p>
    <w:p w14:paraId="29EA3E49" w14:textId="026A16B6" w:rsidR="00457754" w:rsidRPr="00760769" w:rsidRDefault="00457754" w:rsidP="00D97AAC">
      <w:pPr>
        <w:pStyle w:val="ListBullet"/>
        <w:numPr>
          <w:ilvl w:val="1"/>
          <w:numId w:val="3"/>
        </w:numPr>
      </w:pPr>
      <w:r w:rsidRPr="00760769">
        <w:t>Counties,</w:t>
      </w:r>
      <w:r w:rsidR="006C6F09">
        <w:t xml:space="preserve"> </w:t>
      </w:r>
      <w:r w:rsidRPr="00760769">
        <w:t>cities,</w:t>
      </w:r>
      <w:r w:rsidR="006C6F09">
        <w:t xml:space="preserve"> </w:t>
      </w:r>
      <w:r w:rsidRPr="00760769">
        <w:t>and</w:t>
      </w:r>
      <w:r w:rsidR="006C6F09">
        <w:t xml:space="preserve"> </w:t>
      </w:r>
      <w:r w:rsidRPr="00760769">
        <w:t>or</w:t>
      </w:r>
      <w:r w:rsidR="006C6F09">
        <w:t xml:space="preserve"> </w:t>
      </w:r>
      <w:r w:rsidRPr="00760769">
        <w:t>communities</w:t>
      </w:r>
      <w:r w:rsidR="006C6F09">
        <w:t xml:space="preserve"> </w:t>
      </w:r>
      <w:r w:rsidRPr="00760769">
        <w:t>affected</w:t>
      </w:r>
    </w:p>
    <w:p w14:paraId="1A6446D8" w14:textId="77777777" w:rsidR="00457754" w:rsidRPr="00760769" w:rsidRDefault="00457754" w:rsidP="00D97AAC">
      <w:pPr>
        <w:pStyle w:val="ListBullet"/>
        <w:numPr>
          <w:ilvl w:val="1"/>
          <w:numId w:val="3"/>
        </w:numPr>
      </w:pPr>
      <w:r w:rsidRPr="00760769">
        <w:t>CSJ(s)</w:t>
      </w:r>
    </w:p>
    <w:p w14:paraId="13FE9B85" w14:textId="3C0814D8" w:rsidR="00457754" w:rsidRPr="00760769" w:rsidRDefault="00457754" w:rsidP="00457754">
      <w:pPr>
        <w:pStyle w:val="ListBullet"/>
      </w:pPr>
      <w:r w:rsidRPr="00760769">
        <w:t>Describe</w:t>
      </w:r>
      <w:r w:rsidR="006C6F09">
        <w:t xml:space="preserve"> </w:t>
      </w:r>
      <w:r w:rsidRPr="00760769">
        <w:t>the</w:t>
      </w:r>
      <w:r w:rsidR="006C6F09">
        <w:t xml:space="preserve"> </w:t>
      </w:r>
      <w:r w:rsidRPr="00760769">
        <w:t>existing</w:t>
      </w:r>
      <w:r w:rsidR="006C6F09">
        <w:t xml:space="preserve"> </w:t>
      </w:r>
      <w:r w:rsidRPr="00760769">
        <w:t>and</w:t>
      </w:r>
      <w:r w:rsidR="006C6F09">
        <w:t xml:space="preserve"> </w:t>
      </w:r>
      <w:r w:rsidRPr="00760769">
        <w:t>proposed</w:t>
      </w:r>
      <w:r w:rsidR="006C6F09">
        <w:t xml:space="preserve"> </w:t>
      </w:r>
      <w:r w:rsidRPr="00760769">
        <w:t>ROW</w:t>
      </w:r>
      <w:r w:rsidR="006C6F09">
        <w:t xml:space="preserve"> </w:t>
      </w:r>
      <w:r w:rsidRPr="00760769">
        <w:t>widths,</w:t>
      </w:r>
      <w:r w:rsidR="006C6F09">
        <w:t xml:space="preserve"> </w:t>
      </w:r>
      <w:r w:rsidRPr="00760769">
        <w:t>including</w:t>
      </w:r>
      <w:r w:rsidR="006C6F09">
        <w:t xml:space="preserve"> </w:t>
      </w:r>
      <w:r w:rsidRPr="00760769">
        <w:t>anticipated</w:t>
      </w:r>
    </w:p>
    <w:p w14:paraId="29A108FF" w14:textId="6F83A127" w:rsidR="00457754" w:rsidRPr="00760769" w:rsidRDefault="00135456" w:rsidP="00426B53">
      <w:pPr>
        <w:pStyle w:val="ListBullet"/>
        <w:numPr>
          <w:ilvl w:val="0"/>
          <w:numId w:val="0"/>
        </w:numPr>
        <w:ind w:left="360" w:hanging="360"/>
      </w:pPr>
      <w:r>
        <w:t xml:space="preserve">  </w:t>
      </w:r>
      <w:r w:rsidR="00457754" w:rsidRPr="00760769">
        <w:t>displacements.</w:t>
      </w:r>
    </w:p>
    <w:p w14:paraId="18C9DAC7" w14:textId="1E14E29E" w:rsidR="00A16EEE" w:rsidRDefault="00457754" w:rsidP="00A16EEE">
      <w:pPr>
        <w:pStyle w:val="ListBullet"/>
      </w:pPr>
      <w:r w:rsidRPr="00760769">
        <w:t>Describe</w:t>
      </w:r>
      <w:r w:rsidR="006C6F09">
        <w:t xml:space="preserve"> </w:t>
      </w:r>
      <w:r w:rsidRPr="00760769">
        <w:t>any</w:t>
      </w:r>
      <w:r w:rsidR="006C6F09">
        <w:t xml:space="preserve"> </w:t>
      </w:r>
      <w:r w:rsidRPr="00760769">
        <w:t>Section</w:t>
      </w:r>
      <w:r w:rsidR="006C6F09">
        <w:t xml:space="preserve"> </w:t>
      </w:r>
      <w:r w:rsidRPr="00760769">
        <w:t>4(f)</w:t>
      </w:r>
      <w:r w:rsidR="006C6F09">
        <w:t xml:space="preserve"> </w:t>
      </w:r>
      <w:r w:rsidRPr="00760769">
        <w:t>properties</w:t>
      </w:r>
      <w:r w:rsidR="006C6F09">
        <w:t xml:space="preserve"> </w:t>
      </w:r>
      <w:r w:rsidRPr="00760769">
        <w:t>that</w:t>
      </w:r>
      <w:r w:rsidR="006C6F09">
        <w:t xml:space="preserve"> </w:t>
      </w:r>
      <w:r w:rsidRPr="00760769">
        <w:t>are</w:t>
      </w:r>
      <w:r w:rsidR="006C6F09">
        <w:t xml:space="preserve"> </w:t>
      </w:r>
      <w:r w:rsidRPr="00760769">
        <w:t>proposed</w:t>
      </w:r>
      <w:r w:rsidR="006C6F09">
        <w:t xml:space="preserve"> </w:t>
      </w:r>
      <w:r w:rsidRPr="00760769">
        <w:t>to</w:t>
      </w:r>
      <w:r w:rsidR="006C6F09">
        <w:t xml:space="preserve"> </w:t>
      </w:r>
      <w:r w:rsidRPr="00760769">
        <w:t>be</w:t>
      </w:r>
      <w:r w:rsidR="006C6F09">
        <w:t xml:space="preserve"> </w:t>
      </w:r>
      <w:r w:rsidRPr="00760769">
        <w:t>impacted</w:t>
      </w:r>
      <w:r w:rsidR="006C6F09">
        <w:t xml:space="preserve"> </w:t>
      </w:r>
      <w:r w:rsidRPr="00760769">
        <w:t>(</w:t>
      </w:r>
      <w:r w:rsidRPr="00263E76">
        <w:rPr>
          <w:i/>
          <w:iCs/>
          <w:lang w:val="la-Latn"/>
        </w:rPr>
        <w:t>de</w:t>
      </w:r>
      <w:r w:rsidR="006C6F09">
        <w:rPr>
          <w:i/>
          <w:iCs/>
          <w:lang w:val="la-Latn"/>
        </w:rPr>
        <w:t xml:space="preserve"> </w:t>
      </w:r>
      <w:r w:rsidRPr="00263E76">
        <w:rPr>
          <w:i/>
          <w:iCs/>
          <w:lang w:val="la-Latn"/>
        </w:rPr>
        <w:t>minimis</w:t>
      </w:r>
      <w:r w:rsidRPr="00760769">
        <w:t>,</w:t>
      </w:r>
      <w:r w:rsidR="006C6F09">
        <w:t xml:space="preserve"> </w:t>
      </w:r>
      <w:r w:rsidRPr="00760769">
        <w:t>programmatic</w:t>
      </w:r>
      <w:r w:rsidR="006C6F09">
        <w:t xml:space="preserve"> </w:t>
      </w:r>
      <w:r w:rsidRPr="00760769">
        <w:t>or</w:t>
      </w:r>
      <w:r w:rsidR="006C6F09">
        <w:t xml:space="preserve"> </w:t>
      </w:r>
      <w:r w:rsidRPr="00760769">
        <w:t>individual).</w:t>
      </w:r>
      <w:r w:rsidR="006C6F09">
        <w:t xml:space="preserve"> </w:t>
      </w:r>
      <w:r w:rsidRPr="00760769">
        <w:t>If</w:t>
      </w:r>
      <w:r w:rsidR="006C6F09">
        <w:t xml:space="preserve"> </w:t>
      </w:r>
      <w:r w:rsidRPr="00760769">
        <w:t>the</w:t>
      </w:r>
      <w:r w:rsidR="006C6F09">
        <w:t xml:space="preserve"> </w:t>
      </w:r>
      <w:r w:rsidRPr="00760769">
        <w:t>notice</w:t>
      </w:r>
      <w:r w:rsidR="006C6F09">
        <w:t xml:space="preserve"> </w:t>
      </w:r>
      <w:r w:rsidRPr="00760769">
        <w:t>will</w:t>
      </w:r>
      <w:r w:rsidR="006C6F09">
        <w:t xml:space="preserve"> </w:t>
      </w:r>
      <w:r w:rsidRPr="00760769">
        <w:t>be</w:t>
      </w:r>
      <w:r w:rsidR="006C6F09">
        <w:t xml:space="preserve"> </w:t>
      </w:r>
      <w:r w:rsidRPr="00760769">
        <w:t>used</w:t>
      </w:r>
      <w:r w:rsidR="006C6F09">
        <w:t xml:space="preserve"> </w:t>
      </w:r>
      <w:r w:rsidRPr="00760769">
        <w:t>to</w:t>
      </w:r>
      <w:r w:rsidR="006C6F09">
        <w:t xml:space="preserve"> </w:t>
      </w:r>
      <w:r w:rsidRPr="00760769">
        <w:t>meet</w:t>
      </w:r>
      <w:r w:rsidR="006C6F09">
        <w:t xml:space="preserve"> </w:t>
      </w:r>
      <w:r w:rsidRPr="00760769">
        <w:t>the</w:t>
      </w:r>
      <w:r w:rsidR="006C6F09">
        <w:t xml:space="preserve"> </w:t>
      </w:r>
      <w:r w:rsidRPr="00760769">
        <w:t>public</w:t>
      </w:r>
      <w:r w:rsidR="006C6F09">
        <w:t xml:space="preserve"> </w:t>
      </w:r>
      <w:r w:rsidRPr="00760769">
        <w:t>notice</w:t>
      </w:r>
      <w:r w:rsidR="006C6F09">
        <w:t xml:space="preserve"> </w:t>
      </w:r>
      <w:r w:rsidRPr="00760769">
        <w:t>requirement</w:t>
      </w:r>
      <w:r w:rsidR="006C6F09">
        <w:t xml:space="preserve"> </w:t>
      </w:r>
      <w:r w:rsidRPr="00760769">
        <w:t>for</w:t>
      </w:r>
      <w:r w:rsidR="006C6F09">
        <w:t xml:space="preserve"> </w:t>
      </w:r>
      <w:r w:rsidRPr="00760769">
        <w:t>a</w:t>
      </w:r>
      <w:r w:rsidR="006C6F09">
        <w:t xml:space="preserve"> </w:t>
      </w:r>
      <w:r w:rsidRPr="00760769">
        <w:t>Section</w:t>
      </w:r>
      <w:r w:rsidR="006C6F09">
        <w:t xml:space="preserve"> </w:t>
      </w:r>
      <w:r w:rsidRPr="00760769">
        <w:t>4(f)</w:t>
      </w:r>
      <w:r w:rsidR="006C6F09">
        <w:t xml:space="preserve"> </w:t>
      </w:r>
      <w:r w:rsidRPr="00263E76">
        <w:rPr>
          <w:i/>
          <w:iCs/>
          <w:lang w:val="la-Latn"/>
        </w:rPr>
        <w:t>de</w:t>
      </w:r>
      <w:r w:rsidR="006C6F09">
        <w:rPr>
          <w:i/>
          <w:iCs/>
          <w:lang w:val="la-Latn"/>
        </w:rPr>
        <w:t xml:space="preserve"> </w:t>
      </w:r>
      <w:r w:rsidRPr="00263E76">
        <w:rPr>
          <w:i/>
          <w:iCs/>
          <w:lang w:val="la-Latn"/>
        </w:rPr>
        <w:t>minimis</w:t>
      </w:r>
      <w:r w:rsidR="006C6F09">
        <w:rPr>
          <w:lang w:val="la-Latn"/>
        </w:rPr>
        <w:t xml:space="preserve"> </w:t>
      </w:r>
      <w:r w:rsidRPr="00760769">
        <w:t>finding</w:t>
      </w:r>
      <w:r w:rsidR="00943473">
        <w:t>.</w:t>
      </w:r>
      <w:r w:rsidR="006C6F09">
        <w:t xml:space="preserve"> </w:t>
      </w:r>
      <w:r w:rsidR="00943473">
        <w:t>I</w:t>
      </w:r>
      <w:r w:rsidRPr="00760769">
        <w:t>nclude</w:t>
      </w:r>
      <w:r w:rsidR="006C6F09">
        <w:t xml:space="preserve"> </w:t>
      </w:r>
      <w:r w:rsidRPr="00760769">
        <w:t>a</w:t>
      </w:r>
      <w:r w:rsidR="006C6F09">
        <w:t xml:space="preserve"> </w:t>
      </w:r>
      <w:r w:rsidRPr="00760769">
        <w:t>statement</w:t>
      </w:r>
      <w:r w:rsidR="006C6F09">
        <w:t xml:space="preserve"> </w:t>
      </w:r>
      <w:r w:rsidRPr="00760769">
        <w:t>describing</w:t>
      </w:r>
      <w:r w:rsidR="006C6F09">
        <w:t xml:space="preserve"> </w:t>
      </w:r>
      <w:r w:rsidRPr="00760769">
        <w:t>the</w:t>
      </w:r>
      <w:r w:rsidR="006C6F09">
        <w:t xml:space="preserve"> </w:t>
      </w:r>
      <w:r w:rsidRPr="00760769">
        <w:t>Section</w:t>
      </w:r>
      <w:r w:rsidR="006C6F09">
        <w:t xml:space="preserve"> </w:t>
      </w:r>
      <w:r w:rsidRPr="00760769">
        <w:t>4(f)</w:t>
      </w:r>
      <w:r w:rsidR="006C6F09">
        <w:t xml:space="preserve"> </w:t>
      </w:r>
      <w:r w:rsidRPr="00760769">
        <w:t>property</w:t>
      </w:r>
      <w:r w:rsidR="006C6F09">
        <w:t xml:space="preserve"> </w:t>
      </w:r>
      <w:r w:rsidRPr="00760769">
        <w:t>and</w:t>
      </w:r>
      <w:r w:rsidR="006C6F09">
        <w:t xml:space="preserve"> </w:t>
      </w:r>
      <w:r w:rsidRPr="00760769">
        <w:t>the</w:t>
      </w:r>
      <w:r w:rsidR="006C6F09">
        <w:t xml:space="preserve"> </w:t>
      </w:r>
      <w:r w:rsidRPr="00760769">
        <w:t>intent</w:t>
      </w:r>
      <w:r w:rsidR="006C6F09">
        <w:t xml:space="preserve"> </w:t>
      </w:r>
      <w:r w:rsidRPr="00760769">
        <w:t>to</w:t>
      </w:r>
      <w:r w:rsidR="006C6F09">
        <w:t xml:space="preserve"> </w:t>
      </w:r>
      <w:r w:rsidRPr="00760769">
        <w:t>pursue</w:t>
      </w:r>
      <w:r w:rsidR="006C6F09">
        <w:t xml:space="preserve"> </w:t>
      </w:r>
      <w:r w:rsidRPr="00760769">
        <w:t>a</w:t>
      </w:r>
      <w:r w:rsidR="006C6F09">
        <w:t xml:space="preserve"> </w:t>
      </w:r>
      <w:r w:rsidRPr="00263E76">
        <w:rPr>
          <w:i/>
          <w:iCs/>
          <w:lang w:val="la-Latn"/>
        </w:rPr>
        <w:t>de</w:t>
      </w:r>
      <w:r w:rsidR="006C6F09">
        <w:rPr>
          <w:i/>
          <w:iCs/>
          <w:lang w:val="la-Latn"/>
        </w:rPr>
        <w:t xml:space="preserve"> </w:t>
      </w:r>
      <w:r w:rsidRPr="00263E76">
        <w:rPr>
          <w:i/>
          <w:iCs/>
          <w:lang w:val="la-Latn"/>
        </w:rPr>
        <w:t>minimis</w:t>
      </w:r>
      <w:r w:rsidR="006C6F09">
        <w:t xml:space="preserve"> </w:t>
      </w:r>
      <w:r w:rsidRPr="00760769">
        <w:t>finding,</w:t>
      </w:r>
      <w:r w:rsidR="006C6F09">
        <w:t xml:space="preserve"> </w:t>
      </w:r>
      <w:r w:rsidRPr="00760769">
        <w:t>as</w:t>
      </w:r>
      <w:r w:rsidR="006C6F09">
        <w:t xml:space="preserve"> </w:t>
      </w:r>
      <w:r w:rsidRPr="00760769">
        <w:t>well</w:t>
      </w:r>
      <w:r w:rsidR="006C6F09">
        <w:t xml:space="preserve"> </w:t>
      </w:r>
      <w:r w:rsidRPr="00760769">
        <w:t>as</w:t>
      </w:r>
      <w:r w:rsidR="006C6F09">
        <w:t xml:space="preserve"> </w:t>
      </w:r>
      <w:r w:rsidRPr="00760769">
        <w:t>a</w:t>
      </w:r>
      <w:r w:rsidR="006C6F09">
        <w:t xml:space="preserve"> </w:t>
      </w:r>
      <w:r w:rsidRPr="00760769">
        <w:t>statement</w:t>
      </w:r>
      <w:r w:rsidR="006C6F09">
        <w:t xml:space="preserve"> </w:t>
      </w:r>
      <w:r w:rsidRPr="00760769">
        <w:t>regarding</w:t>
      </w:r>
      <w:r w:rsidR="006C6F09">
        <w:t xml:space="preserve"> </w:t>
      </w:r>
      <w:r w:rsidRPr="00760769">
        <w:t>how</w:t>
      </w:r>
      <w:r w:rsidR="006C6F09">
        <w:t xml:space="preserve"> </w:t>
      </w:r>
      <w:r w:rsidRPr="00760769">
        <w:t>and</w:t>
      </w:r>
      <w:r w:rsidR="006C6F09">
        <w:t xml:space="preserve"> </w:t>
      </w:r>
      <w:r w:rsidRPr="00760769">
        <w:t>by</w:t>
      </w:r>
      <w:r w:rsidR="006C6F09">
        <w:t xml:space="preserve"> </w:t>
      </w:r>
      <w:r w:rsidRPr="00760769">
        <w:t>when</w:t>
      </w:r>
      <w:r w:rsidR="006C6F09">
        <w:t xml:space="preserve"> </w:t>
      </w:r>
      <w:r w:rsidRPr="00760769">
        <w:t>comments</w:t>
      </w:r>
      <w:r w:rsidR="006C6F09">
        <w:t xml:space="preserve"> </w:t>
      </w:r>
      <w:r w:rsidRPr="00760769">
        <w:t>may</w:t>
      </w:r>
      <w:r w:rsidR="006C6F09">
        <w:t xml:space="preserve"> </w:t>
      </w:r>
      <w:r w:rsidRPr="00760769">
        <w:t>be</w:t>
      </w:r>
      <w:r w:rsidR="006C6F09">
        <w:t xml:space="preserve"> </w:t>
      </w:r>
      <w:r w:rsidRPr="00760769">
        <w:t>made</w:t>
      </w:r>
      <w:r w:rsidR="006C6F09">
        <w:t xml:space="preserve"> </w:t>
      </w:r>
      <w:r w:rsidRPr="00760769">
        <w:t>about</w:t>
      </w:r>
      <w:r w:rsidR="006C6F09">
        <w:t xml:space="preserve"> </w:t>
      </w:r>
      <w:r w:rsidRPr="00760769">
        <w:t>the</w:t>
      </w:r>
      <w:r w:rsidR="006C6F09">
        <w:t xml:space="preserve"> </w:t>
      </w:r>
      <w:r w:rsidRPr="00760769">
        <w:t>proposed</w:t>
      </w:r>
      <w:r w:rsidR="006C6F09">
        <w:t xml:space="preserve"> </w:t>
      </w:r>
      <w:r w:rsidRPr="00263E76">
        <w:rPr>
          <w:i/>
          <w:iCs/>
          <w:lang w:val="la-Latn"/>
        </w:rPr>
        <w:t>de</w:t>
      </w:r>
      <w:r w:rsidR="006C6F09">
        <w:rPr>
          <w:i/>
          <w:iCs/>
          <w:lang w:val="la-Latn"/>
        </w:rPr>
        <w:t xml:space="preserve"> </w:t>
      </w:r>
      <w:r w:rsidRPr="00263E76">
        <w:rPr>
          <w:i/>
          <w:iCs/>
          <w:lang w:val="la-Latn"/>
        </w:rPr>
        <w:t>minimis</w:t>
      </w:r>
      <w:r w:rsidR="006C6F09">
        <w:t xml:space="preserve"> </w:t>
      </w:r>
      <w:r w:rsidRPr="00760769">
        <w:t>finding.</w:t>
      </w:r>
    </w:p>
    <w:p w14:paraId="416A4D9D" w14:textId="1DFB8EE7" w:rsidR="00457754" w:rsidRPr="008634D0" w:rsidRDefault="00457754" w:rsidP="00A16EEE">
      <w:pPr>
        <w:pStyle w:val="ListBullet"/>
      </w:pPr>
      <w:r w:rsidRPr="00760769">
        <w:lastRenderedPageBreak/>
        <w:t>Include</w:t>
      </w:r>
      <w:r w:rsidR="006C6F09">
        <w:t xml:space="preserve"> </w:t>
      </w:r>
      <w:r w:rsidRPr="00760769">
        <w:t>references</w:t>
      </w:r>
      <w:r w:rsidR="006C6F09">
        <w:t xml:space="preserve"> </w:t>
      </w:r>
      <w:r w:rsidRPr="00760769">
        <w:t>to</w:t>
      </w:r>
      <w:r w:rsidR="006C6F09">
        <w:t xml:space="preserve"> </w:t>
      </w:r>
      <w:r w:rsidRPr="00760769">
        <w:t>maps,</w:t>
      </w:r>
      <w:r w:rsidR="006C6F09">
        <w:t xml:space="preserve"> </w:t>
      </w:r>
      <w:r w:rsidRPr="00760769">
        <w:t>drawings,</w:t>
      </w:r>
      <w:r w:rsidR="006C6F09">
        <w:t xml:space="preserve"> </w:t>
      </w:r>
      <w:r w:rsidRPr="00760769">
        <w:t>and</w:t>
      </w:r>
      <w:r w:rsidR="006C6F09">
        <w:t xml:space="preserve"> </w:t>
      </w:r>
      <w:r w:rsidRPr="00760769">
        <w:t>environmental</w:t>
      </w:r>
      <w:r w:rsidR="006C6F09">
        <w:t xml:space="preserve"> </w:t>
      </w:r>
      <w:r w:rsidRPr="00760769">
        <w:t>documents</w:t>
      </w:r>
      <w:r w:rsidR="006C6F09">
        <w:t xml:space="preserve"> </w:t>
      </w:r>
      <w:r w:rsidRPr="00760769">
        <w:t>or</w:t>
      </w:r>
      <w:r w:rsidR="006C6F09">
        <w:t xml:space="preserve"> </w:t>
      </w:r>
      <w:r w:rsidRPr="00760769">
        <w:t>studies</w:t>
      </w:r>
      <w:r w:rsidR="006C6F09">
        <w:t xml:space="preserve"> </w:t>
      </w:r>
      <w:r w:rsidRPr="008634D0">
        <w:t>regarding</w:t>
      </w:r>
      <w:r w:rsidR="006C6F09">
        <w:t xml:space="preserve"> </w:t>
      </w:r>
      <w:r w:rsidRPr="008634D0">
        <w:t>the</w:t>
      </w:r>
      <w:r w:rsidR="006C6F09">
        <w:t xml:space="preserve"> </w:t>
      </w:r>
      <w:r w:rsidRPr="008634D0">
        <w:t>proposed</w:t>
      </w:r>
      <w:r w:rsidR="006C6F09">
        <w:t xml:space="preserve"> </w:t>
      </w:r>
      <w:r w:rsidRPr="008634D0">
        <w:t>project</w:t>
      </w:r>
      <w:r w:rsidR="006C6F09">
        <w:t xml:space="preserve"> </w:t>
      </w:r>
      <w:r w:rsidRPr="008634D0">
        <w:t>that</w:t>
      </w:r>
      <w:r w:rsidR="006C6F09">
        <w:t xml:space="preserve"> </w:t>
      </w:r>
      <w:r w:rsidRPr="008634D0">
        <w:t>are</w:t>
      </w:r>
      <w:r w:rsidR="006C6F09">
        <w:t xml:space="preserve"> </w:t>
      </w:r>
      <w:r w:rsidRPr="008634D0">
        <w:t>recorded</w:t>
      </w:r>
      <w:r w:rsidR="006C6F09">
        <w:t xml:space="preserve"> </w:t>
      </w:r>
      <w:r w:rsidRPr="008634D0">
        <w:t>in</w:t>
      </w:r>
      <w:r w:rsidR="006C6F09">
        <w:t xml:space="preserve"> </w:t>
      </w:r>
      <w:r w:rsidRPr="008634D0">
        <w:t>the</w:t>
      </w:r>
      <w:r w:rsidR="006C6F09">
        <w:t xml:space="preserve"> </w:t>
      </w:r>
      <w:r w:rsidRPr="008634D0">
        <w:t>official</w:t>
      </w:r>
      <w:r w:rsidR="006C6F09">
        <w:t xml:space="preserve"> </w:t>
      </w:r>
      <w:r w:rsidRPr="008634D0">
        <w:t>project</w:t>
      </w:r>
      <w:r w:rsidR="006C6F09">
        <w:t xml:space="preserve"> </w:t>
      </w:r>
      <w:r w:rsidRPr="008634D0">
        <w:t>file</w:t>
      </w:r>
      <w:r w:rsidR="006C6F09">
        <w:t xml:space="preserve"> </w:t>
      </w:r>
      <w:r w:rsidRPr="008634D0">
        <w:t>and</w:t>
      </w:r>
      <w:r w:rsidR="006C6F09">
        <w:t xml:space="preserve"> </w:t>
      </w:r>
      <w:r w:rsidRPr="008634D0">
        <w:t>available</w:t>
      </w:r>
      <w:r w:rsidR="006C6F09">
        <w:t xml:space="preserve"> </w:t>
      </w:r>
      <w:r w:rsidRPr="008634D0">
        <w:t>for</w:t>
      </w:r>
      <w:r w:rsidR="006C6F09">
        <w:t xml:space="preserve"> </w:t>
      </w:r>
      <w:r w:rsidRPr="008634D0">
        <w:t>public</w:t>
      </w:r>
      <w:r w:rsidR="006C6F09">
        <w:t xml:space="preserve"> </w:t>
      </w:r>
      <w:r w:rsidRPr="008634D0">
        <w:t>inspection.</w:t>
      </w:r>
      <w:r w:rsidR="006C6F09">
        <w:t xml:space="preserve"> </w:t>
      </w:r>
      <w:r w:rsidRPr="008634D0">
        <w:t>In</w:t>
      </w:r>
      <w:r w:rsidR="006C6F09">
        <w:t xml:space="preserve"> </w:t>
      </w:r>
      <w:r w:rsidRPr="008634D0">
        <w:t>the</w:t>
      </w:r>
      <w:r w:rsidR="006C6F09">
        <w:t xml:space="preserve"> </w:t>
      </w:r>
      <w:r w:rsidRPr="008634D0">
        <w:t>notice</w:t>
      </w:r>
      <w:r w:rsidR="006C6F09">
        <w:t xml:space="preserve"> </w:t>
      </w:r>
      <w:proofErr w:type="gramStart"/>
      <w:r w:rsidRPr="008634D0">
        <w:t>include</w:t>
      </w:r>
      <w:proofErr w:type="gramEnd"/>
      <w:r w:rsidR="006C6F09">
        <w:t xml:space="preserve"> </w:t>
      </w:r>
      <w:r w:rsidRPr="008634D0">
        <w:t>the</w:t>
      </w:r>
      <w:r w:rsidR="006C6F09">
        <w:t xml:space="preserve"> </w:t>
      </w:r>
      <w:r w:rsidRPr="008634D0">
        <w:t>office</w:t>
      </w:r>
      <w:r w:rsidR="006C6F09">
        <w:t xml:space="preserve"> </w:t>
      </w:r>
      <w:r w:rsidRPr="008634D0">
        <w:t>name(s),</w:t>
      </w:r>
      <w:r w:rsidR="006C6F09">
        <w:t xml:space="preserve"> </w:t>
      </w:r>
      <w:r w:rsidRPr="008634D0">
        <w:t>location(s),</w:t>
      </w:r>
      <w:r w:rsidR="006C6F09">
        <w:t xml:space="preserve"> </w:t>
      </w:r>
      <w:r w:rsidRPr="008634D0">
        <w:t>and</w:t>
      </w:r>
      <w:r w:rsidR="006C6F09">
        <w:t xml:space="preserve"> </w:t>
      </w:r>
      <w:r w:rsidRPr="008634D0">
        <w:t>typical</w:t>
      </w:r>
      <w:r w:rsidR="006C6F09">
        <w:t xml:space="preserve"> </w:t>
      </w:r>
      <w:r w:rsidRPr="008634D0">
        <w:t>working</w:t>
      </w:r>
      <w:r w:rsidR="006C6F09">
        <w:t xml:space="preserve"> </w:t>
      </w:r>
      <w:r w:rsidRPr="008634D0">
        <w:t>hours</w:t>
      </w:r>
      <w:r w:rsidR="006C6F09">
        <w:t xml:space="preserve"> </w:t>
      </w:r>
      <w:r w:rsidRPr="008634D0">
        <w:t>where</w:t>
      </w:r>
      <w:r w:rsidR="006C6F09">
        <w:t xml:space="preserve"> </w:t>
      </w:r>
      <w:r w:rsidRPr="008634D0">
        <w:t>the</w:t>
      </w:r>
      <w:r w:rsidR="006C6F09">
        <w:t xml:space="preserve"> </w:t>
      </w:r>
      <w:r w:rsidRPr="008634D0">
        <w:t>project</w:t>
      </w:r>
      <w:r w:rsidR="006C6F09">
        <w:t xml:space="preserve"> </w:t>
      </w:r>
      <w:r w:rsidRPr="008634D0">
        <w:t>materials</w:t>
      </w:r>
      <w:r w:rsidR="006C6F09">
        <w:t xml:space="preserve"> </w:t>
      </w:r>
      <w:r w:rsidRPr="008634D0">
        <w:t>can</w:t>
      </w:r>
      <w:r w:rsidR="006C6F09">
        <w:t xml:space="preserve"> </w:t>
      </w:r>
      <w:r w:rsidRPr="008634D0">
        <w:t>be</w:t>
      </w:r>
      <w:r w:rsidR="006C6F09">
        <w:t xml:space="preserve"> </w:t>
      </w:r>
      <w:r w:rsidRPr="008634D0">
        <w:t>viewed.</w:t>
      </w:r>
      <w:r w:rsidR="006C6F09">
        <w:t xml:space="preserve"> </w:t>
      </w:r>
      <w:r w:rsidRPr="008634D0">
        <w:t>Typically,</w:t>
      </w:r>
      <w:r w:rsidR="006C6F09">
        <w:t xml:space="preserve"> </w:t>
      </w:r>
      <w:r w:rsidRPr="008634D0">
        <w:t>the</w:t>
      </w:r>
      <w:r w:rsidR="006C6F09">
        <w:t xml:space="preserve"> </w:t>
      </w:r>
      <w:r w:rsidRPr="008634D0">
        <w:t>district</w:t>
      </w:r>
      <w:r w:rsidR="006C6F09">
        <w:t xml:space="preserve"> </w:t>
      </w:r>
      <w:r w:rsidRPr="008634D0">
        <w:t>and</w:t>
      </w:r>
      <w:r w:rsidR="006C6F09">
        <w:t xml:space="preserve"> </w:t>
      </w:r>
      <w:r w:rsidRPr="008634D0">
        <w:t>area</w:t>
      </w:r>
      <w:r w:rsidR="006C6F09">
        <w:t xml:space="preserve"> </w:t>
      </w:r>
      <w:r w:rsidRPr="008634D0">
        <w:t>office(s)</w:t>
      </w:r>
      <w:r w:rsidR="006C6F09">
        <w:t xml:space="preserve"> </w:t>
      </w:r>
      <w:r w:rsidRPr="008634D0">
        <w:t>near</w:t>
      </w:r>
      <w:r w:rsidR="006C6F09">
        <w:t xml:space="preserve"> </w:t>
      </w:r>
      <w:r w:rsidRPr="008634D0">
        <w:t>the</w:t>
      </w:r>
      <w:r w:rsidR="006C6F09">
        <w:t xml:space="preserve"> </w:t>
      </w:r>
      <w:r w:rsidRPr="008634D0">
        <w:t>proposed</w:t>
      </w:r>
      <w:r w:rsidR="006C6F09">
        <w:t xml:space="preserve"> </w:t>
      </w:r>
      <w:r w:rsidRPr="008634D0">
        <w:t>project</w:t>
      </w:r>
      <w:r w:rsidR="006C6F09">
        <w:t xml:space="preserve"> </w:t>
      </w:r>
      <w:r w:rsidRPr="008634D0">
        <w:t>are</w:t>
      </w:r>
      <w:r w:rsidR="006C6F09">
        <w:t xml:space="preserve"> </w:t>
      </w:r>
      <w:r w:rsidRPr="008634D0">
        <w:t>identified</w:t>
      </w:r>
      <w:r w:rsidR="006C6F09">
        <w:t xml:space="preserve"> </w:t>
      </w:r>
      <w:r w:rsidRPr="008634D0">
        <w:t>as</w:t>
      </w:r>
      <w:r w:rsidR="006C6F09">
        <w:t xml:space="preserve"> </w:t>
      </w:r>
      <w:r w:rsidRPr="008634D0">
        <w:t>areas</w:t>
      </w:r>
      <w:r w:rsidR="006C6F09">
        <w:t xml:space="preserve"> </w:t>
      </w:r>
      <w:r w:rsidRPr="008634D0">
        <w:t>to</w:t>
      </w:r>
      <w:r w:rsidR="006C6F09">
        <w:t xml:space="preserve"> </w:t>
      </w:r>
      <w:r w:rsidRPr="008634D0">
        <w:t>review</w:t>
      </w:r>
      <w:r w:rsidR="006C6F09">
        <w:t xml:space="preserve"> </w:t>
      </w:r>
      <w:r w:rsidRPr="008634D0">
        <w:t>project</w:t>
      </w:r>
      <w:r w:rsidR="006C6F09">
        <w:t xml:space="preserve"> </w:t>
      </w:r>
      <w:r w:rsidRPr="008634D0">
        <w:t>documentation.</w:t>
      </w:r>
      <w:r w:rsidR="006C6F09">
        <w:t xml:space="preserve"> </w:t>
      </w:r>
      <w:r w:rsidRPr="008634D0">
        <w:t>Project</w:t>
      </w:r>
      <w:r w:rsidR="006C6F09">
        <w:t xml:space="preserve"> </w:t>
      </w:r>
      <w:r w:rsidRPr="008634D0">
        <w:t>materials,</w:t>
      </w:r>
      <w:r w:rsidR="006C6F09">
        <w:t xml:space="preserve"> </w:t>
      </w:r>
      <w:r w:rsidRPr="008634D0">
        <w:t>including</w:t>
      </w:r>
      <w:r w:rsidR="006C6F09">
        <w:t xml:space="preserve"> </w:t>
      </w:r>
      <w:r w:rsidRPr="008634D0">
        <w:t>the</w:t>
      </w:r>
      <w:r w:rsidR="006C6F09">
        <w:t xml:space="preserve"> </w:t>
      </w:r>
      <w:r w:rsidRPr="008634D0">
        <w:t>draft</w:t>
      </w:r>
      <w:r w:rsidR="006C6F09">
        <w:t xml:space="preserve"> </w:t>
      </w:r>
      <w:r w:rsidRPr="008634D0">
        <w:t>EA</w:t>
      </w:r>
      <w:r w:rsidR="006C6F09">
        <w:t xml:space="preserve"> </w:t>
      </w:r>
      <w:r w:rsidRPr="008634D0">
        <w:t>for</w:t>
      </w:r>
      <w:r w:rsidR="006C6F09">
        <w:t xml:space="preserve"> </w:t>
      </w:r>
      <w:r w:rsidRPr="008634D0">
        <w:t>EA</w:t>
      </w:r>
      <w:r w:rsidR="006C6F09">
        <w:t xml:space="preserve"> </w:t>
      </w:r>
      <w:r w:rsidRPr="008634D0">
        <w:t>projects,</w:t>
      </w:r>
      <w:r w:rsidR="006C6F09">
        <w:t xml:space="preserve"> </w:t>
      </w:r>
      <w:r w:rsidRPr="008634D0">
        <w:t>must</w:t>
      </w:r>
      <w:r w:rsidR="006C6F09">
        <w:t xml:space="preserve"> </w:t>
      </w:r>
      <w:r w:rsidRPr="008634D0">
        <w:t>be</w:t>
      </w:r>
      <w:r w:rsidR="006C6F09">
        <w:t xml:space="preserve"> </w:t>
      </w:r>
      <w:r w:rsidRPr="008634D0">
        <w:t>made</w:t>
      </w:r>
      <w:r w:rsidR="006C6F09">
        <w:t xml:space="preserve"> </w:t>
      </w:r>
      <w:r w:rsidRPr="008634D0">
        <w:t>available</w:t>
      </w:r>
      <w:r w:rsidR="006C6F09">
        <w:t xml:space="preserve"> </w:t>
      </w:r>
      <w:r w:rsidRPr="008634D0">
        <w:t>on</w:t>
      </w:r>
      <w:r w:rsidR="006C6F09">
        <w:t xml:space="preserve"> </w:t>
      </w:r>
      <w:r w:rsidRPr="008634D0">
        <w:t>a</w:t>
      </w:r>
      <w:r w:rsidR="006C6F09">
        <w:t xml:space="preserve"> </w:t>
      </w:r>
      <w:r w:rsidRPr="008634D0">
        <w:t>TxDOT</w:t>
      </w:r>
      <w:r w:rsidR="006C6F09">
        <w:t xml:space="preserve"> </w:t>
      </w:r>
      <w:r w:rsidRPr="008634D0">
        <w:t>website,</w:t>
      </w:r>
      <w:r w:rsidR="006C6F09">
        <w:t xml:space="preserve"> </w:t>
      </w:r>
      <w:r w:rsidRPr="008634D0">
        <w:t>and</w:t>
      </w:r>
      <w:r w:rsidR="006C6F09">
        <w:t xml:space="preserve"> </w:t>
      </w:r>
      <w:r w:rsidRPr="008634D0">
        <w:t>the</w:t>
      </w:r>
      <w:r w:rsidR="006C6F09">
        <w:t xml:space="preserve"> </w:t>
      </w:r>
      <w:r w:rsidRPr="008634D0">
        <w:t>link</w:t>
      </w:r>
      <w:r w:rsidR="006C6F09">
        <w:t xml:space="preserve"> </w:t>
      </w:r>
      <w:r w:rsidRPr="008634D0">
        <w:t>must</w:t>
      </w:r>
      <w:r w:rsidR="006C6F09">
        <w:t xml:space="preserve"> </w:t>
      </w:r>
      <w:r w:rsidRPr="008634D0">
        <w:t>be</w:t>
      </w:r>
      <w:r w:rsidR="006C6F09">
        <w:t xml:space="preserve"> </w:t>
      </w:r>
      <w:r w:rsidRPr="008634D0">
        <w:t>included.</w:t>
      </w:r>
    </w:p>
    <w:p w14:paraId="26305FB8" w14:textId="59264F44" w:rsidR="00457754" w:rsidRPr="00A16781" w:rsidRDefault="00457754" w:rsidP="00457754">
      <w:pPr>
        <w:pStyle w:val="ListBullet"/>
      </w:pPr>
      <w:r w:rsidRPr="00A16781">
        <w:t>Include</w:t>
      </w:r>
      <w:r w:rsidR="006C6F09">
        <w:t xml:space="preserve"> </w:t>
      </w:r>
      <w:r w:rsidRPr="00A16781">
        <w:t>a</w:t>
      </w:r>
      <w:r w:rsidR="006C6F09">
        <w:t xml:space="preserve"> </w:t>
      </w:r>
      <w:r w:rsidRPr="00A16781">
        <w:t>statement</w:t>
      </w:r>
      <w:r w:rsidR="006C6F09">
        <w:t xml:space="preserve"> </w:t>
      </w:r>
      <w:r w:rsidRPr="00A16781">
        <w:t>concerning</w:t>
      </w:r>
      <w:r w:rsidR="006C6F09">
        <w:t xml:space="preserve"> </w:t>
      </w:r>
      <w:r w:rsidRPr="00A16781">
        <w:t>the</w:t>
      </w:r>
      <w:r w:rsidR="006C6F09">
        <w:t xml:space="preserve"> </w:t>
      </w:r>
      <w:r w:rsidRPr="00A16781">
        <w:t>potential</w:t>
      </w:r>
      <w:r w:rsidR="006C6F09">
        <w:t xml:space="preserve"> </w:t>
      </w:r>
      <w:r w:rsidRPr="00A16781">
        <w:t>for</w:t>
      </w:r>
      <w:r w:rsidR="006C6F09">
        <w:t xml:space="preserve"> </w:t>
      </w:r>
      <w:r w:rsidRPr="00A16781">
        <w:t>displaced</w:t>
      </w:r>
      <w:r w:rsidR="006C6F09">
        <w:t xml:space="preserve"> </w:t>
      </w:r>
      <w:r w:rsidRPr="00A16781">
        <w:t>residential</w:t>
      </w:r>
      <w:r w:rsidR="006C6F09">
        <w:t xml:space="preserve"> </w:t>
      </w:r>
      <w:proofErr w:type="gramStart"/>
      <w:r w:rsidRPr="00A16781">
        <w:t>and</w:t>
      </w:r>
      <w:r w:rsidR="006C6F09">
        <w:t xml:space="preserve"> </w:t>
      </w:r>
      <w:r w:rsidRPr="00A16781">
        <w:t>or</w:t>
      </w:r>
      <w:proofErr w:type="gramEnd"/>
      <w:r w:rsidR="006C6F09">
        <w:t xml:space="preserve"> </w:t>
      </w:r>
      <w:r w:rsidRPr="00A16781">
        <w:t>non</w:t>
      </w:r>
      <w:r>
        <w:t>r</w:t>
      </w:r>
      <w:r w:rsidRPr="00A16781">
        <w:t>esidential</w:t>
      </w:r>
      <w:r w:rsidR="006C6F09">
        <w:t xml:space="preserve"> </w:t>
      </w:r>
      <w:r w:rsidRPr="00A16781">
        <w:t>structures</w:t>
      </w:r>
      <w:r w:rsidR="006C6F09">
        <w:t xml:space="preserve"> </w:t>
      </w:r>
      <w:r w:rsidRPr="00A16781">
        <w:t>and</w:t>
      </w:r>
      <w:r w:rsidR="006C6F09">
        <w:t xml:space="preserve"> </w:t>
      </w:r>
      <w:r w:rsidRPr="00A16781">
        <w:t>the</w:t>
      </w:r>
      <w:r w:rsidR="006C6F09">
        <w:t xml:space="preserve"> </w:t>
      </w:r>
      <w:r w:rsidRPr="00A16781">
        <w:t>availability</w:t>
      </w:r>
      <w:r w:rsidR="006C6F09">
        <w:t xml:space="preserve"> </w:t>
      </w:r>
      <w:r w:rsidRPr="00A16781">
        <w:t>of</w:t>
      </w:r>
      <w:r w:rsidR="006C6F09">
        <w:t xml:space="preserve"> </w:t>
      </w:r>
      <w:r w:rsidRPr="00A16781">
        <w:t>relocation</w:t>
      </w:r>
      <w:r w:rsidR="006C6F09">
        <w:t xml:space="preserve"> </w:t>
      </w:r>
      <w:r w:rsidRPr="00A16781">
        <w:t>assistance</w:t>
      </w:r>
      <w:r w:rsidR="006C6F09">
        <w:t xml:space="preserve"> </w:t>
      </w:r>
      <w:r w:rsidRPr="00A16781">
        <w:t>for</w:t>
      </w:r>
      <w:r w:rsidR="006C6F09">
        <w:t xml:space="preserve"> </w:t>
      </w:r>
      <w:r w:rsidRPr="00A16781">
        <w:t>businesses</w:t>
      </w:r>
      <w:r w:rsidR="006C6F09">
        <w:t xml:space="preserve"> </w:t>
      </w:r>
      <w:r w:rsidRPr="00A16781">
        <w:t>and</w:t>
      </w:r>
      <w:r w:rsidR="006C6F09">
        <w:t xml:space="preserve"> </w:t>
      </w:r>
      <w:r w:rsidRPr="00A16781">
        <w:t>persons</w:t>
      </w:r>
      <w:r w:rsidR="006C6F09">
        <w:t xml:space="preserve"> </w:t>
      </w:r>
      <w:r w:rsidRPr="00A16781">
        <w:t>displaced.</w:t>
      </w:r>
    </w:p>
    <w:p w14:paraId="28D4EDF6" w14:textId="263F6BA0" w:rsidR="00457754" w:rsidRPr="00A16781" w:rsidRDefault="00457754" w:rsidP="00457754">
      <w:pPr>
        <w:pStyle w:val="ListBullet"/>
      </w:pPr>
      <w:r w:rsidRPr="00A16781">
        <w:t>If</w:t>
      </w:r>
      <w:r w:rsidR="006C6F09">
        <w:t xml:space="preserve"> </w:t>
      </w:r>
      <w:r w:rsidRPr="00A16781">
        <w:t>relocations</w:t>
      </w:r>
      <w:r w:rsidR="006C6F09">
        <w:t xml:space="preserve"> </w:t>
      </w:r>
      <w:r w:rsidRPr="00A16781">
        <w:t>are</w:t>
      </w:r>
      <w:r w:rsidR="006C6F09">
        <w:t xml:space="preserve"> </w:t>
      </w:r>
      <w:r w:rsidRPr="00A16781">
        <w:t>involved,</w:t>
      </w:r>
      <w:r w:rsidR="006C6F09">
        <w:t xml:space="preserve"> </w:t>
      </w:r>
      <w:r w:rsidRPr="00A16781">
        <w:t>include</w:t>
      </w:r>
      <w:r w:rsidR="006C6F09">
        <w:t xml:space="preserve"> </w:t>
      </w:r>
      <w:r w:rsidRPr="00A16781">
        <w:t>a</w:t>
      </w:r>
      <w:r w:rsidR="006C6F09">
        <w:t xml:space="preserve"> </w:t>
      </w:r>
      <w:r w:rsidRPr="00A16781">
        <w:t>statement</w:t>
      </w:r>
      <w:r w:rsidR="006C6F09">
        <w:t xml:space="preserve"> </w:t>
      </w:r>
      <w:r w:rsidRPr="00A16781">
        <w:t>that</w:t>
      </w:r>
      <w:r w:rsidR="006C6F09">
        <w:t xml:space="preserve"> </w:t>
      </w:r>
      <w:r w:rsidRPr="00A16781">
        <w:t>provides</w:t>
      </w:r>
      <w:r w:rsidR="006C6F09">
        <w:t xml:space="preserve"> </w:t>
      </w:r>
      <w:r w:rsidRPr="00A16781">
        <w:t>information</w:t>
      </w:r>
      <w:r w:rsidR="006C6F09">
        <w:t xml:space="preserve"> </w:t>
      </w:r>
      <w:r w:rsidRPr="00A16781">
        <w:t>regarding</w:t>
      </w:r>
      <w:r w:rsidR="006C6F09">
        <w:t xml:space="preserve"> </w:t>
      </w:r>
      <w:r w:rsidRPr="00A16781">
        <w:t>the</w:t>
      </w:r>
      <w:r w:rsidR="006C6F09">
        <w:t xml:space="preserve"> </w:t>
      </w:r>
      <w:r w:rsidRPr="00A16781">
        <w:t>TxDOT</w:t>
      </w:r>
      <w:r w:rsidR="006C6F09">
        <w:t xml:space="preserve"> </w:t>
      </w:r>
      <w:r w:rsidRPr="00A16781">
        <w:t>Relocation</w:t>
      </w:r>
      <w:r w:rsidR="006C6F09">
        <w:t xml:space="preserve"> </w:t>
      </w:r>
      <w:r w:rsidRPr="00A16781">
        <w:t>Assistance</w:t>
      </w:r>
      <w:r w:rsidR="006C6F09">
        <w:t xml:space="preserve"> </w:t>
      </w:r>
      <w:r w:rsidRPr="00A16781">
        <w:t>Program,</w:t>
      </w:r>
      <w:r w:rsidR="006C6F09">
        <w:t xml:space="preserve"> </w:t>
      </w:r>
      <w:r w:rsidRPr="00A16781">
        <w:t>benefits</w:t>
      </w:r>
      <w:r w:rsidR="006C6F09">
        <w:t xml:space="preserve"> </w:t>
      </w:r>
      <w:r w:rsidRPr="00A16781">
        <w:t>and</w:t>
      </w:r>
      <w:r w:rsidR="006C6F09">
        <w:t xml:space="preserve"> </w:t>
      </w:r>
      <w:r w:rsidRPr="00A16781">
        <w:t>services</w:t>
      </w:r>
      <w:r w:rsidR="006C6F09">
        <w:t xml:space="preserve"> </w:t>
      </w:r>
      <w:r w:rsidRPr="00A16781">
        <w:t>for</w:t>
      </w:r>
      <w:r w:rsidR="006C6F09">
        <w:t xml:space="preserve"> </w:t>
      </w:r>
      <w:r w:rsidRPr="00A16781">
        <w:t>displaced</w:t>
      </w:r>
      <w:r w:rsidR="006C6F09">
        <w:t xml:space="preserve"> </w:t>
      </w:r>
      <w:r w:rsidRPr="00A16781">
        <w:t>businesses</w:t>
      </w:r>
      <w:r w:rsidR="006C6F09">
        <w:t xml:space="preserve"> </w:t>
      </w:r>
      <w:r w:rsidRPr="00A16781">
        <w:t>and</w:t>
      </w:r>
      <w:r w:rsidR="006C6F09">
        <w:t xml:space="preserve"> </w:t>
      </w:r>
      <w:r w:rsidRPr="00A16781">
        <w:t>persons,</w:t>
      </w:r>
      <w:r w:rsidR="006C6F09">
        <w:t xml:space="preserve"> </w:t>
      </w:r>
      <w:r w:rsidRPr="00A16781">
        <w:t>and</w:t>
      </w:r>
      <w:r w:rsidR="006C6F09">
        <w:t xml:space="preserve"> </w:t>
      </w:r>
      <w:r w:rsidRPr="00A16781">
        <w:t>information</w:t>
      </w:r>
      <w:r w:rsidR="006C6F09">
        <w:t xml:space="preserve"> </w:t>
      </w:r>
      <w:r w:rsidRPr="00A16781">
        <w:t>about</w:t>
      </w:r>
      <w:r w:rsidR="006C6F09">
        <w:t xml:space="preserve"> </w:t>
      </w:r>
      <w:r w:rsidRPr="00A16781">
        <w:t>the</w:t>
      </w:r>
      <w:r w:rsidR="006C6F09">
        <w:t xml:space="preserve"> </w:t>
      </w:r>
      <w:r w:rsidRPr="00A16781">
        <w:t>relocation</w:t>
      </w:r>
      <w:r w:rsidR="006C6F09">
        <w:t xml:space="preserve"> </w:t>
      </w:r>
      <w:r w:rsidRPr="00A16781">
        <w:t>assistance</w:t>
      </w:r>
      <w:r w:rsidR="006C6F09">
        <w:t xml:space="preserve"> </w:t>
      </w:r>
      <w:r w:rsidRPr="00A16781">
        <w:t>office.</w:t>
      </w:r>
      <w:r w:rsidR="006C6F09">
        <w:t xml:space="preserve"> </w:t>
      </w:r>
      <w:r w:rsidRPr="00A16781">
        <w:t>Include</w:t>
      </w:r>
      <w:r w:rsidR="006C6F09">
        <w:t xml:space="preserve"> </w:t>
      </w:r>
      <w:r w:rsidRPr="00A16781">
        <w:t>information</w:t>
      </w:r>
      <w:r w:rsidR="006C6F09">
        <w:t xml:space="preserve"> </w:t>
      </w:r>
      <w:r w:rsidRPr="00A16781">
        <w:t>that</w:t>
      </w:r>
      <w:r w:rsidR="006C6F09">
        <w:t xml:space="preserve"> </w:t>
      </w:r>
      <w:r w:rsidRPr="00A16781">
        <w:t>the</w:t>
      </w:r>
      <w:r w:rsidR="006C6F09">
        <w:t xml:space="preserve"> </w:t>
      </w:r>
      <w:r w:rsidRPr="00A16781">
        <w:t>tentative</w:t>
      </w:r>
      <w:r w:rsidR="006C6F09">
        <w:t xml:space="preserve"> </w:t>
      </w:r>
      <w:r w:rsidRPr="00A16781">
        <w:t>schedule</w:t>
      </w:r>
      <w:r w:rsidR="006C6F09">
        <w:t xml:space="preserve"> </w:t>
      </w:r>
      <w:r w:rsidRPr="00A16781">
        <w:t>for</w:t>
      </w:r>
      <w:r w:rsidR="006C6F09">
        <w:t xml:space="preserve"> </w:t>
      </w:r>
      <w:r w:rsidRPr="00A16781">
        <w:t>ROW</w:t>
      </w:r>
      <w:r w:rsidR="006C6F09">
        <w:t xml:space="preserve"> </w:t>
      </w:r>
      <w:r w:rsidRPr="00A16781">
        <w:t>acquisition</w:t>
      </w:r>
      <w:r w:rsidR="006C6F09">
        <w:t xml:space="preserve"> </w:t>
      </w:r>
      <w:r w:rsidRPr="00A16781">
        <w:t>can</w:t>
      </w:r>
      <w:r w:rsidR="006C6F09">
        <w:t xml:space="preserve"> </w:t>
      </w:r>
      <w:r w:rsidRPr="00A16781">
        <w:t>be</w:t>
      </w:r>
      <w:r w:rsidR="006C6F09">
        <w:t xml:space="preserve"> </w:t>
      </w:r>
      <w:r w:rsidRPr="00A16781">
        <w:t>obtained</w:t>
      </w:r>
      <w:r w:rsidR="006C6F09">
        <w:t xml:space="preserve"> </w:t>
      </w:r>
      <w:r w:rsidRPr="00A16781">
        <w:t>from</w:t>
      </w:r>
      <w:r w:rsidR="006C6F09">
        <w:t xml:space="preserve"> </w:t>
      </w:r>
      <w:r w:rsidRPr="00A16781">
        <w:t>the</w:t>
      </w:r>
      <w:r w:rsidR="006C6F09">
        <w:t xml:space="preserve"> </w:t>
      </w:r>
      <w:r w:rsidRPr="00A16781">
        <w:t>district</w:t>
      </w:r>
      <w:r w:rsidR="006C6F09">
        <w:t xml:space="preserve"> </w:t>
      </w:r>
      <w:r w:rsidRPr="00A16781">
        <w:t>and</w:t>
      </w:r>
      <w:r w:rsidR="006C6F09">
        <w:t xml:space="preserve"> </w:t>
      </w:r>
      <w:proofErr w:type="gramStart"/>
      <w:r w:rsidRPr="00A16781">
        <w:t>or</w:t>
      </w:r>
      <w:proofErr w:type="gramEnd"/>
      <w:r w:rsidR="006C6F09">
        <w:t xml:space="preserve"> </w:t>
      </w:r>
      <w:r w:rsidRPr="00A16781">
        <w:t>area</w:t>
      </w:r>
      <w:r w:rsidR="006C6F09">
        <w:t xml:space="preserve"> </w:t>
      </w:r>
      <w:r w:rsidRPr="00A16781">
        <w:t>office.</w:t>
      </w:r>
    </w:p>
    <w:p w14:paraId="0BB9C139" w14:textId="621293FF" w:rsidR="00457754" w:rsidRPr="00A16781" w:rsidRDefault="00457754" w:rsidP="00457754">
      <w:pPr>
        <w:pStyle w:val="ListBullet"/>
      </w:pPr>
      <w:r w:rsidRPr="00A16781">
        <w:t>If</w:t>
      </w:r>
      <w:r w:rsidR="006C6F09">
        <w:t xml:space="preserve"> </w:t>
      </w:r>
      <w:r w:rsidRPr="00A16781">
        <w:t>relocations</w:t>
      </w:r>
      <w:r w:rsidR="006C6F09">
        <w:t xml:space="preserve"> </w:t>
      </w:r>
      <w:r w:rsidRPr="00A16781">
        <w:t>are</w:t>
      </w:r>
      <w:r w:rsidR="006C6F09">
        <w:t xml:space="preserve"> </w:t>
      </w:r>
      <w:r w:rsidRPr="00A16781">
        <w:t>not</w:t>
      </w:r>
      <w:r w:rsidR="006C6F09">
        <w:t xml:space="preserve"> </w:t>
      </w:r>
      <w:r w:rsidRPr="00A16781">
        <w:t>involved</w:t>
      </w:r>
      <w:r w:rsidR="006C6F09">
        <w:t xml:space="preserve"> </w:t>
      </w:r>
      <w:r w:rsidRPr="00A16781">
        <w:t>but</w:t>
      </w:r>
      <w:r w:rsidR="006C6F09">
        <w:t xml:space="preserve"> </w:t>
      </w:r>
      <w:r w:rsidRPr="00A16781">
        <w:t>additional</w:t>
      </w:r>
      <w:r w:rsidR="006C6F09">
        <w:t xml:space="preserve"> </w:t>
      </w:r>
      <w:r w:rsidRPr="00A16781">
        <w:t>ROW</w:t>
      </w:r>
      <w:r w:rsidR="006C6F09">
        <w:t xml:space="preserve"> </w:t>
      </w:r>
      <w:r w:rsidRPr="00A16781">
        <w:t>is</w:t>
      </w:r>
      <w:r w:rsidR="006C6F09">
        <w:t xml:space="preserve"> </w:t>
      </w:r>
      <w:r w:rsidRPr="00A16781">
        <w:t>required,</w:t>
      </w:r>
      <w:r w:rsidR="006C6F09">
        <w:t xml:space="preserve"> </w:t>
      </w:r>
      <w:r w:rsidRPr="00A16781">
        <w:t>include</w:t>
      </w:r>
      <w:r w:rsidR="006C6F09">
        <w:t xml:space="preserve"> </w:t>
      </w:r>
      <w:r w:rsidRPr="00A16781">
        <w:t>a</w:t>
      </w:r>
      <w:r w:rsidR="006C6F09">
        <w:t xml:space="preserve"> </w:t>
      </w:r>
      <w:r w:rsidRPr="00A16781">
        <w:t>statement</w:t>
      </w:r>
      <w:r w:rsidR="006C6F09">
        <w:t xml:space="preserve"> </w:t>
      </w:r>
      <w:r w:rsidRPr="00A16781">
        <w:t>to</w:t>
      </w:r>
      <w:r w:rsidR="006C6F09">
        <w:t xml:space="preserve"> </w:t>
      </w:r>
      <w:r w:rsidRPr="00A16781">
        <w:t>that</w:t>
      </w:r>
      <w:r w:rsidR="006C6F09">
        <w:t xml:space="preserve"> </w:t>
      </w:r>
      <w:r w:rsidRPr="00A16781">
        <w:t>effect</w:t>
      </w:r>
      <w:r w:rsidR="006C6F09">
        <w:t xml:space="preserve"> </w:t>
      </w:r>
      <w:r w:rsidRPr="00A16781">
        <w:t>and</w:t>
      </w:r>
      <w:r w:rsidR="006C6F09">
        <w:t xml:space="preserve"> </w:t>
      </w:r>
      <w:r w:rsidRPr="00A16781">
        <w:t>the</w:t>
      </w:r>
      <w:r w:rsidR="006C6F09">
        <w:t xml:space="preserve"> </w:t>
      </w:r>
      <w:r w:rsidRPr="00A16781">
        <w:t>following</w:t>
      </w:r>
      <w:r w:rsidR="006C6F09">
        <w:t xml:space="preserve"> </w:t>
      </w:r>
      <w:r w:rsidRPr="00A16781">
        <w:t>language.</w:t>
      </w:r>
      <w:r w:rsidR="006C6F09">
        <w:t xml:space="preserve"> </w:t>
      </w:r>
    </w:p>
    <w:p w14:paraId="70366CCA" w14:textId="6B759583" w:rsidR="00457754" w:rsidRPr="007B6D5C" w:rsidRDefault="00135456" w:rsidP="00457754">
      <w:pPr>
        <w:pStyle w:val="ListBullet"/>
        <w:numPr>
          <w:ilvl w:val="0"/>
          <w:numId w:val="0"/>
        </w:numPr>
        <w:spacing w:before="240"/>
        <w:ind w:left="360" w:hanging="360"/>
        <w:rPr>
          <w:i/>
          <w:iCs/>
        </w:rPr>
      </w:pPr>
      <w:r>
        <w:rPr>
          <w:i/>
          <w:iCs/>
        </w:rPr>
        <w:t xml:space="preserve">  </w:t>
      </w:r>
      <w:r w:rsidR="00457754" w:rsidRPr="007B6D5C">
        <w:rPr>
          <w:i/>
          <w:iCs/>
        </w:rPr>
        <w:t>Although</w:t>
      </w:r>
      <w:r w:rsidR="006C6F09">
        <w:rPr>
          <w:i/>
          <w:iCs/>
        </w:rPr>
        <w:t xml:space="preserve"> </w:t>
      </w:r>
      <w:r w:rsidR="00457754" w:rsidRPr="007B6D5C">
        <w:rPr>
          <w:i/>
          <w:iCs/>
        </w:rPr>
        <w:t>additional</w:t>
      </w:r>
      <w:r w:rsidR="006C6F09">
        <w:rPr>
          <w:i/>
          <w:iCs/>
        </w:rPr>
        <w:t xml:space="preserve"> </w:t>
      </w:r>
      <w:r w:rsidR="00457754" w:rsidRPr="007B6D5C">
        <w:rPr>
          <w:i/>
          <w:iCs/>
        </w:rPr>
        <w:t>right-of-way</w:t>
      </w:r>
      <w:r w:rsidR="006C6F09">
        <w:rPr>
          <w:i/>
          <w:iCs/>
        </w:rPr>
        <w:t xml:space="preserve"> </w:t>
      </w:r>
      <w:r w:rsidR="00457754" w:rsidRPr="007B6D5C">
        <w:rPr>
          <w:i/>
          <w:iCs/>
        </w:rPr>
        <w:t>is</w:t>
      </w:r>
      <w:r w:rsidR="006C6F09">
        <w:rPr>
          <w:i/>
          <w:iCs/>
        </w:rPr>
        <w:t xml:space="preserve"> </w:t>
      </w:r>
      <w:r w:rsidR="00457754" w:rsidRPr="007B6D5C">
        <w:rPr>
          <w:i/>
          <w:iCs/>
        </w:rPr>
        <w:t>required,</w:t>
      </w:r>
      <w:r w:rsidR="006C6F09">
        <w:rPr>
          <w:i/>
          <w:iCs/>
        </w:rPr>
        <w:t xml:space="preserve"> </w:t>
      </w:r>
      <w:r w:rsidR="00457754" w:rsidRPr="007B6D5C">
        <w:rPr>
          <w:i/>
          <w:iCs/>
        </w:rPr>
        <w:t>no</w:t>
      </w:r>
      <w:r w:rsidR="006C6F09">
        <w:rPr>
          <w:i/>
          <w:iCs/>
        </w:rPr>
        <w:t xml:space="preserve"> </w:t>
      </w:r>
      <w:r w:rsidR="00457754" w:rsidRPr="007B6D5C">
        <w:rPr>
          <w:i/>
          <w:iCs/>
        </w:rPr>
        <w:t>residential</w:t>
      </w:r>
      <w:r w:rsidR="006C6F09">
        <w:rPr>
          <w:i/>
          <w:iCs/>
        </w:rPr>
        <w:t xml:space="preserve"> </w:t>
      </w:r>
      <w:r w:rsidR="00457754" w:rsidRPr="007B6D5C">
        <w:rPr>
          <w:i/>
          <w:iCs/>
        </w:rPr>
        <w:t>or</w:t>
      </w:r>
      <w:r w:rsidR="006C6F09">
        <w:rPr>
          <w:i/>
          <w:iCs/>
        </w:rPr>
        <w:t xml:space="preserve"> </w:t>
      </w:r>
      <w:r w:rsidR="00457754" w:rsidRPr="007B6D5C">
        <w:rPr>
          <w:i/>
          <w:iCs/>
        </w:rPr>
        <w:t>non-residential</w:t>
      </w:r>
      <w:r w:rsidR="006C6F09">
        <w:rPr>
          <w:i/>
          <w:iCs/>
        </w:rPr>
        <w:t xml:space="preserve"> </w:t>
      </w:r>
      <w:r w:rsidR="00457754" w:rsidRPr="007B6D5C">
        <w:rPr>
          <w:i/>
          <w:iCs/>
        </w:rPr>
        <w:t>structures</w:t>
      </w:r>
      <w:r w:rsidR="006C6F09">
        <w:rPr>
          <w:i/>
          <w:iCs/>
        </w:rPr>
        <w:t xml:space="preserve"> </w:t>
      </w:r>
      <w:r w:rsidR="00457754" w:rsidRPr="007B6D5C">
        <w:rPr>
          <w:i/>
          <w:iCs/>
        </w:rPr>
        <w:t>would</w:t>
      </w:r>
      <w:r w:rsidR="006C6F09">
        <w:rPr>
          <w:i/>
          <w:iCs/>
        </w:rPr>
        <w:t xml:space="preserve"> </w:t>
      </w:r>
      <w:r w:rsidR="00457754" w:rsidRPr="007B6D5C">
        <w:rPr>
          <w:i/>
          <w:iCs/>
        </w:rPr>
        <w:t>be</w:t>
      </w:r>
      <w:r w:rsidR="006C6F09">
        <w:rPr>
          <w:i/>
          <w:iCs/>
        </w:rPr>
        <w:t xml:space="preserve"> </w:t>
      </w:r>
      <w:r w:rsidR="00457754" w:rsidRPr="007B6D5C">
        <w:rPr>
          <w:i/>
          <w:iCs/>
        </w:rPr>
        <w:t>displaced.</w:t>
      </w:r>
      <w:r w:rsidR="006C6F09">
        <w:rPr>
          <w:i/>
          <w:iCs/>
        </w:rPr>
        <w:t xml:space="preserve"> </w:t>
      </w:r>
      <w:r w:rsidR="00457754" w:rsidRPr="007B6D5C">
        <w:rPr>
          <w:i/>
          <w:iCs/>
        </w:rPr>
        <w:t>Information</w:t>
      </w:r>
      <w:r w:rsidR="006C6F09">
        <w:rPr>
          <w:i/>
          <w:iCs/>
        </w:rPr>
        <w:t xml:space="preserve"> </w:t>
      </w:r>
      <w:r w:rsidR="00457754" w:rsidRPr="007B6D5C">
        <w:rPr>
          <w:i/>
          <w:iCs/>
        </w:rPr>
        <w:t>concerning</w:t>
      </w:r>
      <w:r w:rsidR="006C6F09">
        <w:rPr>
          <w:i/>
          <w:iCs/>
        </w:rPr>
        <w:t xml:space="preserve"> </w:t>
      </w:r>
      <w:r w:rsidR="00457754" w:rsidRPr="007B6D5C">
        <w:rPr>
          <w:i/>
          <w:iCs/>
        </w:rPr>
        <w:t>services</w:t>
      </w:r>
      <w:r w:rsidR="006C6F09">
        <w:rPr>
          <w:i/>
          <w:iCs/>
        </w:rPr>
        <w:t xml:space="preserve"> </w:t>
      </w:r>
      <w:r w:rsidR="00457754" w:rsidRPr="007B6D5C">
        <w:rPr>
          <w:i/>
          <w:iCs/>
        </w:rPr>
        <w:t>and</w:t>
      </w:r>
      <w:r w:rsidR="006C6F09">
        <w:rPr>
          <w:i/>
          <w:iCs/>
        </w:rPr>
        <w:t xml:space="preserve"> </w:t>
      </w:r>
      <w:r w:rsidR="00457754" w:rsidRPr="007B6D5C">
        <w:rPr>
          <w:i/>
          <w:iCs/>
        </w:rPr>
        <w:t>benefits</w:t>
      </w:r>
      <w:r w:rsidR="006C6F09">
        <w:rPr>
          <w:i/>
          <w:iCs/>
        </w:rPr>
        <w:t xml:space="preserve"> </w:t>
      </w:r>
      <w:r w:rsidR="00457754" w:rsidRPr="007B6D5C">
        <w:rPr>
          <w:i/>
          <w:iCs/>
        </w:rPr>
        <w:t>available</w:t>
      </w:r>
      <w:r w:rsidR="006C6F09">
        <w:rPr>
          <w:i/>
          <w:iCs/>
        </w:rPr>
        <w:t xml:space="preserve"> </w:t>
      </w:r>
      <w:r w:rsidR="00457754" w:rsidRPr="007B6D5C">
        <w:rPr>
          <w:i/>
          <w:iCs/>
        </w:rPr>
        <w:t>to</w:t>
      </w:r>
      <w:r w:rsidR="006C6F09">
        <w:rPr>
          <w:i/>
          <w:iCs/>
        </w:rPr>
        <w:t xml:space="preserve"> </w:t>
      </w:r>
      <w:r w:rsidR="00457754" w:rsidRPr="007B6D5C">
        <w:rPr>
          <w:i/>
          <w:iCs/>
        </w:rPr>
        <w:t>affected</w:t>
      </w:r>
      <w:r w:rsidR="006C6F09">
        <w:rPr>
          <w:i/>
          <w:iCs/>
        </w:rPr>
        <w:t xml:space="preserve"> </w:t>
      </w:r>
      <w:r w:rsidR="00457754" w:rsidRPr="007B6D5C">
        <w:rPr>
          <w:i/>
          <w:iCs/>
        </w:rPr>
        <w:t>property</w:t>
      </w:r>
      <w:r w:rsidR="006C6F09">
        <w:rPr>
          <w:i/>
          <w:iCs/>
        </w:rPr>
        <w:t xml:space="preserve"> </w:t>
      </w:r>
      <w:r w:rsidR="00457754" w:rsidRPr="007B6D5C">
        <w:rPr>
          <w:i/>
          <w:iCs/>
        </w:rPr>
        <w:t>owners</w:t>
      </w:r>
      <w:r w:rsidR="006C6F09">
        <w:rPr>
          <w:i/>
          <w:iCs/>
        </w:rPr>
        <w:t xml:space="preserve"> </w:t>
      </w:r>
      <w:r w:rsidR="00457754" w:rsidRPr="007B6D5C">
        <w:rPr>
          <w:i/>
          <w:iCs/>
        </w:rPr>
        <w:t>and</w:t>
      </w:r>
      <w:r w:rsidR="006C6F09">
        <w:rPr>
          <w:i/>
          <w:iCs/>
        </w:rPr>
        <w:t xml:space="preserve"> </w:t>
      </w:r>
      <w:r w:rsidR="00457754" w:rsidRPr="007B6D5C">
        <w:rPr>
          <w:i/>
          <w:iCs/>
        </w:rPr>
        <w:t>information</w:t>
      </w:r>
      <w:r w:rsidR="006C6F09">
        <w:rPr>
          <w:i/>
          <w:iCs/>
        </w:rPr>
        <w:t xml:space="preserve"> </w:t>
      </w:r>
      <w:r w:rsidR="00457754" w:rsidRPr="007B6D5C">
        <w:rPr>
          <w:i/>
          <w:iCs/>
        </w:rPr>
        <w:t>about</w:t>
      </w:r>
      <w:r w:rsidR="006C6F09">
        <w:rPr>
          <w:i/>
          <w:iCs/>
        </w:rPr>
        <w:t xml:space="preserve"> </w:t>
      </w:r>
      <w:r w:rsidR="00457754" w:rsidRPr="007B6D5C">
        <w:rPr>
          <w:i/>
          <w:iCs/>
        </w:rPr>
        <w:t>the</w:t>
      </w:r>
      <w:r w:rsidR="006C6F09">
        <w:rPr>
          <w:i/>
          <w:iCs/>
        </w:rPr>
        <w:t xml:space="preserve"> </w:t>
      </w:r>
      <w:r w:rsidR="00457754" w:rsidRPr="007B6D5C">
        <w:rPr>
          <w:i/>
          <w:iCs/>
        </w:rPr>
        <w:t>tentative</w:t>
      </w:r>
      <w:r w:rsidR="006C6F09">
        <w:rPr>
          <w:i/>
          <w:iCs/>
        </w:rPr>
        <w:t xml:space="preserve"> </w:t>
      </w:r>
      <w:r w:rsidR="00457754" w:rsidRPr="007B6D5C">
        <w:rPr>
          <w:i/>
          <w:iCs/>
        </w:rPr>
        <w:t>schedule</w:t>
      </w:r>
      <w:r w:rsidR="006C6F09">
        <w:rPr>
          <w:i/>
          <w:iCs/>
        </w:rPr>
        <w:t xml:space="preserve"> </w:t>
      </w:r>
      <w:r w:rsidR="00457754" w:rsidRPr="007B6D5C">
        <w:rPr>
          <w:i/>
          <w:iCs/>
        </w:rPr>
        <w:t>for</w:t>
      </w:r>
      <w:r w:rsidR="006C6F09">
        <w:rPr>
          <w:i/>
          <w:iCs/>
        </w:rPr>
        <w:t xml:space="preserve"> </w:t>
      </w:r>
      <w:r w:rsidR="00457754" w:rsidRPr="007B6D5C">
        <w:rPr>
          <w:i/>
          <w:iCs/>
        </w:rPr>
        <w:t>right-of-way</w:t>
      </w:r>
      <w:r w:rsidR="006C6F09">
        <w:rPr>
          <w:i/>
          <w:iCs/>
        </w:rPr>
        <w:t xml:space="preserve"> </w:t>
      </w:r>
      <w:r w:rsidR="00457754" w:rsidRPr="007B6D5C">
        <w:rPr>
          <w:i/>
          <w:iCs/>
        </w:rPr>
        <w:t>acquisition</w:t>
      </w:r>
      <w:r w:rsidR="006C6F09">
        <w:rPr>
          <w:i/>
          <w:iCs/>
        </w:rPr>
        <w:t xml:space="preserve"> </w:t>
      </w:r>
      <w:r w:rsidR="00457754" w:rsidRPr="007B6D5C">
        <w:rPr>
          <w:i/>
          <w:iCs/>
        </w:rPr>
        <w:t>may</w:t>
      </w:r>
      <w:r w:rsidR="006C6F09">
        <w:rPr>
          <w:i/>
          <w:iCs/>
        </w:rPr>
        <w:t xml:space="preserve"> </w:t>
      </w:r>
      <w:r w:rsidR="00457754" w:rsidRPr="007B6D5C">
        <w:rPr>
          <w:i/>
          <w:iCs/>
        </w:rPr>
        <w:t>be</w:t>
      </w:r>
      <w:r w:rsidR="006C6F09">
        <w:rPr>
          <w:i/>
          <w:iCs/>
        </w:rPr>
        <w:t xml:space="preserve"> </w:t>
      </w:r>
      <w:r w:rsidR="00457754" w:rsidRPr="007B6D5C">
        <w:rPr>
          <w:i/>
          <w:iCs/>
        </w:rPr>
        <w:t>obtained</w:t>
      </w:r>
      <w:r w:rsidR="006C6F09">
        <w:rPr>
          <w:i/>
          <w:iCs/>
        </w:rPr>
        <w:t xml:space="preserve"> </w:t>
      </w:r>
      <w:r w:rsidR="00457754" w:rsidRPr="007B6D5C">
        <w:rPr>
          <w:i/>
          <w:iCs/>
        </w:rPr>
        <w:t>from</w:t>
      </w:r>
      <w:r w:rsidR="006C6F09">
        <w:rPr>
          <w:i/>
          <w:iCs/>
        </w:rPr>
        <w:t xml:space="preserve"> </w:t>
      </w:r>
      <w:r w:rsidR="00457754" w:rsidRPr="007B6D5C">
        <w:rPr>
          <w:i/>
          <w:iCs/>
        </w:rPr>
        <w:t>the</w:t>
      </w:r>
      <w:r w:rsidR="006C6F09">
        <w:rPr>
          <w:i/>
          <w:iCs/>
        </w:rPr>
        <w:t xml:space="preserve"> </w:t>
      </w:r>
      <w:r w:rsidR="00457754">
        <w:rPr>
          <w:i/>
          <w:iCs/>
        </w:rPr>
        <w:t>[</w:t>
      </w:r>
      <w:r w:rsidR="00457754" w:rsidRPr="007B6D5C">
        <w:rPr>
          <w:i/>
          <w:iCs/>
        </w:rPr>
        <w:t>district</w:t>
      </w:r>
      <w:r w:rsidR="006C6F09">
        <w:rPr>
          <w:i/>
          <w:iCs/>
        </w:rPr>
        <w:t xml:space="preserve"> </w:t>
      </w:r>
      <w:r w:rsidR="00457754" w:rsidRPr="007B6D5C">
        <w:rPr>
          <w:i/>
          <w:iCs/>
        </w:rPr>
        <w:t>and</w:t>
      </w:r>
      <w:r w:rsidR="006C6F09">
        <w:rPr>
          <w:i/>
          <w:iCs/>
        </w:rPr>
        <w:t xml:space="preserve"> </w:t>
      </w:r>
      <w:r w:rsidR="00457754" w:rsidRPr="007B6D5C">
        <w:rPr>
          <w:i/>
          <w:iCs/>
        </w:rPr>
        <w:t>or</w:t>
      </w:r>
      <w:r w:rsidR="006C6F09">
        <w:rPr>
          <w:i/>
          <w:iCs/>
        </w:rPr>
        <w:t xml:space="preserve"> </w:t>
      </w:r>
      <w:r w:rsidR="00457754" w:rsidRPr="007B6D5C">
        <w:rPr>
          <w:i/>
          <w:iCs/>
        </w:rPr>
        <w:t>area</w:t>
      </w:r>
      <w:r w:rsidR="00457754">
        <w:rPr>
          <w:i/>
          <w:iCs/>
        </w:rPr>
        <w:t>]</w:t>
      </w:r>
      <w:r w:rsidR="006C6F09">
        <w:rPr>
          <w:i/>
          <w:iCs/>
        </w:rPr>
        <w:t xml:space="preserve"> </w:t>
      </w:r>
      <w:r w:rsidR="00457754" w:rsidRPr="007B6D5C">
        <w:rPr>
          <w:i/>
          <w:iCs/>
        </w:rPr>
        <w:t>office.</w:t>
      </w:r>
      <w:r w:rsidR="006C6F09">
        <w:rPr>
          <w:i/>
          <w:iCs/>
        </w:rPr>
        <w:t xml:space="preserve"> </w:t>
      </w:r>
    </w:p>
    <w:p w14:paraId="72F86D5A" w14:textId="2F40E01F" w:rsidR="00457754" w:rsidRPr="005C2E44" w:rsidRDefault="00457754" w:rsidP="00457754">
      <w:pPr>
        <w:pStyle w:val="ListBullet"/>
      </w:pPr>
      <w:r w:rsidRPr="005C2E44">
        <w:t>If</w:t>
      </w:r>
      <w:r w:rsidR="006C6F09">
        <w:t xml:space="preserve"> </w:t>
      </w:r>
      <w:r w:rsidRPr="005C2E44">
        <w:t>the</w:t>
      </w:r>
      <w:r w:rsidR="006C6F09">
        <w:t xml:space="preserve"> </w:t>
      </w:r>
      <w:r w:rsidRPr="005C2E44">
        <w:t>project</w:t>
      </w:r>
      <w:r w:rsidR="006C6F09">
        <w:t xml:space="preserve"> </w:t>
      </w:r>
      <w:r w:rsidRPr="005C2E44">
        <w:t>is</w:t>
      </w:r>
      <w:r w:rsidR="006C6F09">
        <w:t xml:space="preserve"> </w:t>
      </w:r>
      <w:r w:rsidRPr="005C2E44">
        <w:t>a</w:t>
      </w:r>
      <w:r w:rsidR="006C6F09">
        <w:t xml:space="preserve"> </w:t>
      </w:r>
      <w:r w:rsidRPr="005C2E44">
        <w:t>federal</w:t>
      </w:r>
      <w:r w:rsidR="006C6F09">
        <w:t xml:space="preserve"> </w:t>
      </w:r>
      <w:r w:rsidRPr="005C2E44">
        <w:t>project</w:t>
      </w:r>
      <w:r w:rsidR="006C6F09">
        <w:t xml:space="preserve"> </w:t>
      </w:r>
      <w:r w:rsidRPr="005C2E44">
        <w:t>and</w:t>
      </w:r>
      <w:r w:rsidR="006C6F09">
        <w:t xml:space="preserve"> </w:t>
      </w:r>
      <w:r w:rsidRPr="005C2E44">
        <w:t>encroaches</w:t>
      </w:r>
      <w:r w:rsidR="006C6F09">
        <w:t xml:space="preserve"> </w:t>
      </w:r>
      <w:r w:rsidRPr="005C2E44">
        <w:t>on</w:t>
      </w:r>
      <w:r w:rsidR="006C6F09">
        <w:t xml:space="preserve"> </w:t>
      </w:r>
      <w:r w:rsidRPr="005C2E44">
        <w:t>a</w:t>
      </w:r>
      <w:r w:rsidR="006C6F09">
        <w:t xml:space="preserve"> </w:t>
      </w:r>
      <w:r w:rsidRPr="005C2E44">
        <w:t>floodplain,</w:t>
      </w:r>
      <w:r w:rsidR="006C6F09">
        <w:t xml:space="preserve"> </w:t>
      </w:r>
      <w:r w:rsidRPr="005C2E44">
        <w:t>wetland,</w:t>
      </w:r>
      <w:r w:rsidR="006C6F09">
        <w:t xml:space="preserve"> </w:t>
      </w:r>
      <w:r w:rsidRPr="005C2E44">
        <w:t>or</w:t>
      </w:r>
      <w:r w:rsidR="006C6F09">
        <w:t xml:space="preserve"> </w:t>
      </w:r>
      <w:r w:rsidRPr="005C2E44">
        <w:t>sole-source</w:t>
      </w:r>
      <w:r w:rsidR="006C6F09">
        <w:t xml:space="preserve"> </w:t>
      </w:r>
      <w:r w:rsidRPr="005C2E44">
        <w:t>aquifer</w:t>
      </w:r>
      <w:r w:rsidR="006C6F09">
        <w:t xml:space="preserve"> </w:t>
      </w:r>
      <w:r w:rsidRPr="005C2E44">
        <w:t>recharge</w:t>
      </w:r>
      <w:r w:rsidR="006C6F09">
        <w:t xml:space="preserve"> </w:t>
      </w:r>
      <w:r w:rsidRPr="005C2E44">
        <w:t>zone,</w:t>
      </w:r>
      <w:r w:rsidR="006C6F09">
        <w:t xml:space="preserve"> </w:t>
      </w:r>
      <w:r w:rsidRPr="005C2E44">
        <w:t>include</w:t>
      </w:r>
      <w:r w:rsidR="006C6F09">
        <w:t xml:space="preserve"> </w:t>
      </w:r>
      <w:r w:rsidRPr="005C2E44">
        <w:t>a</w:t>
      </w:r>
      <w:r w:rsidR="006C6F09">
        <w:t xml:space="preserve"> </w:t>
      </w:r>
      <w:r w:rsidRPr="005C2E44">
        <w:t>statement</w:t>
      </w:r>
      <w:r w:rsidR="006C6F09">
        <w:t xml:space="preserve"> </w:t>
      </w:r>
      <w:r w:rsidRPr="005C2E44">
        <w:t>to</w:t>
      </w:r>
      <w:r w:rsidR="006C6F09">
        <w:t xml:space="preserve"> </w:t>
      </w:r>
      <w:r w:rsidRPr="005C2E44">
        <w:t>that</w:t>
      </w:r>
      <w:r w:rsidR="006C6F09">
        <w:t xml:space="preserve"> </w:t>
      </w:r>
      <w:r w:rsidRPr="005C2E44">
        <w:t>effect</w:t>
      </w:r>
      <w:r w:rsidR="006C6F09">
        <w:t xml:space="preserve"> </w:t>
      </w:r>
      <w:r w:rsidRPr="005C2E44">
        <w:t>in</w:t>
      </w:r>
      <w:r w:rsidR="006C6F09">
        <w:t xml:space="preserve"> </w:t>
      </w:r>
      <w:r w:rsidRPr="005C2E44">
        <w:t>the</w:t>
      </w:r>
      <w:r w:rsidR="006C6F09">
        <w:t xml:space="preserve"> </w:t>
      </w:r>
      <w:r w:rsidRPr="005C2E44">
        <w:t>notice.</w:t>
      </w:r>
    </w:p>
    <w:p w14:paraId="3F880C28" w14:textId="5AE6AD84" w:rsidR="00457754" w:rsidRPr="005C2E44" w:rsidRDefault="00457754" w:rsidP="00457754">
      <w:pPr>
        <w:pStyle w:val="ListBullet"/>
      </w:pPr>
      <w:r w:rsidRPr="005C2E44">
        <w:t>Include</w:t>
      </w:r>
      <w:r w:rsidR="006C6F09">
        <w:t xml:space="preserve"> </w:t>
      </w:r>
      <w:r w:rsidRPr="005C2E44">
        <w:t>a</w:t>
      </w:r>
      <w:r w:rsidR="006C6F09">
        <w:t xml:space="preserve"> </w:t>
      </w:r>
      <w:r w:rsidRPr="005C2E44">
        <w:t>statement</w:t>
      </w:r>
      <w:r w:rsidR="006C6F09">
        <w:t xml:space="preserve"> </w:t>
      </w:r>
      <w:r w:rsidRPr="005C2E44">
        <w:t>that</w:t>
      </w:r>
      <w:r w:rsidR="006C6F09">
        <w:t xml:space="preserve"> </w:t>
      </w:r>
      <w:r w:rsidRPr="005C2E44">
        <w:t>the</w:t>
      </w:r>
      <w:r w:rsidR="006C6F09">
        <w:t xml:space="preserve"> </w:t>
      </w:r>
      <w:r w:rsidRPr="005C2E44">
        <w:t>tentative</w:t>
      </w:r>
      <w:r w:rsidR="006C6F09">
        <w:t xml:space="preserve"> </w:t>
      </w:r>
      <w:r w:rsidRPr="005C2E44">
        <w:t>construction</w:t>
      </w:r>
      <w:r w:rsidR="006C6F09">
        <w:t xml:space="preserve"> </w:t>
      </w:r>
      <w:r w:rsidRPr="005C2E44">
        <w:t>schedule</w:t>
      </w:r>
      <w:r w:rsidR="006C6F09">
        <w:t xml:space="preserve"> </w:t>
      </w:r>
      <w:r w:rsidRPr="005C2E44">
        <w:t>is</w:t>
      </w:r>
      <w:r w:rsidR="006C6F09">
        <w:t xml:space="preserve"> </w:t>
      </w:r>
      <w:r w:rsidRPr="005C2E44">
        <w:t>available</w:t>
      </w:r>
      <w:r w:rsidR="006C6F09">
        <w:t xml:space="preserve"> </w:t>
      </w:r>
      <w:r w:rsidRPr="005C2E44">
        <w:t>at</w:t>
      </w:r>
      <w:r w:rsidR="006C6F09">
        <w:t xml:space="preserve"> </w:t>
      </w:r>
      <w:r w:rsidRPr="005C2E44">
        <w:t>the</w:t>
      </w:r>
      <w:r w:rsidR="006C6F09">
        <w:t xml:space="preserve"> </w:t>
      </w:r>
      <w:r w:rsidRPr="005C2E44">
        <w:t>district</w:t>
      </w:r>
      <w:r w:rsidR="006C6F09">
        <w:t xml:space="preserve"> </w:t>
      </w:r>
      <w:r w:rsidRPr="005C2E44">
        <w:t>and</w:t>
      </w:r>
      <w:r w:rsidR="006C6F09">
        <w:t xml:space="preserve"> </w:t>
      </w:r>
      <w:proofErr w:type="gramStart"/>
      <w:r w:rsidRPr="005C2E44">
        <w:t>or</w:t>
      </w:r>
      <w:proofErr w:type="gramEnd"/>
      <w:r w:rsidR="006C6F09">
        <w:t xml:space="preserve"> </w:t>
      </w:r>
      <w:r w:rsidRPr="005C2E44">
        <w:t>area</w:t>
      </w:r>
      <w:r w:rsidR="006C6F09">
        <w:t xml:space="preserve"> </w:t>
      </w:r>
      <w:r w:rsidRPr="005C2E44">
        <w:t>office.</w:t>
      </w:r>
    </w:p>
    <w:p w14:paraId="61473B1D" w14:textId="1EF3368D" w:rsidR="00457754" w:rsidRPr="005C2E44" w:rsidRDefault="00457754" w:rsidP="00457754">
      <w:pPr>
        <w:pStyle w:val="ListBullet"/>
      </w:pPr>
      <w:r w:rsidRPr="005C2E44">
        <w:t>Include</w:t>
      </w:r>
      <w:r w:rsidR="006C6F09">
        <w:t xml:space="preserve"> </w:t>
      </w:r>
      <w:r w:rsidRPr="005C2E44">
        <w:t>a</w:t>
      </w:r>
      <w:r w:rsidR="006C6F09">
        <w:t xml:space="preserve"> </w:t>
      </w:r>
      <w:r w:rsidRPr="005C2E44">
        <w:t>statement</w:t>
      </w:r>
      <w:r w:rsidR="006C6F09">
        <w:t xml:space="preserve"> </w:t>
      </w:r>
      <w:r w:rsidRPr="005C2E44">
        <w:t>that</w:t>
      </w:r>
      <w:r w:rsidR="006C6F09">
        <w:t xml:space="preserve"> </w:t>
      </w:r>
      <w:r w:rsidRPr="005C2E44">
        <w:t>any</w:t>
      </w:r>
      <w:r w:rsidR="006C6F09">
        <w:t xml:space="preserve"> </w:t>
      </w:r>
      <w:r w:rsidRPr="005C2E44">
        <w:t>individual</w:t>
      </w:r>
      <w:r w:rsidR="006C6F09">
        <w:t xml:space="preserve"> </w:t>
      </w:r>
      <w:r w:rsidRPr="005C2E44">
        <w:t>may</w:t>
      </w:r>
      <w:r w:rsidR="006C6F09">
        <w:t xml:space="preserve"> </w:t>
      </w:r>
      <w:r w:rsidRPr="005C2E44">
        <w:t>request</w:t>
      </w:r>
      <w:r w:rsidR="006C6F09">
        <w:t xml:space="preserve"> </w:t>
      </w:r>
      <w:r w:rsidRPr="005C2E44">
        <w:t>a</w:t>
      </w:r>
      <w:r w:rsidR="006C6F09">
        <w:t xml:space="preserve"> </w:t>
      </w:r>
      <w:r w:rsidRPr="005C2E44">
        <w:t>public</w:t>
      </w:r>
      <w:r w:rsidR="006C6F09">
        <w:t xml:space="preserve"> </w:t>
      </w:r>
      <w:r w:rsidRPr="005C2E44">
        <w:t>hearing</w:t>
      </w:r>
      <w:r w:rsidR="006C6F09">
        <w:t xml:space="preserve"> </w:t>
      </w:r>
      <w:r w:rsidRPr="005C2E44">
        <w:t>by</w:t>
      </w:r>
      <w:r w:rsidR="006C6F09">
        <w:t xml:space="preserve"> </w:t>
      </w:r>
      <w:r w:rsidRPr="005C2E44">
        <w:t>submitting</w:t>
      </w:r>
      <w:r w:rsidR="006C6F09">
        <w:t xml:space="preserve"> </w:t>
      </w:r>
      <w:r w:rsidRPr="005C2E44">
        <w:t>a</w:t>
      </w:r>
      <w:r w:rsidR="006C6F09">
        <w:t xml:space="preserve"> </w:t>
      </w:r>
      <w:r w:rsidRPr="005C2E44">
        <w:t>written</w:t>
      </w:r>
      <w:r w:rsidR="006C6F09">
        <w:t xml:space="preserve"> </w:t>
      </w:r>
      <w:r w:rsidRPr="005C2E44">
        <w:t>request</w:t>
      </w:r>
      <w:r w:rsidR="006C6F09">
        <w:t xml:space="preserve"> </w:t>
      </w:r>
      <w:r w:rsidRPr="005C2E44">
        <w:t>to</w:t>
      </w:r>
      <w:r w:rsidR="006C6F09">
        <w:t xml:space="preserve"> </w:t>
      </w:r>
      <w:r w:rsidRPr="005C2E44">
        <w:t>the</w:t>
      </w:r>
      <w:r w:rsidR="006C6F09">
        <w:t xml:space="preserve"> </w:t>
      </w:r>
      <w:r w:rsidRPr="005C2E44">
        <w:t>address</w:t>
      </w:r>
      <w:r w:rsidR="006C6F09">
        <w:t xml:space="preserve"> </w:t>
      </w:r>
      <w:r w:rsidRPr="005C2E44">
        <w:t>provided</w:t>
      </w:r>
      <w:r w:rsidR="006C6F09">
        <w:t xml:space="preserve"> </w:t>
      </w:r>
      <w:r w:rsidRPr="005C2E44">
        <w:t>in</w:t>
      </w:r>
      <w:r w:rsidR="006C6F09">
        <w:t xml:space="preserve"> </w:t>
      </w:r>
      <w:r w:rsidRPr="005C2E44">
        <w:t>the</w:t>
      </w:r>
      <w:r w:rsidR="006C6F09">
        <w:t xml:space="preserve"> </w:t>
      </w:r>
      <w:r w:rsidRPr="005C2E44">
        <w:t>notice.</w:t>
      </w:r>
      <w:r w:rsidR="006C6F09">
        <w:t xml:space="preserve"> </w:t>
      </w:r>
      <w:r w:rsidRPr="005C2E44">
        <w:t>The</w:t>
      </w:r>
      <w:r w:rsidR="006C6F09">
        <w:t xml:space="preserve"> </w:t>
      </w:r>
      <w:r w:rsidRPr="005C2E44">
        <w:lastRenderedPageBreak/>
        <w:t>deadline</w:t>
      </w:r>
      <w:r w:rsidR="006C6F09">
        <w:t xml:space="preserve"> </w:t>
      </w:r>
      <w:r w:rsidRPr="005C2E44">
        <w:t>for</w:t>
      </w:r>
      <w:r w:rsidR="006C6F09">
        <w:t xml:space="preserve"> </w:t>
      </w:r>
      <w:r w:rsidRPr="005C2E44">
        <w:t>requests</w:t>
      </w:r>
      <w:r w:rsidR="006C6F09">
        <w:t xml:space="preserve"> </w:t>
      </w:r>
      <w:r w:rsidRPr="005C2E44">
        <w:t>is</w:t>
      </w:r>
      <w:r w:rsidR="006C6F09">
        <w:t xml:space="preserve"> </w:t>
      </w:r>
      <w:r w:rsidRPr="005C2E44">
        <w:t>15</w:t>
      </w:r>
      <w:r w:rsidR="006C6F09">
        <w:t xml:space="preserve"> </w:t>
      </w:r>
      <w:r w:rsidRPr="005C2E44">
        <w:t>calendar</w:t>
      </w:r>
      <w:r w:rsidR="006C6F09">
        <w:t xml:space="preserve"> </w:t>
      </w:r>
      <w:r w:rsidRPr="005C2E44">
        <w:t>days</w:t>
      </w:r>
      <w:r w:rsidR="006C6F09">
        <w:t xml:space="preserve"> </w:t>
      </w:r>
      <w:r w:rsidRPr="005C2E44">
        <w:t>following</w:t>
      </w:r>
      <w:r w:rsidR="006C6F09">
        <w:t xml:space="preserve"> </w:t>
      </w:r>
      <w:r w:rsidRPr="005C2E44">
        <w:t>the</w:t>
      </w:r>
      <w:r w:rsidR="006C6F09">
        <w:t xml:space="preserve"> </w:t>
      </w:r>
      <w:r w:rsidRPr="005C2E44">
        <w:t>date</w:t>
      </w:r>
      <w:r w:rsidR="006C6F09">
        <w:t xml:space="preserve"> </w:t>
      </w:r>
      <w:r w:rsidRPr="005C2E44">
        <w:t>all</w:t>
      </w:r>
      <w:r w:rsidR="006C6F09">
        <w:t xml:space="preserve"> </w:t>
      </w:r>
      <w:r w:rsidRPr="005C2E44">
        <w:t>required</w:t>
      </w:r>
      <w:r w:rsidR="006C6F09">
        <w:t xml:space="preserve"> </w:t>
      </w:r>
      <w:r w:rsidRPr="005C2E44">
        <w:t>notices</w:t>
      </w:r>
      <w:r w:rsidR="006C6F09">
        <w:t xml:space="preserve"> </w:t>
      </w:r>
      <w:r w:rsidRPr="005C2E44">
        <w:t>have</w:t>
      </w:r>
      <w:r w:rsidR="006C6F09">
        <w:t xml:space="preserve"> </w:t>
      </w:r>
      <w:r w:rsidRPr="005C2E44">
        <w:t>been</w:t>
      </w:r>
      <w:r w:rsidR="006C6F09">
        <w:t xml:space="preserve"> </w:t>
      </w:r>
      <w:r w:rsidRPr="005C2E44">
        <w:t>provided</w:t>
      </w:r>
      <w:r w:rsidR="006C6F09">
        <w:t xml:space="preserve"> </w:t>
      </w:r>
      <w:r w:rsidRPr="005C2E44">
        <w:t>(except</w:t>
      </w:r>
      <w:r w:rsidR="006C6F09">
        <w:t xml:space="preserve"> </w:t>
      </w:r>
      <w:r w:rsidRPr="005C2E44">
        <w:t>for</w:t>
      </w:r>
      <w:r w:rsidR="006C6F09">
        <w:t xml:space="preserve"> </w:t>
      </w:r>
      <w:r w:rsidRPr="005C2E44">
        <w:t>EAs,</w:t>
      </w:r>
      <w:r w:rsidR="006C6F09">
        <w:t xml:space="preserve"> </w:t>
      </w:r>
      <w:r w:rsidRPr="005C2E44">
        <w:t>in</w:t>
      </w:r>
      <w:r w:rsidR="006C6F09">
        <w:t xml:space="preserve"> </w:t>
      </w:r>
      <w:r w:rsidRPr="005C2E44">
        <w:t>which</w:t>
      </w:r>
      <w:r w:rsidR="006C6F09">
        <w:t xml:space="preserve"> </w:t>
      </w:r>
      <w:r w:rsidRPr="005C2E44">
        <w:t>case</w:t>
      </w:r>
      <w:r w:rsidR="006C6F09">
        <w:t xml:space="preserve"> </w:t>
      </w:r>
      <w:r w:rsidRPr="005C2E44">
        <w:t>it</w:t>
      </w:r>
      <w:r w:rsidR="006C6F09">
        <w:t xml:space="preserve"> </w:t>
      </w:r>
      <w:r w:rsidRPr="005C2E44">
        <w:t>is</w:t>
      </w:r>
      <w:r w:rsidR="006C6F09">
        <w:t xml:space="preserve"> </w:t>
      </w:r>
      <w:r w:rsidRPr="005C2E44">
        <w:t>30</w:t>
      </w:r>
      <w:r w:rsidR="006C6F09">
        <w:t xml:space="preserve"> </w:t>
      </w:r>
      <w:r w:rsidRPr="005C2E44">
        <w:t>calendar</w:t>
      </w:r>
      <w:r w:rsidR="006C6F09">
        <w:t xml:space="preserve"> </w:t>
      </w:r>
      <w:r w:rsidRPr="005C2E44">
        <w:t>days).</w:t>
      </w:r>
    </w:p>
    <w:p w14:paraId="04B3A68C" w14:textId="22D65105" w:rsidR="00457754" w:rsidRPr="005C2E44" w:rsidRDefault="00457754" w:rsidP="00457754">
      <w:pPr>
        <w:pStyle w:val="ListBullet"/>
      </w:pPr>
      <w:r w:rsidRPr="005C2E44">
        <w:t>Include</w:t>
      </w:r>
      <w:r w:rsidR="006C6F09">
        <w:t xml:space="preserve"> </w:t>
      </w:r>
      <w:r w:rsidRPr="005C2E44">
        <w:t>a</w:t>
      </w:r>
      <w:r w:rsidR="006C6F09">
        <w:t xml:space="preserve"> </w:t>
      </w:r>
      <w:r w:rsidRPr="005C2E44">
        <w:t>statement</w:t>
      </w:r>
      <w:r w:rsidR="006C6F09">
        <w:t xml:space="preserve"> </w:t>
      </w:r>
      <w:r w:rsidRPr="005C2E44">
        <w:t>that</w:t>
      </w:r>
      <w:r w:rsidR="006C6F09">
        <w:t xml:space="preserve"> </w:t>
      </w:r>
      <w:r w:rsidRPr="005C2E44">
        <w:t>a</w:t>
      </w:r>
      <w:r w:rsidR="006C6F09">
        <w:t xml:space="preserve"> </w:t>
      </w:r>
      <w:r w:rsidRPr="005C2E44">
        <w:t>hearing</w:t>
      </w:r>
      <w:r w:rsidR="006C6F09">
        <w:t xml:space="preserve"> </w:t>
      </w:r>
      <w:r w:rsidRPr="005C2E44">
        <w:t>will</w:t>
      </w:r>
      <w:r w:rsidR="006C6F09">
        <w:t xml:space="preserve"> </w:t>
      </w:r>
      <w:r w:rsidRPr="005C2E44">
        <w:t>be</w:t>
      </w:r>
      <w:r w:rsidR="006C6F09">
        <w:t xml:space="preserve"> </w:t>
      </w:r>
      <w:r w:rsidRPr="005C2E44">
        <w:t>held</w:t>
      </w:r>
      <w:r w:rsidR="006C6F09">
        <w:t xml:space="preserve"> </w:t>
      </w:r>
      <w:r w:rsidRPr="005C2E44">
        <w:t>if</w:t>
      </w:r>
      <w:r w:rsidR="006C6F09">
        <w:t xml:space="preserve"> </w:t>
      </w:r>
      <w:r w:rsidRPr="005C2E44">
        <w:t>ten</w:t>
      </w:r>
      <w:r w:rsidR="006C6F09">
        <w:t xml:space="preserve"> </w:t>
      </w:r>
      <w:r w:rsidRPr="005C2E44">
        <w:t>or</w:t>
      </w:r>
      <w:r w:rsidR="006C6F09">
        <w:t xml:space="preserve"> </w:t>
      </w:r>
      <w:r w:rsidRPr="005C2E44">
        <w:t>more</w:t>
      </w:r>
      <w:r w:rsidR="006C6F09">
        <w:t xml:space="preserve"> </w:t>
      </w:r>
      <w:r w:rsidRPr="005C2E44">
        <w:t>individuals</w:t>
      </w:r>
      <w:r w:rsidR="006C6F09">
        <w:t xml:space="preserve"> </w:t>
      </w:r>
      <w:r w:rsidRPr="005C2E44">
        <w:t>submit</w:t>
      </w:r>
      <w:r w:rsidR="006C6F09">
        <w:t xml:space="preserve"> </w:t>
      </w:r>
      <w:r w:rsidRPr="005C2E44">
        <w:t>timely</w:t>
      </w:r>
      <w:r w:rsidR="006C6F09">
        <w:t xml:space="preserve"> </w:t>
      </w:r>
      <w:r w:rsidRPr="005C2E44">
        <w:t>written</w:t>
      </w:r>
      <w:r w:rsidR="006C6F09">
        <w:t xml:space="preserve"> </w:t>
      </w:r>
      <w:r w:rsidRPr="005C2E44">
        <w:t>requests</w:t>
      </w:r>
      <w:r w:rsidR="006C6F09">
        <w:t xml:space="preserve"> </w:t>
      </w:r>
      <w:r w:rsidRPr="005C2E44">
        <w:t>for</w:t>
      </w:r>
      <w:r w:rsidR="006C6F09">
        <w:t xml:space="preserve"> </w:t>
      </w:r>
      <w:r w:rsidRPr="005C2E44">
        <w:t>a</w:t>
      </w:r>
      <w:r w:rsidR="006C6F09">
        <w:t xml:space="preserve"> </w:t>
      </w:r>
      <w:r w:rsidRPr="005C2E44">
        <w:t>hearing,</w:t>
      </w:r>
      <w:r w:rsidR="006C6F09">
        <w:t xml:space="preserve"> </w:t>
      </w:r>
      <w:r w:rsidRPr="005C2E44">
        <w:t>or</w:t>
      </w:r>
      <w:r w:rsidR="006C6F09">
        <w:t xml:space="preserve"> </w:t>
      </w:r>
      <w:r w:rsidRPr="005C2E44">
        <w:t>if</w:t>
      </w:r>
      <w:r w:rsidR="006C6F09">
        <w:t xml:space="preserve"> </w:t>
      </w:r>
      <w:r w:rsidRPr="005C2E44">
        <w:t>an</w:t>
      </w:r>
      <w:r w:rsidR="006C6F09">
        <w:t xml:space="preserve"> </w:t>
      </w:r>
      <w:r w:rsidRPr="005C2E44">
        <w:t>agency</w:t>
      </w:r>
      <w:r w:rsidR="006C6F09">
        <w:t xml:space="preserve"> </w:t>
      </w:r>
      <w:r w:rsidRPr="005C2E44">
        <w:t>with</w:t>
      </w:r>
      <w:r w:rsidR="006C6F09">
        <w:t xml:space="preserve"> </w:t>
      </w:r>
      <w:r w:rsidRPr="005C2E44">
        <w:t>jurisdiction</w:t>
      </w:r>
      <w:r w:rsidR="006C6F09">
        <w:t xml:space="preserve"> </w:t>
      </w:r>
      <w:r w:rsidRPr="005C2E44">
        <w:t>over</w:t>
      </w:r>
      <w:r w:rsidR="006C6F09">
        <w:t xml:space="preserve"> </w:t>
      </w:r>
      <w:r w:rsidRPr="005C2E44">
        <w:t>the</w:t>
      </w:r>
      <w:r w:rsidR="006C6F09">
        <w:t xml:space="preserve"> </w:t>
      </w:r>
      <w:r w:rsidRPr="005C2E44">
        <w:t>project</w:t>
      </w:r>
      <w:r w:rsidR="006C6F09">
        <w:t xml:space="preserve"> </w:t>
      </w:r>
      <w:r w:rsidRPr="005C2E44">
        <w:t>submits</w:t>
      </w:r>
      <w:r w:rsidR="006C6F09">
        <w:t xml:space="preserve"> </w:t>
      </w:r>
      <w:r w:rsidRPr="005C2E44">
        <w:t>a</w:t>
      </w:r>
      <w:r w:rsidR="006C6F09">
        <w:t xml:space="preserve"> </w:t>
      </w:r>
      <w:r w:rsidRPr="005C2E44">
        <w:t>timely</w:t>
      </w:r>
      <w:r w:rsidR="006C6F09">
        <w:t xml:space="preserve"> </w:t>
      </w:r>
      <w:r w:rsidRPr="005C2E44">
        <w:t>written</w:t>
      </w:r>
      <w:r w:rsidR="006C6F09">
        <w:t xml:space="preserve"> </w:t>
      </w:r>
      <w:r w:rsidRPr="005C2E44">
        <w:t>request</w:t>
      </w:r>
      <w:r w:rsidR="006C6F09">
        <w:t xml:space="preserve"> </w:t>
      </w:r>
      <w:r w:rsidRPr="005C2E44">
        <w:t>for</w:t>
      </w:r>
      <w:r w:rsidR="006C6F09">
        <w:t xml:space="preserve"> </w:t>
      </w:r>
      <w:r w:rsidRPr="005C2E44">
        <w:t>a</w:t>
      </w:r>
      <w:r w:rsidR="006C6F09">
        <w:t xml:space="preserve"> </w:t>
      </w:r>
      <w:r w:rsidRPr="005C2E44">
        <w:t>hearing</w:t>
      </w:r>
      <w:r w:rsidR="006C6F09">
        <w:t xml:space="preserve"> </w:t>
      </w:r>
      <w:r w:rsidRPr="005C2E44">
        <w:t>that</w:t>
      </w:r>
      <w:r w:rsidR="006C6F09">
        <w:t xml:space="preserve"> </w:t>
      </w:r>
      <w:r w:rsidRPr="005C2E44">
        <w:t>is</w:t>
      </w:r>
      <w:r w:rsidR="006C6F09">
        <w:t xml:space="preserve"> </w:t>
      </w:r>
      <w:r w:rsidRPr="005C2E44">
        <w:t>supported</w:t>
      </w:r>
      <w:r w:rsidR="006C6F09">
        <w:t xml:space="preserve"> </w:t>
      </w:r>
      <w:r w:rsidRPr="005C2E44">
        <w:t>by</w:t>
      </w:r>
      <w:r w:rsidR="006C6F09">
        <w:t xml:space="preserve"> </w:t>
      </w:r>
      <w:r w:rsidRPr="005C2E44">
        <w:t>reasons</w:t>
      </w:r>
      <w:r w:rsidR="006C6F09">
        <w:t xml:space="preserve"> </w:t>
      </w:r>
      <w:r w:rsidRPr="005C2E44">
        <w:t>why</w:t>
      </w:r>
      <w:r w:rsidR="006C6F09">
        <w:t xml:space="preserve"> </w:t>
      </w:r>
      <w:r w:rsidRPr="005C2E44">
        <w:t>a</w:t>
      </w:r>
      <w:r w:rsidR="006C6F09">
        <w:t xml:space="preserve"> </w:t>
      </w:r>
      <w:r w:rsidRPr="005C2E44">
        <w:t>hearing</w:t>
      </w:r>
      <w:r w:rsidR="006C6F09">
        <w:t xml:space="preserve"> </w:t>
      </w:r>
      <w:r w:rsidRPr="005C2E44">
        <w:t>will</w:t>
      </w:r>
      <w:r w:rsidR="006C6F09">
        <w:t xml:space="preserve"> </w:t>
      </w:r>
      <w:r w:rsidRPr="005C2E44">
        <w:t>be</w:t>
      </w:r>
      <w:r w:rsidR="006C6F09">
        <w:t xml:space="preserve"> </w:t>
      </w:r>
      <w:r w:rsidRPr="005C2E44">
        <w:t>helpful.</w:t>
      </w:r>
    </w:p>
    <w:p w14:paraId="7B09089F" w14:textId="1D0A1B8C" w:rsidR="00457754" w:rsidRPr="005C2E44" w:rsidRDefault="00457754" w:rsidP="00457754">
      <w:pPr>
        <w:pStyle w:val="ListBullet"/>
      </w:pPr>
      <w:r w:rsidRPr="005C2E44">
        <w:t>Include</w:t>
      </w:r>
      <w:r w:rsidR="006C6F09">
        <w:t xml:space="preserve"> </w:t>
      </w:r>
      <w:r w:rsidRPr="005C2E44">
        <w:t>the</w:t>
      </w:r>
      <w:r w:rsidR="006C6F09">
        <w:t xml:space="preserve"> </w:t>
      </w:r>
      <w:r w:rsidRPr="005C2E44">
        <w:t>address</w:t>
      </w:r>
      <w:r w:rsidR="006C6F09">
        <w:t xml:space="preserve"> </w:t>
      </w:r>
      <w:r w:rsidRPr="005C2E44">
        <w:t>and</w:t>
      </w:r>
      <w:r w:rsidR="006C6F09">
        <w:t xml:space="preserve"> </w:t>
      </w:r>
      <w:r w:rsidRPr="005C2E44">
        <w:t>phone</w:t>
      </w:r>
      <w:r w:rsidR="006C6F09">
        <w:t xml:space="preserve"> </w:t>
      </w:r>
      <w:r w:rsidRPr="005C2E44">
        <w:t>number</w:t>
      </w:r>
      <w:r w:rsidR="006C6F09">
        <w:t xml:space="preserve"> </w:t>
      </w:r>
      <w:r w:rsidRPr="005C2E44">
        <w:t>of</w:t>
      </w:r>
      <w:r w:rsidR="006C6F09">
        <w:t xml:space="preserve"> </w:t>
      </w:r>
      <w:r w:rsidRPr="005C2E44">
        <w:t>the</w:t>
      </w:r>
      <w:r w:rsidR="006C6F09">
        <w:t xml:space="preserve"> </w:t>
      </w:r>
      <w:r w:rsidRPr="005C2E44">
        <w:t>district</w:t>
      </w:r>
      <w:r w:rsidR="006C6F09">
        <w:t xml:space="preserve"> </w:t>
      </w:r>
      <w:r w:rsidRPr="005C2E44">
        <w:t>and</w:t>
      </w:r>
      <w:r w:rsidR="006C6F09">
        <w:t xml:space="preserve"> </w:t>
      </w:r>
      <w:proofErr w:type="gramStart"/>
      <w:r w:rsidRPr="005C2E44">
        <w:t>or</w:t>
      </w:r>
      <w:proofErr w:type="gramEnd"/>
      <w:r w:rsidR="006C6F09">
        <w:t xml:space="preserve"> </w:t>
      </w:r>
      <w:r w:rsidRPr="005C2E44">
        <w:t>area</w:t>
      </w:r>
      <w:r w:rsidR="006C6F09">
        <w:t xml:space="preserve"> </w:t>
      </w:r>
      <w:r w:rsidRPr="005C2E44">
        <w:t>office.</w:t>
      </w:r>
    </w:p>
    <w:p w14:paraId="249CABB5" w14:textId="363625E0" w:rsidR="00457754" w:rsidRPr="005C2E44" w:rsidRDefault="00457754" w:rsidP="00457754">
      <w:pPr>
        <w:pStyle w:val="ListBullet"/>
      </w:pPr>
      <w:r w:rsidRPr="005C2E44">
        <w:t>If</w:t>
      </w:r>
      <w:r w:rsidR="006C6F09">
        <w:t xml:space="preserve"> </w:t>
      </w:r>
      <w:r w:rsidRPr="005C2E44">
        <w:t>the</w:t>
      </w:r>
      <w:r w:rsidR="006C6F09">
        <w:t xml:space="preserve"> </w:t>
      </w:r>
      <w:r w:rsidRPr="005C2E44">
        <w:t>proposed</w:t>
      </w:r>
      <w:r w:rsidR="006C6F09">
        <w:t xml:space="preserve"> </w:t>
      </w:r>
      <w:r w:rsidRPr="005C2E44">
        <w:t>project</w:t>
      </w:r>
      <w:r w:rsidR="006C6F09">
        <w:t xml:space="preserve"> </w:t>
      </w:r>
      <w:r w:rsidRPr="005C2E44">
        <w:t>or</w:t>
      </w:r>
      <w:r w:rsidR="006C6F09">
        <w:t xml:space="preserve"> </w:t>
      </w:r>
      <w:r w:rsidRPr="005C2E44">
        <w:t>one</w:t>
      </w:r>
      <w:r w:rsidR="006C6F09">
        <w:t xml:space="preserve"> </w:t>
      </w:r>
      <w:r w:rsidRPr="005C2E44">
        <w:t>of</w:t>
      </w:r>
      <w:r w:rsidR="006C6F09">
        <w:t xml:space="preserve"> </w:t>
      </w:r>
      <w:r w:rsidRPr="005C2E44">
        <w:t>the</w:t>
      </w:r>
      <w:r w:rsidR="006C6F09">
        <w:t xml:space="preserve"> </w:t>
      </w:r>
      <w:r w:rsidRPr="005C2E44">
        <w:t>alternatives</w:t>
      </w:r>
      <w:r w:rsidR="006C6F09">
        <w:t xml:space="preserve"> </w:t>
      </w:r>
      <w:proofErr w:type="gramStart"/>
      <w:r w:rsidRPr="005C2E44">
        <w:t>is</w:t>
      </w:r>
      <w:r w:rsidR="006C6F09">
        <w:t xml:space="preserve"> </w:t>
      </w:r>
      <w:r w:rsidRPr="005C2E44">
        <w:t>located</w:t>
      </w:r>
      <w:r w:rsidR="006C6F09">
        <w:t xml:space="preserve"> </w:t>
      </w:r>
      <w:r w:rsidRPr="005C2E44">
        <w:t>in</w:t>
      </w:r>
      <w:proofErr w:type="gramEnd"/>
      <w:r w:rsidR="006C6F09">
        <w:t xml:space="preserve"> </w:t>
      </w:r>
      <w:r w:rsidRPr="005C2E44">
        <w:t>or</w:t>
      </w:r>
      <w:r w:rsidR="006C6F09">
        <w:t xml:space="preserve"> </w:t>
      </w:r>
      <w:r w:rsidRPr="005C2E44">
        <w:t>has</w:t>
      </w:r>
      <w:r w:rsidR="006C6F09">
        <w:t xml:space="preserve"> </w:t>
      </w:r>
      <w:r w:rsidRPr="005C2E44">
        <w:t>the</w:t>
      </w:r>
      <w:r w:rsidR="006C6F09">
        <w:t xml:space="preserve"> </w:t>
      </w:r>
      <w:r w:rsidRPr="005C2E44">
        <w:t>potential</w:t>
      </w:r>
      <w:r w:rsidR="006C6F09">
        <w:t xml:space="preserve"> </w:t>
      </w:r>
      <w:r w:rsidRPr="005C2E44">
        <w:t>to</w:t>
      </w:r>
      <w:r w:rsidR="006C6F09">
        <w:t xml:space="preserve"> </w:t>
      </w:r>
      <w:r w:rsidRPr="005C2E44">
        <w:t>be</w:t>
      </w:r>
      <w:r w:rsidR="006C6F09">
        <w:t xml:space="preserve"> </w:t>
      </w:r>
      <w:r w:rsidRPr="005C2E44">
        <w:t>located</w:t>
      </w:r>
      <w:r w:rsidR="006C6F09">
        <w:t xml:space="preserve"> </w:t>
      </w:r>
      <w:r w:rsidRPr="005C2E44">
        <w:t>in</w:t>
      </w:r>
      <w:r w:rsidR="006C6F09">
        <w:t xml:space="preserve"> </w:t>
      </w:r>
      <w:r w:rsidRPr="005C2E44">
        <w:t>a</w:t>
      </w:r>
      <w:r w:rsidR="006C6F09">
        <w:t xml:space="preserve"> </w:t>
      </w:r>
      <w:r w:rsidRPr="005C2E44">
        <w:t>wetland,</w:t>
      </w:r>
      <w:r w:rsidR="006C6F09">
        <w:t xml:space="preserve"> </w:t>
      </w:r>
      <w:r w:rsidRPr="005C2E44">
        <w:t>the</w:t>
      </w:r>
      <w:r w:rsidR="006C6F09">
        <w:t xml:space="preserve"> </w:t>
      </w:r>
      <w:r w:rsidRPr="005C2E44">
        <w:t>notice</w:t>
      </w:r>
      <w:r w:rsidR="006C6F09">
        <w:t xml:space="preserve"> </w:t>
      </w:r>
      <w:r w:rsidRPr="005C2E44">
        <w:t>must</w:t>
      </w:r>
      <w:r w:rsidR="006C6F09">
        <w:t xml:space="preserve"> </w:t>
      </w:r>
      <w:r w:rsidRPr="005C2E44">
        <w:t>state</w:t>
      </w:r>
      <w:r w:rsidR="006C6F09">
        <w:t xml:space="preserve"> </w:t>
      </w:r>
      <w:r w:rsidRPr="005C2E44">
        <w:t>that.</w:t>
      </w:r>
    </w:p>
    <w:p w14:paraId="2974009E" w14:textId="539EC108" w:rsidR="00457754" w:rsidRPr="005C2E44" w:rsidRDefault="00457754" w:rsidP="00457754">
      <w:pPr>
        <w:pStyle w:val="ListBullet"/>
      </w:pPr>
      <w:r w:rsidRPr="005C2E44">
        <w:t>For</w:t>
      </w:r>
      <w:r w:rsidR="006C6F09">
        <w:t xml:space="preserve"> </w:t>
      </w:r>
      <w:r w:rsidRPr="005C2E44">
        <w:t>projects</w:t>
      </w:r>
      <w:r w:rsidR="006C6F09">
        <w:t xml:space="preserve"> </w:t>
      </w:r>
      <w:r w:rsidRPr="005C2E44">
        <w:t>assigned</w:t>
      </w:r>
      <w:r w:rsidR="006C6F09">
        <w:t xml:space="preserve"> </w:t>
      </w:r>
      <w:r w:rsidRPr="005C2E44">
        <w:t>under</w:t>
      </w:r>
      <w:r w:rsidR="006C6F09">
        <w:t xml:space="preserve"> </w:t>
      </w:r>
      <w:r w:rsidRPr="005C2E44">
        <w:t>the</w:t>
      </w:r>
      <w:r w:rsidR="006C6F09">
        <w:t xml:space="preserve"> </w:t>
      </w:r>
      <w:r w:rsidRPr="005C2E44">
        <w:t>Assignment</w:t>
      </w:r>
      <w:r w:rsidR="006C6F09">
        <w:t xml:space="preserve"> </w:t>
      </w:r>
      <w:r w:rsidRPr="005C2E44">
        <w:t>MOU,</w:t>
      </w:r>
      <w:r w:rsidR="006C6F09">
        <w:t xml:space="preserve"> </w:t>
      </w:r>
      <w:r w:rsidRPr="005C2E44">
        <w:t>the</w:t>
      </w:r>
      <w:r w:rsidR="006C6F09">
        <w:t xml:space="preserve"> </w:t>
      </w:r>
      <w:r w:rsidRPr="005C2E44">
        <w:t>following</w:t>
      </w:r>
      <w:r w:rsidR="006C6F09">
        <w:t xml:space="preserve"> </w:t>
      </w:r>
      <w:r w:rsidRPr="005C2E44">
        <w:t>language</w:t>
      </w:r>
      <w:r w:rsidR="006C6F09">
        <w:t xml:space="preserve"> </w:t>
      </w:r>
      <w:r w:rsidRPr="005C2E44">
        <w:t>must</w:t>
      </w:r>
      <w:r w:rsidR="006C6F09">
        <w:t xml:space="preserve"> </w:t>
      </w:r>
      <w:r w:rsidRPr="005C2E44">
        <w:t>be</w:t>
      </w:r>
      <w:r w:rsidR="006C6F09">
        <w:t xml:space="preserve"> </w:t>
      </w:r>
      <w:r w:rsidRPr="005C2E44">
        <w:t>included</w:t>
      </w:r>
      <w:r w:rsidR="006C6F09">
        <w:t xml:space="preserve"> </w:t>
      </w:r>
      <w:r w:rsidRPr="005C2E44">
        <w:t>in</w:t>
      </w:r>
      <w:r w:rsidR="006C6F09">
        <w:t xml:space="preserve"> </w:t>
      </w:r>
      <w:r w:rsidRPr="005C2E44">
        <w:t>the</w:t>
      </w:r>
      <w:r w:rsidR="006C6F09">
        <w:t xml:space="preserve"> </w:t>
      </w:r>
      <w:r w:rsidRPr="005C2E44">
        <w:t>public</w:t>
      </w:r>
      <w:r w:rsidR="006C6F09">
        <w:t xml:space="preserve"> </w:t>
      </w:r>
      <w:r w:rsidRPr="005C2E44">
        <w:t>notice.</w:t>
      </w:r>
    </w:p>
    <w:p w14:paraId="62487A46" w14:textId="3FCED7C3" w:rsidR="00457754" w:rsidRPr="00372D3F" w:rsidRDefault="00457754" w:rsidP="00457754">
      <w:pPr>
        <w:rPr>
          <w:i/>
          <w:iCs/>
        </w:rPr>
      </w:pPr>
      <w:r w:rsidRPr="00372D3F">
        <w:rPr>
          <w:i/>
          <w:iCs/>
        </w:rPr>
        <w:t>The</w:t>
      </w:r>
      <w:r w:rsidR="006C6F09">
        <w:rPr>
          <w:i/>
          <w:iCs/>
        </w:rPr>
        <w:t xml:space="preserve"> </w:t>
      </w:r>
      <w:r w:rsidRPr="00372D3F">
        <w:rPr>
          <w:i/>
          <w:iCs/>
        </w:rPr>
        <w:t>environmental</w:t>
      </w:r>
      <w:r w:rsidR="006C6F09">
        <w:rPr>
          <w:i/>
          <w:iCs/>
        </w:rPr>
        <w:t xml:space="preserve"> </w:t>
      </w:r>
      <w:r w:rsidRPr="00372D3F">
        <w:rPr>
          <w:i/>
          <w:iCs/>
        </w:rPr>
        <w:t>review,</w:t>
      </w:r>
      <w:r w:rsidR="006C6F09">
        <w:rPr>
          <w:i/>
          <w:iCs/>
        </w:rPr>
        <w:t xml:space="preserve"> </w:t>
      </w:r>
      <w:r w:rsidRPr="00372D3F">
        <w:rPr>
          <w:i/>
          <w:iCs/>
        </w:rPr>
        <w:t>consultation,</w:t>
      </w:r>
      <w:r w:rsidR="006C6F09">
        <w:rPr>
          <w:i/>
          <w:iCs/>
        </w:rPr>
        <w:t xml:space="preserve"> </w:t>
      </w:r>
      <w:r w:rsidRPr="00372D3F">
        <w:rPr>
          <w:i/>
          <w:iCs/>
        </w:rPr>
        <w:t>and</w:t>
      </w:r>
      <w:r w:rsidR="006C6F09">
        <w:rPr>
          <w:i/>
          <w:iCs/>
        </w:rPr>
        <w:t xml:space="preserve"> </w:t>
      </w:r>
      <w:r w:rsidRPr="00372D3F">
        <w:rPr>
          <w:i/>
          <w:iCs/>
        </w:rPr>
        <w:t>other</w:t>
      </w:r>
      <w:r w:rsidR="006C6F09">
        <w:rPr>
          <w:i/>
          <w:iCs/>
        </w:rPr>
        <w:t xml:space="preserve"> </w:t>
      </w:r>
      <w:r w:rsidRPr="00372D3F">
        <w:rPr>
          <w:i/>
          <w:iCs/>
        </w:rPr>
        <w:t>actions</w:t>
      </w:r>
      <w:r w:rsidR="006C6F09">
        <w:rPr>
          <w:i/>
          <w:iCs/>
        </w:rPr>
        <w:t xml:space="preserve"> </w:t>
      </w:r>
      <w:r w:rsidRPr="00372D3F">
        <w:rPr>
          <w:i/>
          <w:iCs/>
        </w:rPr>
        <w:t>required</w:t>
      </w:r>
      <w:r w:rsidR="006C6F09">
        <w:rPr>
          <w:i/>
          <w:iCs/>
        </w:rPr>
        <w:t xml:space="preserve"> </w:t>
      </w:r>
      <w:r w:rsidRPr="00372D3F">
        <w:rPr>
          <w:i/>
          <w:iCs/>
        </w:rPr>
        <w:t>by</w:t>
      </w:r>
      <w:r w:rsidR="006C6F09">
        <w:rPr>
          <w:i/>
          <w:iCs/>
        </w:rPr>
        <w:t xml:space="preserve"> </w:t>
      </w:r>
      <w:r w:rsidRPr="00372D3F">
        <w:rPr>
          <w:i/>
          <w:iCs/>
        </w:rPr>
        <w:t>applicable</w:t>
      </w:r>
      <w:r w:rsidR="006C6F09">
        <w:rPr>
          <w:i/>
          <w:iCs/>
        </w:rPr>
        <w:t xml:space="preserve"> </w:t>
      </w:r>
      <w:r w:rsidRPr="00372D3F">
        <w:rPr>
          <w:i/>
          <w:iCs/>
        </w:rPr>
        <w:t>Federal</w:t>
      </w:r>
      <w:r w:rsidR="006C6F09">
        <w:rPr>
          <w:i/>
          <w:iCs/>
        </w:rPr>
        <w:t xml:space="preserve"> </w:t>
      </w:r>
      <w:r w:rsidRPr="00372D3F">
        <w:rPr>
          <w:i/>
          <w:iCs/>
        </w:rPr>
        <w:t>environmental</w:t>
      </w:r>
      <w:r w:rsidR="006C6F09">
        <w:rPr>
          <w:i/>
          <w:iCs/>
        </w:rPr>
        <w:t xml:space="preserve"> </w:t>
      </w:r>
      <w:r w:rsidRPr="00372D3F">
        <w:rPr>
          <w:i/>
          <w:iCs/>
        </w:rPr>
        <w:t>laws</w:t>
      </w:r>
      <w:r w:rsidR="006C6F09">
        <w:rPr>
          <w:i/>
          <w:iCs/>
        </w:rPr>
        <w:t xml:space="preserve"> </w:t>
      </w:r>
      <w:r w:rsidRPr="00372D3F">
        <w:rPr>
          <w:i/>
          <w:iCs/>
        </w:rPr>
        <w:t>for</w:t>
      </w:r>
      <w:r w:rsidR="006C6F09">
        <w:rPr>
          <w:i/>
          <w:iCs/>
        </w:rPr>
        <w:t xml:space="preserve"> </w:t>
      </w:r>
      <w:r w:rsidRPr="00372D3F">
        <w:rPr>
          <w:i/>
          <w:iCs/>
        </w:rPr>
        <w:t>this</w:t>
      </w:r>
      <w:r w:rsidR="006C6F09">
        <w:rPr>
          <w:i/>
          <w:iCs/>
        </w:rPr>
        <w:t xml:space="preserve"> </w:t>
      </w:r>
      <w:r w:rsidRPr="00372D3F">
        <w:rPr>
          <w:i/>
          <w:iCs/>
        </w:rPr>
        <w:t>project</w:t>
      </w:r>
      <w:r w:rsidR="006C6F09">
        <w:rPr>
          <w:i/>
          <w:iCs/>
        </w:rPr>
        <w:t xml:space="preserve"> </w:t>
      </w:r>
      <w:r w:rsidRPr="00372D3F">
        <w:rPr>
          <w:i/>
          <w:iCs/>
        </w:rPr>
        <w:t>are</w:t>
      </w:r>
      <w:r w:rsidR="006C6F09">
        <w:rPr>
          <w:i/>
          <w:iCs/>
        </w:rPr>
        <w:t xml:space="preserve"> </w:t>
      </w:r>
      <w:r w:rsidRPr="00372D3F">
        <w:rPr>
          <w:i/>
          <w:iCs/>
        </w:rPr>
        <w:t>being,</w:t>
      </w:r>
      <w:r w:rsidR="006C6F09">
        <w:rPr>
          <w:i/>
          <w:iCs/>
        </w:rPr>
        <w:t xml:space="preserve"> </w:t>
      </w:r>
      <w:r w:rsidRPr="00372D3F">
        <w:rPr>
          <w:i/>
          <w:iCs/>
        </w:rPr>
        <w:t>or</w:t>
      </w:r>
      <w:r w:rsidR="006C6F09">
        <w:rPr>
          <w:i/>
          <w:iCs/>
        </w:rPr>
        <w:t xml:space="preserve"> </w:t>
      </w:r>
      <w:r w:rsidRPr="00372D3F">
        <w:rPr>
          <w:i/>
          <w:iCs/>
        </w:rPr>
        <w:t>have</w:t>
      </w:r>
      <w:r w:rsidR="006C6F09">
        <w:rPr>
          <w:i/>
          <w:iCs/>
        </w:rPr>
        <w:t xml:space="preserve"> </w:t>
      </w:r>
      <w:r w:rsidRPr="00372D3F">
        <w:rPr>
          <w:i/>
          <w:iCs/>
        </w:rPr>
        <w:t>been,</w:t>
      </w:r>
      <w:r w:rsidR="006C6F09">
        <w:rPr>
          <w:i/>
          <w:iCs/>
        </w:rPr>
        <w:t xml:space="preserve"> </w:t>
      </w:r>
      <w:r w:rsidR="00167FF3" w:rsidRPr="00372D3F">
        <w:rPr>
          <w:i/>
          <w:iCs/>
        </w:rPr>
        <w:t>carried out</w:t>
      </w:r>
      <w:r w:rsidR="006C6F09">
        <w:rPr>
          <w:i/>
          <w:iCs/>
        </w:rPr>
        <w:t xml:space="preserve"> </w:t>
      </w:r>
      <w:r w:rsidRPr="00372D3F">
        <w:rPr>
          <w:i/>
          <w:iCs/>
        </w:rPr>
        <w:t>by</w:t>
      </w:r>
      <w:r w:rsidR="006C6F09">
        <w:rPr>
          <w:i/>
          <w:iCs/>
        </w:rPr>
        <w:t xml:space="preserve"> </w:t>
      </w:r>
      <w:r w:rsidRPr="00372D3F">
        <w:rPr>
          <w:i/>
          <w:iCs/>
        </w:rPr>
        <w:t>TxDOT</w:t>
      </w:r>
      <w:r w:rsidR="006C6F09">
        <w:rPr>
          <w:i/>
          <w:iCs/>
        </w:rPr>
        <w:t xml:space="preserve"> </w:t>
      </w:r>
      <w:r w:rsidRPr="00372D3F">
        <w:rPr>
          <w:i/>
          <w:iCs/>
        </w:rPr>
        <w:t>pursuant</w:t>
      </w:r>
      <w:r w:rsidR="006C6F09">
        <w:rPr>
          <w:i/>
          <w:iCs/>
        </w:rPr>
        <w:t xml:space="preserve"> </w:t>
      </w:r>
      <w:r w:rsidRPr="00372D3F">
        <w:rPr>
          <w:i/>
          <w:iCs/>
        </w:rPr>
        <w:t>to</w:t>
      </w:r>
      <w:r w:rsidR="006C6F09">
        <w:rPr>
          <w:i/>
          <w:iCs/>
        </w:rPr>
        <w:t xml:space="preserve"> </w:t>
      </w:r>
      <w:r w:rsidRPr="00372D3F">
        <w:rPr>
          <w:i/>
          <w:iCs/>
        </w:rPr>
        <w:t>23</w:t>
      </w:r>
      <w:r w:rsidR="006C6F09">
        <w:rPr>
          <w:i/>
          <w:iCs/>
        </w:rPr>
        <w:t xml:space="preserve"> </w:t>
      </w:r>
      <w:r w:rsidRPr="00372D3F">
        <w:rPr>
          <w:i/>
          <w:iCs/>
        </w:rPr>
        <w:t>U.S.C.</w:t>
      </w:r>
      <w:r w:rsidR="006C6F09">
        <w:rPr>
          <w:i/>
          <w:iCs/>
        </w:rPr>
        <w:t xml:space="preserve"> </w:t>
      </w:r>
      <w:r w:rsidRPr="00372D3F">
        <w:rPr>
          <w:i/>
          <w:iCs/>
        </w:rPr>
        <w:t>327</w:t>
      </w:r>
      <w:r w:rsidR="006C6F09">
        <w:rPr>
          <w:i/>
          <w:iCs/>
        </w:rPr>
        <w:t xml:space="preserve"> </w:t>
      </w:r>
      <w:r w:rsidRPr="00372D3F">
        <w:rPr>
          <w:i/>
          <w:iCs/>
        </w:rPr>
        <w:t>and</w:t>
      </w:r>
      <w:r w:rsidR="006C6F09">
        <w:rPr>
          <w:i/>
          <w:iCs/>
        </w:rPr>
        <w:t xml:space="preserve"> </w:t>
      </w:r>
      <w:r w:rsidRPr="00372D3F">
        <w:rPr>
          <w:i/>
          <w:iCs/>
        </w:rPr>
        <w:t>a</w:t>
      </w:r>
      <w:r w:rsidR="006C6F09">
        <w:rPr>
          <w:i/>
          <w:iCs/>
        </w:rPr>
        <w:t xml:space="preserve"> </w:t>
      </w:r>
      <w:r w:rsidRPr="00372D3F">
        <w:rPr>
          <w:i/>
          <w:iCs/>
        </w:rPr>
        <w:t>Memorandum</w:t>
      </w:r>
      <w:r w:rsidR="006C6F09">
        <w:rPr>
          <w:i/>
          <w:iCs/>
        </w:rPr>
        <w:t xml:space="preserve"> </w:t>
      </w:r>
      <w:r w:rsidRPr="00372D3F">
        <w:rPr>
          <w:i/>
          <w:iCs/>
        </w:rPr>
        <w:t>of</w:t>
      </w:r>
      <w:r w:rsidR="006C6F09">
        <w:rPr>
          <w:i/>
          <w:iCs/>
        </w:rPr>
        <w:t xml:space="preserve"> </w:t>
      </w:r>
      <w:r w:rsidRPr="00372D3F">
        <w:rPr>
          <w:i/>
          <w:iCs/>
        </w:rPr>
        <w:t>Understanding</w:t>
      </w:r>
      <w:r w:rsidR="006C6F09">
        <w:rPr>
          <w:i/>
          <w:iCs/>
        </w:rPr>
        <w:t xml:space="preserve"> </w:t>
      </w:r>
      <w:r w:rsidRPr="00372D3F">
        <w:rPr>
          <w:i/>
          <w:iCs/>
        </w:rPr>
        <w:t>dated</w:t>
      </w:r>
      <w:r w:rsidR="006C6F09">
        <w:rPr>
          <w:i/>
          <w:iCs/>
        </w:rPr>
        <w:t xml:space="preserve"> </w:t>
      </w:r>
      <w:r w:rsidRPr="00372D3F">
        <w:rPr>
          <w:i/>
          <w:iCs/>
        </w:rPr>
        <w:t>July</w:t>
      </w:r>
      <w:r w:rsidR="006C6F09">
        <w:rPr>
          <w:i/>
          <w:iCs/>
        </w:rPr>
        <w:t xml:space="preserve"> </w:t>
      </w:r>
      <w:r w:rsidRPr="00372D3F">
        <w:rPr>
          <w:i/>
          <w:iCs/>
        </w:rPr>
        <w:t>17,</w:t>
      </w:r>
      <w:r w:rsidR="006C6F09">
        <w:rPr>
          <w:i/>
          <w:iCs/>
        </w:rPr>
        <w:t xml:space="preserve"> </w:t>
      </w:r>
      <w:r w:rsidRPr="00372D3F">
        <w:rPr>
          <w:i/>
          <w:iCs/>
        </w:rPr>
        <w:t>2025,</w:t>
      </w:r>
      <w:r w:rsidR="006C6F09">
        <w:rPr>
          <w:i/>
          <w:iCs/>
        </w:rPr>
        <w:t xml:space="preserve"> </w:t>
      </w:r>
      <w:r w:rsidRPr="00372D3F">
        <w:rPr>
          <w:i/>
          <w:iCs/>
        </w:rPr>
        <w:t>and</w:t>
      </w:r>
      <w:r w:rsidR="006C6F09">
        <w:rPr>
          <w:i/>
          <w:iCs/>
        </w:rPr>
        <w:t xml:space="preserve"> </w:t>
      </w:r>
      <w:r w:rsidRPr="00372D3F">
        <w:rPr>
          <w:i/>
          <w:iCs/>
        </w:rPr>
        <w:t>executed</w:t>
      </w:r>
      <w:r w:rsidR="006C6F09">
        <w:rPr>
          <w:i/>
          <w:iCs/>
        </w:rPr>
        <w:t xml:space="preserve"> </w:t>
      </w:r>
      <w:r w:rsidRPr="00372D3F">
        <w:rPr>
          <w:i/>
          <w:iCs/>
        </w:rPr>
        <w:t>by</w:t>
      </w:r>
      <w:r w:rsidR="006C6F09">
        <w:rPr>
          <w:i/>
          <w:iCs/>
        </w:rPr>
        <w:t xml:space="preserve"> </w:t>
      </w:r>
      <w:r w:rsidRPr="00372D3F">
        <w:rPr>
          <w:i/>
          <w:iCs/>
        </w:rPr>
        <w:t>FHWA</w:t>
      </w:r>
      <w:r w:rsidR="006C6F09">
        <w:rPr>
          <w:i/>
          <w:iCs/>
        </w:rPr>
        <w:t xml:space="preserve"> </w:t>
      </w:r>
      <w:r w:rsidRPr="00372D3F">
        <w:rPr>
          <w:i/>
          <w:iCs/>
        </w:rPr>
        <w:t>and</w:t>
      </w:r>
      <w:r w:rsidR="006C6F09">
        <w:rPr>
          <w:i/>
          <w:iCs/>
        </w:rPr>
        <w:t xml:space="preserve"> </w:t>
      </w:r>
      <w:r w:rsidRPr="00372D3F">
        <w:rPr>
          <w:i/>
          <w:iCs/>
        </w:rPr>
        <w:t>TxDOT.</w:t>
      </w:r>
    </w:p>
    <w:p w14:paraId="1187B735" w14:textId="6F499F3B" w:rsidR="00457754" w:rsidRDefault="00457754" w:rsidP="00457754">
      <w:r>
        <w:t>Keep</w:t>
      </w:r>
      <w:r w:rsidR="006C6F09">
        <w:t xml:space="preserve"> </w:t>
      </w:r>
      <w:r>
        <w:t>in</w:t>
      </w:r>
      <w:r w:rsidR="006C6F09">
        <w:t xml:space="preserve"> </w:t>
      </w:r>
      <w:r>
        <w:t>mind</w:t>
      </w:r>
      <w:r w:rsidR="006C6F09">
        <w:t xml:space="preserve"> </w:t>
      </w:r>
      <w:r>
        <w:t>that</w:t>
      </w:r>
      <w:r w:rsidR="006C6F09">
        <w:t xml:space="preserve"> </w:t>
      </w:r>
      <w:r>
        <w:t>for</w:t>
      </w:r>
      <w:r w:rsidR="006C6F09">
        <w:t xml:space="preserve"> </w:t>
      </w:r>
      <w:r>
        <w:t>environmental</w:t>
      </w:r>
      <w:r w:rsidR="006C6F09">
        <w:t xml:space="preserve"> </w:t>
      </w:r>
      <w:r>
        <w:t>assessments</w:t>
      </w:r>
      <w:r w:rsidR="006C6F09">
        <w:t xml:space="preserve"> </w:t>
      </w:r>
      <w:r>
        <w:t>the</w:t>
      </w:r>
      <w:r w:rsidR="006C6F09">
        <w:t xml:space="preserve"> </w:t>
      </w:r>
      <w:r>
        <w:t>notice</w:t>
      </w:r>
      <w:r w:rsidR="006C6F09">
        <w:t xml:space="preserve"> </w:t>
      </w:r>
      <w:r>
        <w:t>of</w:t>
      </w:r>
      <w:r w:rsidR="006C6F09">
        <w:t xml:space="preserve"> </w:t>
      </w:r>
      <w:r>
        <w:t>an</w:t>
      </w:r>
      <w:r w:rsidR="006C6F09">
        <w:t xml:space="preserve"> </w:t>
      </w:r>
      <w:r>
        <w:t>opportunity</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is</w:t>
      </w:r>
      <w:r w:rsidR="006C6F09">
        <w:t xml:space="preserve"> </w:t>
      </w:r>
      <w:r>
        <w:t>combined</w:t>
      </w:r>
      <w:r w:rsidR="006C6F09">
        <w:t xml:space="preserve"> </w:t>
      </w:r>
      <w:r>
        <w:t>with</w:t>
      </w:r>
      <w:r w:rsidR="006C6F09">
        <w:t xml:space="preserve"> </w:t>
      </w:r>
      <w:r>
        <w:t>the</w:t>
      </w:r>
      <w:r w:rsidR="006C6F09">
        <w:t xml:space="preserve"> </w:t>
      </w:r>
      <w:r>
        <w:t>notice</w:t>
      </w:r>
      <w:r w:rsidR="006C6F09">
        <w:t xml:space="preserve"> </w:t>
      </w:r>
      <w:r>
        <w:t>of</w:t>
      </w:r>
      <w:r w:rsidR="006C6F09">
        <w:t xml:space="preserve"> </w:t>
      </w:r>
      <w:r>
        <w:t>availability</w:t>
      </w:r>
      <w:r w:rsidR="006C6F09">
        <w:t xml:space="preserve"> </w:t>
      </w:r>
      <w:r>
        <w:t>of</w:t>
      </w:r>
      <w:r w:rsidR="006C6F09">
        <w:t xml:space="preserve"> </w:t>
      </w:r>
      <w:r>
        <w:t>the</w:t>
      </w:r>
      <w:r w:rsidR="006C6F09">
        <w:t xml:space="preserve"> </w:t>
      </w:r>
      <w:r>
        <w:t>draft</w:t>
      </w:r>
      <w:r w:rsidR="006C6F09">
        <w:t xml:space="preserve"> </w:t>
      </w:r>
      <w:r>
        <w:t>EA.</w:t>
      </w:r>
      <w:r w:rsidR="006C6F09">
        <w:t xml:space="preserve"> </w:t>
      </w:r>
      <w:r>
        <w:t>See</w:t>
      </w:r>
      <w:r w:rsidR="006C6F09">
        <w:t xml:space="preserve"> </w:t>
      </w:r>
      <w:r>
        <w:t>ENV’s</w:t>
      </w:r>
      <w:r w:rsidR="006C6F09">
        <w:t xml:space="preserve"> </w:t>
      </w:r>
      <w:r>
        <w:t>Template:</w:t>
      </w:r>
      <w:r w:rsidR="006C6F09">
        <w:t xml:space="preserve"> </w:t>
      </w:r>
      <w:r>
        <w:t>Draft</w:t>
      </w:r>
      <w:r w:rsidR="006C6F09">
        <w:t xml:space="preserve"> </w:t>
      </w:r>
      <w:r>
        <w:t>EA</w:t>
      </w:r>
      <w:r w:rsidR="006C6F09">
        <w:t xml:space="preserve"> </w:t>
      </w:r>
      <w:r>
        <w:t>(Environmental</w:t>
      </w:r>
      <w:r w:rsidR="006C6F09">
        <w:t xml:space="preserve"> </w:t>
      </w:r>
      <w:r>
        <w:t>Assessment)</w:t>
      </w:r>
      <w:r w:rsidR="006C6F09">
        <w:t xml:space="preserve"> </w:t>
      </w:r>
      <w:r>
        <w:t>Notice</w:t>
      </w:r>
      <w:r w:rsidR="006C6F09">
        <w:t xml:space="preserve"> </w:t>
      </w:r>
      <w:r>
        <w:t>of</w:t>
      </w:r>
      <w:r w:rsidR="006C6F09">
        <w:t xml:space="preserve"> </w:t>
      </w:r>
      <w:r>
        <w:t>Availability</w:t>
      </w:r>
      <w:r w:rsidR="006C6F09">
        <w:t xml:space="preserve"> </w:t>
      </w:r>
      <w:r>
        <w:t>and</w:t>
      </w:r>
      <w:r w:rsidR="006C6F09">
        <w:t xml:space="preserve"> </w:t>
      </w:r>
      <w:r>
        <w:t>Opportunity</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which</w:t>
      </w:r>
      <w:r w:rsidR="006C6F09">
        <w:t xml:space="preserve"> </w:t>
      </w:r>
      <w:r>
        <w:t>is</w:t>
      </w:r>
      <w:r w:rsidR="006C6F09">
        <w:t xml:space="preserve"> </w:t>
      </w:r>
      <w:r>
        <w:t>available</w:t>
      </w:r>
      <w:r w:rsidR="006C6F09">
        <w:t xml:space="preserve"> </w:t>
      </w:r>
      <w:r>
        <w:t>on</w:t>
      </w:r>
      <w:r w:rsidR="006C6F09">
        <w:t xml:space="preserve"> </w:t>
      </w:r>
      <w:r>
        <w:t>the</w:t>
      </w:r>
      <w:r w:rsidR="006C6F09">
        <w:t xml:space="preserve"> </w:t>
      </w:r>
      <w:hyperlink r:id="rId49" w:history="1">
        <w:r w:rsidRPr="002F5284">
          <w:rPr>
            <w:rStyle w:val="Hyperlink"/>
          </w:rPr>
          <w:t>Public</w:t>
        </w:r>
        <w:r w:rsidR="006C6F09">
          <w:rPr>
            <w:rStyle w:val="Hyperlink"/>
          </w:rPr>
          <w:t xml:space="preserve"> </w:t>
        </w:r>
        <w:r w:rsidRPr="002F5284">
          <w:rPr>
            <w:rStyle w:val="Hyperlink"/>
          </w:rPr>
          <w:t>Involvement</w:t>
        </w:r>
        <w:r w:rsidR="006C6F09">
          <w:rPr>
            <w:rStyle w:val="Hyperlink"/>
          </w:rPr>
          <w:t xml:space="preserve"> </w:t>
        </w:r>
        <w:r w:rsidRPr="002F5284">
          <w:rPr>
            <w:rStyle w:val="Hyperlink"/>
          </w:rPr>
          <w:t>Toolkit</w:t>
        </w:r>
      </w:hyperlink>
      <w:r>
        <w:t>.</w:t>
      </w:r>
    </w:p>
    <w:p w14:paraId="1E8C35B0" w14:textId="7934F328" w:rsidR="00457754" w:rsidRPr="00452949" w:rsidRDefault="00457754" w:rsidP="003B76FD">
      <w:pPr>
        <w:pStyle w:val="Heading3"/>
        <w:spacing w:line="360" w:lineRule="auto"/>
      </w:pPr>
      <w:bookmarkStart w:id="60" w:name="_Toc224026216"/>
      <w:r w:rsidRPr="003B76FD">
        <w:t>5.4</w:t>
      </w:r>
      <w:r w:rsidR="006C6F09" w:rsidRPr="003B76FD">
        <w:t xml:space="preserve"> </w:t>
      </w:r>
      <w:r w:rsidRPr="003B76FD">
        <w:t>Less</w:t>
      </w:r>
      <w:r w:rsidR="006C6F09" w:rsidRPr="003B76FD">
        <w:t xml:space="preserve"> </w:t>
      </w:r>
      <w:r w:rsidRPr="003B76FD">
        <w:t>Than</w:t>
      </w:r>
      <w:r w:rsidR="006C6F09" w:rsidRPr="003B76FD">
        <w:t xml:space="preserve"> </w:t>
      </w:r>
      <w:r w:rsidRPr="003B76FD">
        <w:t>10</w:t>
      </w:r>
      <w:r w:rsidR="006C6F09" w:rsidRPr="003B76FD">
        <w:t xml:space="preserve"> </w:t>
      </w:r>
      <w:r w:rsidRPr="003B76FD">
        <w:t>Hearing</w:t>
      </w:r>
      <w:r w:rsidR="006C6F09" w:rsidRPr="003B76FD">
        <w:t xml:space="preserve"> </w:t>
      </w:r>
      <w:r w:rsidRPr="003B76FD">
        <w:t>Requests</w:t>
      </w:r>
      <w:r w:rsidR="006C6F09" w:rsidRPr="003B76FD">
        <w:t xml:space="preserve"> </w:t>
      </w:r>
      <w:r w:rsidRPr="003B76FD">
        <w:t>and</w:t>
      </w:r>
      <w:r w:rsidR="006C6F09" w:rsidRPr="003B76FD">
        <w:t xml:space="preserve"> </w:t>
      </w:r>
      <w:r w:rsidRPr="003B76FD">
        <w:t>No</w:t>
      </w:r>
      <w:r w:rsidR="006C6F09" w:rsidRPr="003B76FD">
        <w:t xml:space="preserve"> </w:t>
      </w:r>
      <w:r w:rsidRPr="003B76FD">
        <w:t>Request</w:t>
      </w:r>
      <w:r w:rsidR="006C6F09" w:rsidRPr="003B76FD">
        <w:t xml:space="preserve"> </w:t>
      </w:r>
      <w:r w:rsidRPr="003B76FD">
        <w:t>by</w:t>
      </w:r>
      <w:r w:rsidR="006C6F09" w:rsidRPr="003B76FD">
        <w:t xml:space="preserve"> </w:t>
      </w:r>
      <w:r w:rsidRPr="003B76FD">
        <w:t>an</w:t>
      </w:r>
      <w:r w:rsidR="006C6F09" w:rsidRPr="003B76FD">
        <w:t xml:space="preserve"> </w:t>
      </w:r>
      <w:r w:rsidRPr="003B76FD">
        <w:t>Agency</w:t>
      </w:r>
      <w:r w:rsidR="006C6F09" w:rsidRPr="003B76FD">
        <w:t xml:space="preserve"> </w:t>
      </w:r>
      <w:r w:rsidRPr="003B76FD">
        <w:t>with</w:t>
      </w:r>
      <w:r w:rsidR="006C6F09" w:rsidRPr="003B76FD">
        <w:t xml:space="preserve"> </w:t>
      </w:r>
      <w:r w:rsidRPr="003B76FD">
        <w:t>Jurisdiction</w:t>
      </w:r>
      <w:bookmarkEnd w:id="60"/>
      <w:r w:rsidR="006C6F09">
        <w:t xml:space="preserve"> </w:t>
      </w:r>
    </w:p>
    <w:p w14:paraId="03F454B8" w14:textId="3C2F9DDD" w:rsidR="00457754" w:rsidRPr="0082061C" w:rsidRDefault="00457754" w:rsidP="00457754">
      <w:pPr>
        <w:rPr>
          <w:color w:val="0056A9"/>
        </w:rPr>
      </w:pPr>
      <w:r w:rsidRPr="00DE65D4">
        <w:t>If</w:t>
      </w:r>
      <w:r w:rsidR="006C6F09">
        <w:t xml:space="preserve"> </w:t>
      </w:r>
      <w:r w:rsidRPr="00DE65D4">
        <w:t>less</w:t>
      </w:r>
      <w:r w:rsidR="006C6F09">
        <w:t xml:space="preserve"> </w:t>
      </w:r>
      <w:r w:rsidRPr="00DE65D4">
        <w:t>than</w:t>
      </w:r>
      <w:r w:rsidR="006C6F09">
        <w:t xml:space="preserve"> </w:t>
      </w:r>
      <w:r w:rsidRPr="00DE65D4">
        <w:t>10</w:t>
      </w:r>
      <w:r w:rsidR="006C6F09">
        <w:t xml:space="preserve"> </w:t>
      </w:r>
      <w:r w:rsidRPr="00DE65D4">
        <w:t>requests</w:t>
      </w:r>
      <w:r w:rsidR="006C6F09">
        <w:t xml:space="preserve"> </w:t>
      </w:r>
      <w:r w:rsidRPr="00DE65D4">
        <w:t>for</w:t>
      </w:r>
      <w:r w:rsidR="006C6F09">
        <w:t xml:space="preserve"> </w:t>
      </w:r>
      <w:r w:rsidRPr="00DE65D4">
        <w:t>a</w:t>
      </w:r>
      <w:r w:rsidR="006C6F09">
        <w:t xml:space="preserve"> </w:t>
      </w:r>
      <w:r w:rsidRPr="00DE65D4">
        <w:t>public</w:t>
      </w:r>
      <w:r w:rsidR="006C6F09">
        <w:t xml:space="preserve"> </w:t>
      </w:r>
      <w:r w:rsidRPr="00DE65D4">
        <w:t>hearing,</w:t>
      </w:r>
      <w:r w:rsidR="006C6F09">
        <w:t xml:space="preserve"> </w:t>
      </w:r>
      <w:r w:rsidRPr="00DE65D4">
        <w:t>and</w:t>
      </w:r>
      <w:r w:rsidR="006C6F09">
        <w:t xml:space="preserve"> </w:t>
      </w:r>
      <w:r w:rsidRPr="00DE65D4">
        <w:t>no</w:t>
      </w:r>
      <w:r w:rsidR="006C6F09">
        <w:t xml:space="preserve"> </w:t>
      </w:r>
      <w:r w:rsidRPr="00DE65D4">
        <w:t>request</w:t>
      </w:r>
      <w:r w:rsidR="006C6F09">
        <w:t xml:space="preserve"> </w:t>
      </w:r>
      <w:r w:rsidRPr="00DE65D4">
        <w:t>by</w:t>
      </w:r>
      <w:r w:rsidR="006C6F09">
        <w:t xml:space="preserve"> </w:t>
      </w:r>
      <w:r w:rsidRPr="00DE65D4">
        <w:t>an</w:t>
      </w:r>
      <w:r w:rsidR="006C6F09">
        <w:t xml:space="preserve"> </w:t>
      </w:r>
      <w:r w:rsidRPr="00DE65D4">
        <w:t>agency</w:t>
      </w:r>
      <w:r w:rsidR="006C6F09">
        <w:t xml:space="preserve"> </w:t>
      </w:r>
      <w:r w:rsidRPr="00DE65D4">
        <w:t>with</w:t>
      </w:r>
      <w:r w:rsidR="006C6F09">
        <w:t xml:space="preserve"> </w:t>
      </w:r>
      <w:r w:rsidRPr="00DE65D4">
        <w:t>jurisdiction</w:t>
      </w:r>
      <w:r w:rsidR="006C6F09">
        <w:t xml:space="preserve"> </w:t>
      </w:r>
      <w:r w:rsidRPr="00DE65D4">
        <w:t>supported</w:t>
      </w:r>
      <w:r w:rsidR="006C6F09">
        <w:t xml:space="preserve"> </w:t>
      </w:r>
      <w:r w:rsidRPr="00DE65D4">
        <w:t>with</w:t>
      </w:r>
      <w:r w:rsidR="006C6F09">
        <w:t xml:space="preserve"> </w:t>
      </w:r>
      <w:r w:rsidRPr="00DE65D4">
        <w:t>reasons</w:t>
      </w:r>
      <w:r w:rsidR="006C6F09">
        <w:t xml:space="preserve"> </w:t>
      </w:r>
      <w:r w:rsidRPr="00DE65D4">
        <w:t>why</w:t>
      </w:r>
      <w:r w:rsidR="006C6F09">
        <w:t xml:space="preserve"> </w:t>
      </w:r>
      <w:r w:rsidRPr="00DE65D4">
        <w:t>a</w:t>
      </w:r>
      <w:r w:rsidR="006C6F09">
        <w:t xml:space="preserve"> </w:t>
      </w:r>
      <w:r w:rsidRPr="00DE65D4">
        <w:t>hearing</w:t>
      </w:r>
      <w:r w:rsidR="006C6F09">
        <w:t xml:space="preserve"> </w:t>
      </w:r>
      <w:r w:rsidRPr="00DE65D4">
        <w:t>will</w:t>
      </w:r>
      <w:r w:rsidR="006C6F09">
        <w:t xml:space="preserve"> </w:t>
      </w:r>
      <w:r w:rsidRPr="00DE65D4">
        <w:t>be</w:t>
      </w:r>
      <w:r w:rsidR="006C6F09">
        <w:t xml:space="preserve"> </w:t>
      </w:r>
      <w:r w:rsidRPr="00DE65D4">
        <w:t>helpful,</w:t>
      </w:r>
      <w:r w:rsidR="006C6F09">
        <w:t xml:space="preserve"> </w:t>
      </w:r>
      <w:r w:rsidRPr="00DE65D4">
        <w:t>are</w:t>
      </w:r>
      <w:r w:rsidR="006C6F09">
        <w:t xml:space="preserve"> </w:t>
      </w:r>
      <w:r w:rsidRPr="00DE65D4">
        <w:t>received</w:t>
      </w:r>
      <w:r w:rsidR="006C6F09">
        <w:t xml:space="preserve"> </w:t>
      </w:r>
      <w:r w:rsidRPr="00DE65D4">
        <w:t>by</w:t>
      </w:r>
      <w:r w:rsidR="006C6F09">
        <w:t xml:space="preserve"> </w:t>
      </w:r>
      <w:r w:rsidRPr="00DE65D4">
        <w:t>the</w:t>
      </w:r>
      <w:r w:rsidR="006C6F09">
        <w:t xml:space="preserve"> </w:t>
      </w:r>
      <w:r w:rsidRPr="00DE65D4">
        <w:t>deadline,</w:t>
      </w:r>
      <w:r w:rsidR="006C6F09">
        <w:t xml:space="preserve"> </w:t>
      </w:r>
      <w:r w:rsidRPr="00DE65D4">
        <w:t>the</w:t>
      </w:r>
      <w:r w:rsidR="006C6F09">
        <w:t xml:space="preserve"> </w:t>
      </w:r>
      <w:r w:rsidRPr="00DE65D4">
        <w:t>project</w:t>
      </w:r>
      <w:r w:rsidR="006C6F09">
        <w:t xml:space="preserve"> </w:t>
      </w:r>
      <w:r w:rsidRPr="00DE65D4">
        <w:t>sponsor</w:t>
      </w:r>
      <w:r w:rsidR="006C6F09">
        <w:t xml:space="preserve"> </w:t>
      </w:r>
      <w:r w:rsidRPr="00DE65D4">
        <w:t>prepares</w:t>
      </w:r>
      <w:r w:rsidR="006C6F09">
        <w:t xml:space="preserve"> </w:t>
      </w:r>
      <w:r w:rsidRPr="00DE65D4">
        <w:t>a</w:t>
      </w:r>
      <w:r w:rsidR="006C6F09">
        <w:t xml:space="preserve"> </w:t>
      </w:r>
      <w:r w:rsidRPr="00DE65D4">
        <w:t>certification</w:t>
      </w:r>
      <w:r w:rsidR="006C6F09">
        <w:t xml:space="preserve"> </w:t>
      </w:r>
      <w:r w:rsidRPr="00DE65D4">
        <w:t>to</w:t>
      </w:r>
      <w:r w:rsidR="006C6F09">
        <w:t xml:space="preserve"> </w:t>
      </w:r>
      <w:r w:rsidRPr="00DE65D4">
        <w:t>that</w:t>
      </w:r>
      <w:r w:rsidR="006C6F09">
        <w:t xml:space="preserve"> </w:t>
      </w:r>
      <w:r w:rsidRPr="00DE65D4">
        <w:t>effect</w:t>
      </w:r>
      <w:r w:rsidR="006C6F09">
        <w:t xml:space="preserve"> </w:t>
      </w:r>
      <w:r w:rsidRPr="00DE65D4">
        <w:t>which</w:t>
      </w:r>
      <w:r w:rsidR="006C6F09">
        <w:t xml:space="preserve"> </w:t>
      </w:r>
      <w:r w:rsidRPr="00DE65D4">
        <w:t>is</w:t>
      </w:r>
      <w:r w:rsidR="006C6F09">
        <w:t xml:space="preserve"> </w:t>
      </w:r>
      <w:r w:rsidRPr="00DE65D4">
        <w:t>signed</w:t>
      </w:r>
      <w:r w:rsidR="006C6F09">
        <w:t xml:space="preserve"> </w:t>
      </w:r>
      <w:r w:rsidRPr="00DE65D4">
        <w:t>by</w:t>
      </w:r>
      <w:r w:rsidR="006C6F09">
        <w:t xml:space="preserve"> </w:t>
      </w:r>
      <w:r w:rsidRPr="00DE65D4">
        <w:t>an</w:t>
      </w:r>
      <w:r w:rsidR="006C6F09">
        <w:t xml:space="preserve"> </w:t>
      </w:r>
      <w:r w:rsidRPr="00DE65D4">
        <w:t>appropriately</w:t>
      </w:r>
      <w:r w:rsidR="006C6F09">
        <w:t xml:space="preserve"> </w:t>
      </w:r>
      <w:r w:rsidRPr="00DE65D4">
        <w:t>designated</w:t>
      </w:r>
      <w:r w:rsidR="006C6F09">
        <w:t xml:space="preserve"> </w:t>
      </w:r>
      <w:r w:rsidRPr="00DE65D4">
        <w:t>TxDOT</w:t>
      </w:r>
      <w:r w:rsidR="006C6F09">
        <w:t xml:space="preserve"> </w:t>
      </w:r>
      <w:r w:rsidRPr="00DE65D4">
        <w:t>employee.</w:t>
      </w:r>
      <w:r w:rsidR="006C6F09">
        <w:t xml:space="preserve"> </w:t>
      </w:r>
      <w:r w:rsidRPr="00DE65D4">
        <w:t>The</w:t>
      </w:r>
      <w:r w:rsidR="006C6F09">
        <w:t xml:space="preserve"> </w:t>
      </w:r>
      <w:r w:rsidRPr="00DE65D4">
        <w:t>certification</w:t>
      </w:r>
      <w:r w:rsidR="006C6F09">
        <w:t xml:space="preserve"> </w:t>
      </w:r>
      <w:r w:rsidRPr="00DE65D4">
        <w:t>is</w:t>
      </w:r>
      <w:r w:rsidR="006C6F09">
        <w:t xml:space="preserve"> </w:t>
      </w:r>
      <w:r w:rsidRPr="00DE65D4">
        <w:t>retained</w:t>
      </w:r>
      <w:r w:rsidR="006C6F09">
        <w:t xml:space="preserve"> </w:t>
      </w:r>
      <w:r w:rsidRPr="00DE65D4">
        <w:t>in</w:t>
      </w:r>
      <w:r w:rsidR="006C6F09">
        <w:t xml:space="preserve"> </w:t>
      </w:r>
      <w:r w:rsidRPr="00DE65D4">
        <w:t>the</w:t>
      </w:r>
      <w:r w:rsidR="006C6F09">
        <w:t xml:space="preserve"> </w:t>
      </w:r>
      <w:r w:rsidRPr="00DE65D4">
        <w:t>project</w:t>
      </w:r>
      <w:r w:rsidR="006C6F09">
        <w:t xml:space="preserve"> </w:t>
      </w:r>
      <w:r w:rsidRPr="00DE65D4">
        <w:t>file.</w:t>
      </w:r>
      <w:r w:rsidR="006C6F09">
        <w:t xml:space="preserve"> </w:t>
      </w:r>
      <w:r w:rsidRPr="00DE65D4">
        <w:t>Guidance</w:t>
      </w:r>
      <w:r w:rsidR="006C6F09">
        <w:t xml:space="preserve"> </w:t>
      </w:r>
      <w:r w:rsidRPr="00DE65D4">
        <w:t>on</w:t>
      </w:r>
      <w:r w:rsidR="006C6F09">
        <w:t xml:space="preserve"> </w:t>
      </w:r>
      <w:r w:rsidRPr="00DE65D4">
        <w:t>writing</w:t>
      </w:r>
      <w:r w:rsidR="006C6F09">
        <w:t xml:space="preserve"> </w:t>
      </w:r>
      <w:r w:rsidRPr="00DE65D4">
        <w:t>the</w:t>
      </w:r>
      <w:r w:rsidR="006C6F09">
        <w:t xml:space="preserve"> </w:t>
      </w:r>
      <w:r w:rsidRPr="00DE65D4">
        <w:t>certification</w:t>
      </w:r>
      <w:r w:rsidR="006C6F09">
        <w:t xml:space="preserve"> </w:t>
      </w:r>
      <w:r w:rsidRPr="00DE65D4">
        <w:t>is</w:t>
      </w:r>
      <w:r w:rsidR="006C6F09">
        <w:t xml:space="preserve"> </w:t>
      </w:r>
      <w:r w:rsidRPr="00DE65D4">
        <w:t>provided</w:t>
      </w:r>
      <w:r w:rsidR="006C6F09">
        <w:t xml:space="preserve"> </w:t>
      </w:r>
      <w:r w:rsidRPr="00DE65D4">
        <w:t>in</w:t>
      </w:r>
      <w:r w:rsidR="006C6F09">
        <w:t xml:space="preserve"> </w:t>
      </w:r>
      <w:r w:rsidRPr="00DE65D4">
        <w:t>Section</w:t>
      </w:r>
      <w:r w:rsidR="006C6F09">
        <w:t xml:space="preserve"> </w:t>
      </w:r>
      <w:r w:rsidR="00E85D89" w:rsidRPr="00263E76">
        <w:rPr>
          <w:u w:val="single"/>
        </w:rPr>
        <w:fldChar w:fldCharType="begin"/>
      </w:r>
      <w:r w:rsidR="00E85D89" w:rsidRPr="00263E76">
        <w:rPr>
          <w:u w:val="single"/>
        </w:rPr>
        <w:instrText xml:space="preserve"> REF _Ref219790567 \h  \* MERGEFORMAT </w:instrText>
      </w:r>
      <w:r w:rsidR="00E85D89" w:rsidRPr="00263E76">
        <w:rPr>
          <w:u w:val="single"/>
        </w:rPr>
      </w:r>
      <w:r w:rsidR="00E85D89" w:rsidRPr="00263E76">
        <w:rPr>
          <w:u w:val="single"/>
        </w:rPr>
        <w:fldChar w:fldCharType="separate"/>
      </w:r>
      <w:r w:rsidR="00E85D89" w:rsidRPr="00263E76">
        <w:rPr>
          <w:color w:val="0056A9"/>
          <w:u w:val="single"/>
        </w:rPr>
        <w:t>14.3.1</w:t>
      </w:r>
      <w:r w:rsidR="00E85D89" w:rsidRPr="00263E76">
        <w:rPr>
          <w:u w:val="single"/>
        </w:rPr>
        <w:fldChar w:fldCharType="end"/>
      </w:r>
      <w:r w:rsidR="006C6F09">
        <w:rPr>
          <w:color w:val="0056A9"/>
        </w:rPr>
        <w:t xml:space="preserve"> </w:t>
      </w:r>
    </w:p>
    <w:p w14:paraId="4F62B7A9" w14:textId="34ADFC66" w:rsidR="00457754" w:rsidRPr="00452949" w:rsidRDefault="00457754" w:rsidP="003B76FD">
      <w:pPr>
        <w:pStyle w:val="Heading3"/>
        <w:spacing w:line="360" w:lineRule="auto"/>
      </w:pPr>
      <w:bookmarkStart w:id="61" w:name="_Toc224026217"/>
      <w:r w:rsidRPr="003B76FD">
        <w:lastRenderedPageBreak/>
        <w:t>5.5</w:t>
      </w:r>
      <w:r w:rsidR="006C6F09" w:rsidRPr="003B76FD">
        <w:t xml:space="preserve"> </w:t>
      </w:r>
      <w:r w:rsidRPr="003B76FD">
        <w:t>Ten</w:t>
      </w:r>
      <w:r w:rsidR="006C6F09" w:rsidRPr="003B76FD">
        <w:t xml:space="preserve"> </w:t>
      </w:r>
      <w:r w:rsidRPr="003B76FD">
        <w:t>or</w:t>
      </w:r>
      <w:r w:rsidR="006C6F09" w:rsidRPr="003B76FD">
        <w:t xml:space="preserve"> </w:t>
      </w:r>
      <w:r w:rsidRPr="003B76FD">
        <w:t>More</w:t>
      </w:r>
      <w:r w:rsidR="006C6F09" w:rsidRPr="003B76FD">
        <w:t xml:space="preserve"> </w:t>
      </w:r>
      <w:r w:rsidRPr="003B76FD">
        <w:t>Hearing</w:t>
      </w:r>
      <w:r w:rsidR="006C6F09" w:rsidRPr="003B76FD">
        <w:t xml:space="preserve"> </w:t>
      </w:r>
      <w:r w:rsidRPr="003B76FD">
        <w:t>Requests</w:t>
      </w:r>
      <w:r w:rsidR="006C6F09" w:rsidRPr="003B76FD">
        <w:t xml:space="preserve"> </w:t>
      </w:r>
      <w:r w:rsidRPr="003B76FD">
        <w:t>or</w:t>
      </w:r>
      <w:r w:rsidR="006C6F09" w:rsidRPr="003B76FD">
        <w:t xml:space="preserve"> </w:t>
      </w:r>
      <w:r w:rsidRPr="003B76FD">
        <w:t>a</w:t>
      </w:r>
      <w:r w:rsidR="006C6F09" w:rsidRPr="003B76FD">
        <w:t xml:space="preserve"> </w:t>
      </w:r>
      <w:r w:rsidRPr="003B76FD">
        <w:t>Request</w:t>
      </w:r>
      <w:r w:rsidR="006C6F09" w:rsidRPr="003B76FD">
        <w:t xml:space="preserve"> </w:t>
      </w:r>
      <w:r w:rsidRPr="003B76FD">
        <w:t>by</w:t>
      </w:r>
      <w:r w:rsidR="006C6F09" w:rsidRPr="003B76FD">
        <w:t xml:space="preserve"> </w:t>
      </w:r>
      <w:r w:rsidRPr="003B76FD">
        <w:t>an</w:t>
      </w:r>
      <w:r w:rsidR="006C6F09" w:rsidRPr="003B76FD">
        <w:t xml:space="preserve"> </w:t>
      </w:r>
      <w:r w:rsidRPr="003B76FD">
        <w:t>Agency</w:t>
      </w:r>
      <w:r w:rsidR="006C6F09" w:rsidRPr="003B76FD">
        <w:t xml:space="preserve"> </w:t>
      </w:r>
      <w:r w:rsidRPr="003B76FD">
        <w:t>with</w:t>
      </w:r>
      <w:r w:rsidR="006C6F09" w:rsidRPr="003B76FD">
        <w:t xml:space="preserve"> </w:t>
      </w:r>
      <w:r w:rsidRPr="003B76FD">
        <w:t>Jurisdiction</w:t>
      </w:r>
      <w:bookmarkEnd w:id="61"/>
      <w:r w:rsidR="006C6F09">
        <w:t xml:space="preserve"> </w:t>
      </w:r>
    </w:p>
    <w:p w14:paraId="192CBDAA" w14:textId="263BFB99" w:rsidR="00457754" w:rsidRDefault="00457754" w:rsidP="00457754">
      <w:r>
        <w:t>When</w:t>
      </w:r>
      <w:r w:rsidR="006C6F09">
        <w:t xml:space="preserve"> </w:t>
      </w:r>
      <w:r>
        <w:t>10</w:t>
      </w:r>
      <w:r w:rsidR="006C6F09">
        <w:t xml:space="preserve"> </w:t>
      </w:r>
      <w:r>
        <w:t>or</w:t>
      </w:r>
      <w:r w:rsidR="006C6F09">
        <w:t xml:space="preserve"> </w:t>
      </w:r>
      <w:r>
        <w:t>more</w:t>
      </w:r>
      <w:r w:rsidR="006C6F09">
        <w:t xml:space="preserve"> </w:t>
      </w:r>
      <w:r>
        <w:t>requests</w:t>
      </w:r>
      <w:r w:rsidR="006C6F09">
        <w:t xml:space="preserve"> </w:t>
      </w:r>
      <w:r>
        <w:t>have</w:t>
      </w:r>
      <w:r w:rsidR="006C6F09">
        <w:t xml:space="preserve"> </w:t>
      </w:r>
      <w:r>
        <w:t>been</w:t>
      </w:r>
      <w:r w:rsidR="006C6F09">
        <w:t xml:space="preserve"> </w:t>
      </w:r>
      <w:r>
        <w:t>received,</w:t>
      </w:r>
      <w:r w:rsidR="006C6F09">
        <w:t xml:space="preserve"> </w:t>
      </w:r>
      <w:r>
        <w:t>or</w:t>
      </w:r>
      <w:r w:rsidR="006C6F09">
        <w:t xml:space="preserve"> </w:t>
      </w:r>
      <w:r>
        <w:t>a</w:t>
      </w:r>
      <w:r w:rsidR="006C6F09">
        <w:t xml:space="preserve"> </w:t>
      </w:r>
      <w:r>
        <w:t>request</w:t>
      </w:r>
      <w:r w:rsidR="006C6F09">
        <w:t xml:space="preserve"> </w:t>
      </w:r>
      <w:r>
        <w:t>from</w:t>
      </w:r>
      <w:r w:rsidR="006C6F09">
        <w:t xml:space="preserve"> </w:t>
      </w:r>
      <w:r>
        <w:t>an</w:t>
      </w:r>
      <w:r w:rsidR="006C6F09">
        <w:t xml:space="preserve"> </w:t>
      </w:r>
      <w:r>
        <w:t>agency</w:t>
      </w:r>
      <w:r w:rsidR="006C6F09">
        <w:t xml:space="preserve"> </w:t>
      </w:r>
      <w:r>
        <w:t>with</w:t>
      </w:r>
      <w:r w:rsidR="006C6F09">
        <w:t xml:space="preserve"> </w:t>
      </w:r>
      <w:r>
        <w:t>jurisdiction</w:t>
      </w:r>
      <w:r w:rsidR="006C6F09">
        <w:t xml:space="preserve"> </w:t>
      </w:r>
      <w:r>
        <w:t>supported</w:t>
      </w:r>
      <w:r w:rsidR="006C6F09">
        <w:t xml:space="preserve"> </w:t>
      </w:r>
      <w:r>
        <w:t>with</w:t>
      </w:r>
      <w:r w:rsidR="006C6F09">
        <w:t xml:space="preserve"> </w:t>
      </w:r>
      <w:r>
        <w:t>reasons</w:t>
      </w:r>
      <w:r w:rsidR="006C6F09">
        <w:t xml:space="preserve"> </w:t>
      </w:r>
      <w:r>
        <w:t>why</w:t>
      </w:r>
      <w:r w:rsidR="006C6F09">
        <w:t xml:space="preserve"> </w:t>
      </w:r>
      <w:r>
        <w:t>a</w:t>
      </w:r>
      <w:r w:rsidR="006C6F09">
        <w:t xml:space="preserve"> </w:t>
      </w:r>
      <w:r>
        <w:t>hearing</w:t>
      </w:r>
      <w:r w:rsidR="006C6F09">
        <w:t xml:space="preserve"> </w:t>
      </w:r>
      <w:r>
        <w:t>will</w:t>
      </w:r>
      <w:r w:rsidR="006C6F09">
        <w:t xml:space="preserve"> </w:t>
      </w:r>
      <w:r>
        <w:t>be</w:t>
      </w:r>
      <w:r w:rsidR="006C6F09">
        <w:t xml:space="preserve"> </w:t>
      </w:r>
      <w:r>
        <w:t>helpful</w:t>
      </w:r>
      <w:r w:rsidR="006C6F09">
        <w:t xml:space="preserve"> </w:t>
      </w:r>
      <w:r>
        <w:t>has</w:t>
      </w:r>
      <w:r w:rsidR="006C6F09">
        <w:t xml:space="preserve"> </w:t>
      </w:r>
      <w:r>
        <w:t>been</w:t>
      </w:r>
      <w:r w:rsidR="006C6F09">
        <w:t xml:space="preserve"> </w:t>
      </w:r>
      <w:r>
        <w:t>received,</w:t>
      </w:r>
      <w:r w:rsidR="006C6F09">
        <w:t xml:space="preserve"> </w:t>
      </w:r>
      <w:r>
        <w:t>the</w:t>
      </w:r>
      <w:r w:rsidR="006C6F09">
        <w:t xml:space="preserve"> </w:t>
      </w:r>
      <w:r>
        <w:t>project</w:t>
      </w:r>
      <w:r w:rsidR="006C6F09">
        <w:t xml:space="preserve"> </w:t>
      </w:r>
      <w:r>
        <w:t>sponsor</w:t>
      </w:r>
      <w:r w:rsidR="006C6F09">
        <w:t xml:space="preserve"> </w:t>
      </w:r>
      <w:r>
        <w:t>may</w:t>
      </w:r>
      <w:r w:rsidR="006C6F09">
        <w:t xml:space="preserve"> </w:t>
      </w:r>
      <w:r>
        <w:t>contact</w:t>
      </w:r>
      <w:r w:rsidR="006C6F09">
        <w:t xml:space="preserve"> </w:t>
      </w:r>
      <w:r>
        <w:t>the</w:t>
      </w:r>
      <w:r w:rsidR="006C6F09">
        <w:t xml:space="preserve"> </w:t>
      </w:r>
      <w:r>
        <w:t>individuals</w:t>
      </w:r>
      <w:r w:rsidR="006C6F09">
        <w:t xml:space="preserve"> </w:t>
      </w:r>
      <w:r>
        <w:t>or</w:t>
      </w:r>
      <w:r w:rsidR="006C6F09">
        <w:t xml:space="preserve"> </w:t>
      </w:r>
      <w:r>
        <w:t>agency</w:t>
      </w:r>
      <w:r w:rsidR="006C6F09">
        <w:t xml:space="preserve"> </w:t>
      </w:r>
      <w:r>
        <w:t>requesting</w:t>
      </w:r>
      <w:r w:rsidR="006C6F09">
        <w:t xml:space="preserve"> </w:t>
      </w:r>
      <w:r>
        <w:t>a</w:t>
      </w:r>
      <w:r w:rsidR="006C6F09">
        <w:t xml:space="preserve"> </w:t>
      </w:r>
      <w:r>
        <w:t>public</w:t>
      </w:r>
      <w:r w:rsidR="006C6F09">
        <w:t xml:space="preserve"> </w:t>
      </w:r>
      <w:r>
        <w:t>hearing</w:t>
      </w:r>
      <w:r w:rsidR="006C6F09">
        <w:t xml:space="preserve"> </w:t>
      </w:r>
      <w:r>
        <w:t>to</w:t>
      </w:r>
      <w:r w:rsidR="006C6F09">
        <w:t xml:space="preserve"> </w:t>
      </w:r>
      <w:r>
        <w:t>discuss</w:t>
      </w:r>
      <w:r w:rsidR="006C6F09">
        <w:t xml:space="preserve"> </w:t>
      </w:r>
      <w:r>
        <w:t>their</w:t>
      </w:r>
      <w:r w:rsidR="006C6F09">
        <w:t xml:space="preserve"> </w:t>
      </w:r>
      <w:r>
        <w:t>concerns</w:t>
      </w:r>
      <w:r w:rsidR="006C6F09">
        <w:t xml:space="preserve"> </w:t>
      </w:r>
      <w:r>
        <w:t>regarding</w:t>
      </w:r>
      <w:r w:rsidR="006C6F09">
        <w:t xml:space="preserve"> </w:t>
      </w:r>
      <w:r>
        <w:t>the</w:t>
      </w:r>
      <w:r w:rsidR="006C6F09">
        <w:t xml:space="preserve"> </w:t>
      </w:r>
      <w:r>
        <w:t>proposed</w:t>
      </w:r>
      <w:r w:rsidR="006C6F09">
        <w:t xml:space="preserve"> </w:t>
      </w:r>
      <w:r>
        <w:t>project.</w:t>
      </w:r>
      <w:r w:rsidR="006C6F09">
        <w:t xml:space="preserve"> </w:t>
      </w:r>
      <w:r>
        <w:t>For</w:t>
      </w:r>
      <w:r w:rsidR="006C6F09">
        <w:t xml:space="preserve"> </w:t>
      </w:r>
      <w:r>
        <w:t>purposes</w:t>
      </w:r>
      <w:r w:rsidR="006C6F09">
        <w:t xml:space="preserve"> </w:t>
      </w:r>
      <w:r>
        <w:t>of</w:t>
      </w:r>
      <w:r w:rsidR="006C6F09">
        <w:t xml:space="preserve"> </w:t>
      </w:r>
      <w:r>
        <w:t>this</w:t>
      </w:r>
      <w:r w:rsidR="006C6F09">
        <w:t xml:space="preserve"> </w:t>
      </w:r>
      <w:r>
        <w:t>requirement</w:t>
      </w:r>
      <w:r w:rsidR="006C6F09">
        <w:t xml:space="preserve"> </w:t>
      </w:r>
      <w:r>
        <w:t>an</w:t>
      </w:r>
      <w:r w:rsidR="006C6F09">
        <w:t xml:space="preserve"> </w:t>
      </w:r>
      <w:r>
        <w:t>“agency</w:t>
      </w:r>
      <w:r w:rsidR="006C6F09">
        <w:t xml:space="preserve"> </w:t>
      </w:r>
      <w:r>
        <w:t>with</w:t>
      </w:r>
      <w:r w:rsidR="006C6F09">
        <w:t xml:space="preserve"> </w:t>
      </w:r>
      <w:r>
        <w:t>jurisdiction”</w:t>
      </w:r>
      <w:r w:rsidR="006C6F09">
        <w:t xml:space="preserve"> </w:t>
      </w:r>
      <w:r>
        <w:t>means</w:t>
      </w:r>
      <w:r w:rsidR="006C6F09">
        <w:t xml:space="preserve"> </w:t>
      </w:r>
      <w:r>
        <w:t>an</w:t>
      </w:r>
      <w:r w:rsidR="006C6F09">
        <w:t xml:space="preserve"> </w:t>
      </w:r>
      <w:r>
        <w:t>agency</w:t>
      </w:r>
      <w:r w:rsidR="006C6F09">
        <w:t xml:space="preserve"> </w:t>
      </w:r>
      <w:r>
        <w:t>that</w:t>
      </w:r>
      <w:r w:rsidR="006C6F09">
        <w:t xml:space="preserve"> </w:t>
      </w:r>
      <w:r>
        <w:t>has</w:t>
      </w:r>
      <w:r w:rsidR="006C6F09">
        <w:t xml:space="preserve"> </w:t>
      </w:r>
      <w:r>
        <w:t>authority</w:t>
      </w:r>
      <w:r w:rsidR="006C6F09">
        <w:t xml:space="preserve"> </w:t>
      </w:r>
      <w:r>
        <w:t>to</w:t>
      </w:r>
      <w:r w:rsidR="006C6F09">
        <w:t xml:space="preserve"> </w:t>
      </w:r>
      <w:r>
        <w:t>approve</w:t>
      </w:r>
      <w:r w:rsidR="006C6F09">
        <w:t xml:space="preserve"> </w:t>
      </w:r>
      <w:r>
        <w:t>or</w:t>
      </w:r>
      <w:r w:rsidR="006C6F09">
        <w:t xml:space="preserve"> </w:t>
      </w:r>
      <w:r>
        <w:t>disapprove</w:t>
      </w:r>
      <w:r w:rsidR="006C6F09">
        <w:t xml:space="preserve"> </w:t>
      </w:r>
      <w:r>
        <w:t>the</w:t>
      </w:r>
      <w:r w:rsidR="006C6F09">
        <w:t xml:space="preserve"> </w:t>
      </w:r>
      <w:r>
        <w:t>project.</w:t>
      </w:r>
      <w:r w:rsidR="006C6F09">
        <w:t xml:space="preserve"> </w:t>
      </w:r>
      <w:r>
        <w:t>If</w:t>
      </w:r>
      <w:r w:rsidR="006C6F09">
        <w:t xml:space="preserve"> </w:t>
      </w:r>
      <w:r>
        <w:t>an</w:t>
      </w:r>
      <w:r w:rsidR="006C6F09">
        <w:t xml:space="preserve"> </w:t>
      </w:r>
      <w:r>
        <w:t>individual’s</w:t>
      </w:r>
      <w:r w:rsidR="006C6F09">
        <w:t xml:space="preserve"> </w:t>
      </w:r>
      <w:r>
        <w:t>or</w:t>
      </w:r>
      <w:r w:rsidR="006C6F09">
        <w:t xml:space="preserve"> </w:t>
      </w:r>
      <w:r>
        <w:t>agency’s</w:t>
      </w:r>
      <w:r w:rsidR="006C6F09">
        <w:t xml:space="preserve"> </w:t>
      </w:r>
      <w:r>
        <w:t>concerns</w:t>
      </w:r>
      <w:r w:rsidR="006C6F09">
        <w:t xml:space="preserve"> </w:t>
      </w:r>
      <w:r>
        <w:t>are</w:t>
      </w:r>
      <w:r w:rsidR="006C6F09">
        <w:t xml:space="preserve"> </w:t>
      </w:r>
      <w:r>
        <w:t>satisfied</w:t>
      </w:r>
      <w:r w:rsidR="006C6F09">
        <w:t xml:space="preserve"> </w:t>
      </w:r>
      <w:r>
        <w:t>and</w:t>
      </w:r>
      <w:r w:rsidR="006C6F09">
        <w:t xml:space="preserve"> </w:t>
      </w:r>
      <w:r>
        <w:t>the</w:t>
      </w:r>
      <w:r w:rsidR="006C6F09">
        <w:t xml:space="preserve"> </w:t>
      </w:r>
      <w:r>
        <w:t>individual</w:t>
      </w:r>
      <w:r w:rsidR="006C6F09">
        <w:t xml:space="preserve"> </w:t>
      </w:r>
      <w:r>
        <w:t>or</w:t>
      </w:r>
      <w:r w:rsidR="006C6F09">
        <w:t xml:space="preserve"> </w:t>
      </w:r>
      <w:r>
        <w:t>agency</w:t>
      </w:r>
      <w:r w:rsidR="006C6F09">
        <w:t xml:space="preserve"> </w:t>
      </w:r>
      <w:r>
        <w:t>is</w:t>
      </w:r>
      <w:r w:rsidR="006C6F09">
        <w:t xml:space="preserve"> </w:t>
      </w:r>
      <w:r>
        <w:t>agreeable</w:t>
      </w:r>
      <w:r w:rsidR="006C6F09">
        <w:t xml:space="preserve"> </w:t>
      </w:r>
      <w:r>
        <w:t>to</w:t>
      </w:r>
      <w:r w:rsidR="006C6F09">
        <w:t xml:space="preserve"> </w:t>
      </w:r>
      <w:proofErr w:type="gramStart"/>
      <w:r>
        <w:t>retracting</w:t>
      </w:r>
      <w:proofErr w:type="gramEnd"/>
      <w:r w:rsidR="006C6F09">
        <w:t xml:space="preserve"> </w:t>
      </w:r>
      <w:r>
        <w:t>their</w:t>
      </w:r>
      <w:r w:rsidR="006C6F09">
        <w:t xml:space="preserve"> </w:t>
      </w:r>
      <w:r>
        <w:t>hearing</w:t>
      </w:r>
      <w:r w:rsidR="006C6F09">
        <w:t xml:space="preserve"> </w:t>
      </w:r>
      <w:r>
        <w:t>request,</w:t>
      </w:r>
      <w:r w:rsidR="006C6F09">
        <w:t xml:space="preserve"> </w:t>
      </w:r>
      <w:r>
        <w:t>the</w:t>
      </w:r>
      <w:r w:rsidR="006C6F09">
        <w:t xml:space="preserve"> </w:t>
      </w:r>
      <w:r>
        <w:t>project</w:t>
      </w:r>
      <w:r w:rsidR="006C6F09">
        <w:t xml:space="preserve"> </w:t>
      </w:r>
      <w:r>
        <w:t>sponsor</w:t>
      </w:r>
      <w:r w:rsidR="006C6F09">
        <w:t xml:space="preserve"> </w:t>
      </w:r>
      <w:r>
        <w:t>must</w:t>
      </w:r>
      <w:r w:rsidR="006C6F09">
        <w:t xml:space="preserve"> </w:t>
      </w:r>
      <w:r>
        <w:t>obtain</w:t>
      </w:r>
      <w:r w:rsidR="006C6F09">
        <w:t xml:space="preserve"> </w:t>
      </w:r>
      <w:r>
        <w:t>correspondence</w:t>
      </w:r>
      <w:r w:rsidR="006C6F09">
        <w:t xml:space="preserve"> </w:t>
      </w:r>
      <w:r>
        <w:t>(example</w:t>
      </w:r>
      <w:r w:rsidR="006C6F09">
        <w:t xml:space="preserve"> </w:t>
      </w:r>
      <w:r>
        <w:t>letter,</w:t>
      </w:r>
      <w:r w:rsidR="006C6F09">
        <w:t xml:space="preserve"> </w:t>
      </w:r>
      <w:r>
        <w:t>email,</w:t>
      </w:r>
      <w:r w:rsidR="006C6F09">
        <w:t xml:space="preserve"> </w:t>
      </w:r>
      <w:r>
        <w:t>signature</w:t>
      </w:r>
      <w:r w:rsidR="006C6F09">
        <w:t xml:space="preserve"> </w:t>
      </w:r>
      <w:r>
        <w:t>on</w:t>
      </w:r>
      <w:r w:rsidR="006C6F09">
        <w:t xml:space="preserve"> </w:t>
      </w:r>
      <w:r>
        <w:t>a</w:t>
      </w:r>
      <w:r w:rsidR="006C6F09">
        <w:t xml:space="preserve"> </w:t>
      </w:r>
      <w:r>
        <w:t>prepared</w:t>
      </w:r>
      <w:r w:rsidR="006C6F09">
        <w:t xml:space="preserve"> </w:t>
      </w:r>
      <w:r>
        <w:t>form)</w:t>
      </w:r>
      <w:r w:rsidR="006C6F09">
        <w:t xml:space="preserve"> </w:t>
      </w:r>
      <w:r>
        <w:t>from</w:t>
      </w:r>
      <w:r w:rsidR="006C6F09">
        <w:t xml:space="preserve"> </w:t>
      </w:r>
      <w:r>
        <w:t>the</w:t>
      </w:r>
      <w:r w:rsidR="006C6F09">
        <w:t xml:space="preserve"> </w:t>
      </w:r>
      <w:r>
        <w:t>individual</w:t>
      </w:r>
      <w:r w:rsidR="006C6F09">
        <w:t xml:space="preserve"> </w:t>
      </w:r>
      <w:r>
        <w:t>or</w:t>
      </w:r>
      <w:r w:rsidR="006C6F09">
        <w:t xml:space="preserve"> </w:t>
      </w:r>
      <w:r>
        <w:t>agency</w:t>
      </w:r>
      <w:r w:rsidR="006C6F09">
        <w:t xml:space="preserve"> </w:t>
      </w:r>
      <w:r>
        <w:t>requesting</w:t>
      </w:r>
      <w:r w:rsidR="006C6F09">
        <w:t xml:space="preserve"> </w:t>
      </w:r>
      <w:r>
        <w:t>the</w:t>
      </w:r>
      <w:r w:rsidR="006C6F09">
        <w:t xml:space="preserve"> </w:t>
      </w:r>
      <w:r>
        <w:t>hearing</w:t>
      </w:r>
      <w:r w:rsidR="006C6F09">
        <w:t xml:space="preserve"> </w:t>
      </w:r>
      <w:r>
        <w:t>stating</w:t>
      </w:r>
      <w:r w:rsidR="006C6F09">
        <w:t xml:space="preserve"> </w:t>
      </w:r>
      <w:r>
        <w:t>that</w:t>
      </w:r>
      <w:r w:rsidR="006C6F09">
        <w:t xml:space="preserve"> </w:t>
      </w:r>
      <w:r>
        <w:t>the</w:t>
      </w:r>
      <w:r w:rsidR="006C6F09">
        <w:t xml:space="preserve"> </w:t>
      </w:r>
      <w:r>
        <w:t>hearing</w:t>
      </w:r>
      <w:r w:rsidR="006C6F09">
        <w:t xml:space="preserve"> </w:t>
      </w:r>
      <w:r>
        <w:t>request</w:t>
      </w:r>
      <w:r w:rsidR="006C6F09">
        <w:t xml:space="preserve"> </w:t>
      </w:r>
      <w:r>
        <w:t>was</w:t>
      </w:r>
      <w:r w:rsidR="006C6F09">
        <w:t xml:space="preserve"> </w:t>
      </w:r>
      <w:r>
        <w:t>retracted.</w:t>
      </w:r>
      <w:r w:rsidR="006C6F09">
        <w:t xml:space="preserve"> </w:t>
      </w:r>
      <w:r>
        <w:t>The</w:t>
      </w:r>
      <w:r w:rsidR="006C6F09">
        <w:t xml:space="preserve"> </w:t>
      </w:r>
      <w:r>
        <w:t>letter</w:t>
      </w:r>
      <w:r w:rsidR="006C6F09">
        <w:t xml:space="preserve"> </w:t>
      </w:r>
      <w:r>
        <w:t>must</w:t>
      </w:r>
      <w:r w:rsidR="006C6F09">
        <w:t xml:space="preserve"> </w:t>
      </w:r>
      <w:r>
        <w:t>be</w:t>
      </w:r>
      <w:r w:rsidR="006C6F09">
        <w:t xml:space="preserve"> </w:t>
      </w:r>
      <w:r>
        <w:t>submitted</w:t>
      </w:r>
      <w:r w:rsidR="006C6F09">
        <w:t xml:space="preserve"> </w:t>
      </w:r>
      <w:r>
        <w:t>with</w:t>
      </w:r>
      <w:r w:rsidR="006C6F09">
        <w:t xml:space="preserve"> </w:t>
      </w:r>
      <w:r>
        <w:t>a</w:t>
      </w:r>
      <w:r w:rsidR="006C6F09">
        <w:t xml:space="preserve"> </w:t>
      </w:r>
      <w:proofErr w:type="gramStart"/>
      <w:r>
        <w:t>certification</w:t>
      </w:r>
      <w:proofErr w:type="gramEnd"/>
      <w:r w:rsidR="006C6F09">
        <w:t xml:space="preserve"> </w:t>
      </w:r>
      <w:r>
        <w:t>from</w:t>
      </w:r>
      <w:r w:rsidR="006C6F09">
        <w:t xml:space="preserve"> </w:t>
      </w:r>
      <w:r>
        <w:t>the</w:t>
      </w:r>
      <w:r w:rsidR="006C6F09">
        <w:t xml:space="preserve"> </w:t>
      </w:r>
      <w:r>
        <w:t>appropriately</w:t>
      </w:r>
      <w:r w:rsidR="006C6F09">
        <w:t xml:space="preserve"> </w:t>
      </w:r>
      <w:r>
        <w:t>designated</w:t>
      </w:r>
      <w:r w:rsidR="006C6F09">
        <w:t xml:space="preserve"> </w:t>
      </w:r>
      <w:r>
        <w:t>TxDOT</w:t>
      </w:r>
      <w:r w:rsidR="006C6F09">
        <w:t xml:space="preserve"> </w:t>
      </w:r>
      <w:r>
        <w:t>employee</w:t>
      </w:r>
      <w:r w:rsidR="006C6F09">
        <w:t xml:space="preserve"> </w:t>
      </w:r>
      <w:r>
        <w:t>to</w:t>
      </w:r>
      <w:r w:rsidR="006C6F09">
        <w:t xml:space="preserve"> </w:t>
      </w:r>
      <w:r>
        <w:t>the</w:t>
      </w:r>
      <w:r w:rsidR="006C6F09">
        <w:t xml:space="preserve"> </w:t>
      </w:r>
      <w:r>
        <w:t>department</w:t>
      </w:r>
      <w:r w:rsidR="006C6F09">
        <w:t xml:space="preserve"> </w:t>
      </w:r>
      <w:r>
        <w:t>delegate.</w:t>
      </w:r>
      <w:r w:rsidR="006C6F09">
        <w:t xml:space="preserve"> </w:t>
      </w:r>
      <w:r>
        <w:t>The</w:t>
      </w:r>
      <w:r w:rsidR="006C6F09">
        <w:t xml:space="preserve"> </w:t>
      </w:r>
      <w:r>
        <w:t>certification</w:t>
      </w:r>
      <w:r w:rsidR="006C6F09">
        <w:t xml:space="preserve"> </w:t>
      </w:r>
      <w:r>
        <w:t>must</w:t>
      </w:r>
      <w:r w:rsidR="006C6F09">
        <w:t xml:space="preserve"> </w:t>
      </w:r>
      <w:r>
        <w:t>state</w:t>
      </w:r>
      <w:r w:rsidR="006C6F09">
        <w:t xml:space="preserve"> </w:t>
      </w:r>
      <w:r>
        <w:t>that</w:t>
      </w:r>
      <w:r w:rsidR="006C6F09">
        <w:t xml:space="preserve"> </w:t>
      </w:r>
      <w:r>
        <w:t>one</w:t>
      </w:r>
      <w:r w:rsidR="006C6F09">
        <w:t xml:space="preserve"> </w:t>
      </w:r>
      <w:r>
        <w:t>or</w:t>
      </w:r>
      <w:r w:rsidR="006C6F09">
        <w:t xml:space="preserve"> </w:t>
      </w:r>
      <w:r>
        <w:t>more</w:t>
      </w:r>
      <w:r w:rsidR="006C6F09">
        <w:t xml:space="preserve"> </w:t>
      </w:r>
      <w:r>
        <w:t>requests</w:t>
      </w:r>
      <w:r w:rsidR="006C6F09">
        <w:t xml:space="preserve"> </w:t>
      </w:r>
      <w:r>
        <w:t>were</w:t>
      </w:r>
      <w:r w:rsidR="006C6F09">
        <w:t xml:space="preserve"> </w:t>
      </w:r>
      <w:r>
        <w:t>received</w:t>
      </w:r>
      <w:r w:rsidR="006C6F09">
        <w:t xml:space="preserve"> </w:t>
      </w:r>
      <w:r>
        <w:t>and</w:t>
      </w:r>
      <w:r w:rsidR="006C6F09">
        <w:t xml:space="preserve"> </w:t>
      </w:r>
      <w:r>
        <w:t>retracted</w:t>
      </w:r>
      <w:r w:rsidR="006C6F09">
        <w:t xml:space="preserve"> </w:t>
      </w:r>
      <w:r>
        <w:t>after</w:t>
      </w:r>
      <w:r w:rsidR="006C6F09">
        <w:t xml:space="preserve"> </w:t>
      </w:r>
      <w:r>
        <w:t>concerns</w:t>
      </w:r>
      <w:r w:rsidR="006C6F09">
        <w:t xml:space="preserve"> </w:t>
      </w:r>
      <w:r>
        <w:t>were</w:t>
      </w:r>
      <w:r w:rsidR="006C6F09">
        <w:t xml:space="preserve"> </w:t>
      </w:r>
      <w:r>
        <w:t>addressed</w:t>
      </w:r>
      <w:r w:rsidR="006C6F09">
        <w:t xml:space="preserve"> </w:t>
      </w:r>
      <w:r>
        <w:t>and</w:t>
      </w:r>
      <w:r w:rsidR="006C6F09">
        <w:t xml:space="preserve"> </w:t>
      </w:r>
      <w:r>
        <w:t>satisfied.</w:t>
      </w:r>
      <w:r w:rsidR="006C6F09">
        <w:t xml:space="preserve"> </w:t>
      </w:r>
    </w:p>
    <w:p w14:paraId="6474F27B" w14:textId="05285492" w:rsidR="00457754" w:rsidRDefault="00457754" w:rsidP="00457754">
      <w:r>
        <w:t>If</w:t>
      </w:r>
      <w:r w:rsidR="006C6F09">
        <w:t xml:space="preserve"> </w:t>
      </w:r>
      <w:r>
        <w:t>10</w:t>
      </w:r>
      <w:r w:rsidR="006C6F09">
        <w:t xml:space="preserve"> </w:t>
      </w:r>
      <w:r>
        <w:t>or</w:t>
      </w:r>
      <w:r w:rsidR="006C6F09">
        <w:t xml:space="preserve"> </w:t>
      </w:r>
      <w:r>
        <w:t>more</w:t>
      </w:r>
      <w:r w:rsidR="006C6F09">
        <w:t xml:space="preserve"> </w:t>
      </w:r>
      <w:r>
        <w:t>requests</w:t>
      </w:r>
      <w:r w:rsidR="006C6F09">
        <w:t xml:space="preserve"> </w:t>
      </w:r>
      <w:r>
        <w:t>remain</w:t>
      </w:r>
      <w:r w:rsidR="006C6F09">
        <w:t xml:space="preserve"> </w:t>
      </w:r>
      <w:r>
        <w:t>and</w:t>
      </w:r>
      <w:r w:rsidR="006C6F09">
        <w:t xml:space="preserve"> </w:t>
      </w:r>
      <w:r>
        <w:t>have</w:t>
      </w:r>
      <w:r w:rsidR="006C6F09">
        <w:t xml:space="preserve"> </w:t>
      </w:r>
      <w:r>
        <w:t>not</w:t>
      </w:r>
      <w:r w:rsidR="006C6F09">
        <w:t xml:space="preserve"> </w:t>
      </w:r>
      <w:r>
        <w:t>been</w:t>
      </w:r>
      <w:r w:rsidR="006C6F09">
        <w:t xml:space="preserve"> </w:t>
      </w:r>
      <w:r>
        <w:t>retracted,</w:t>
      </w:r>
      <w:r w:rsidR="006C6F09">
        <w:t xml:space="preserve"> </w:t>
      </w:r>
      <w:r>
        <w:t>or</w:t>
      </w:r>
      <w:r w:rsidR="006C6F09">
        <w:t xml:space="preserve"> </w:t>
      </w:r>
      <w:r>
        <w:t>if</w:t>
      </w:r>
      <w:r w:rsidR="006C6F09">
        <w:t xml:space="preserve"> </w:t>
      </w:r>
      <w:r>
        <w:t>a</w:t>
      </w:r>
      <w:r w:rsidR="006C6F09">
        <w:t xml:space="preserve"> </w:t>
      </w:r>
      <w:r>
        <w:t>request</w:t>
      </w:r>
      <w:r w:rsidR="006C6F09">
        <w:t xml:space="preserve"> </w:t>
      </w:r>
      <w:r>
        <w:t>from</w:t>
      </w:r>
      <w:r w:rsidR="006C6F09">
        <w:t xml:space="preserve"> </w:t>
      </w:r>
      <w:r>
        <w:t>an</w:t>
      </w:r>
      <w:r w:rsidR="006C6F09">
        <w:t xml:space="preserve"> </w:t>
      </w:r>
      <w:r>
        <w:t>agency</w:t>
      </w:r>
      <w:r w:rsidR="006C6F09">
        <w:t xml:space="preserve"> </w:t>
      </w:r>
      <w:r>
        <w:t>with</w:t>
      </w:r>
      <w:r w:rsidR="006C6F09">
        <w:t xml:space="preserve"> </w:t>
      </w:r>
      <w:r>
        <w:t>jurisdiction</w:t>
      </w:r>
      <w:r w:rsidR="006C6F09">
        <w:t xml:space="preserve"> </w:t>
      </w:r>
      <w:r>
        <w:t>remains</w:t>
      </w:r>
      <w:r w:rsidR="006C6F09">
        <w:t xml:space="preserve"> </w:t>
      </w:r>
      <w:r>
        <w:t>and</w:t>
      </w:r>
      <w:r w:rsidR="006C6F09">
        <w:t xml:space="preserve"> </w:t>
      </w:r>
      <w:r>
        <w:t>has</w:t>
      </w:r>
      <w:r w:rsidR="006C6F09">
        <w:t xml:space="preserve"> </w:t>
      </w:r>
      <w:r>
        <w:t>not</w:t>
      </w:r>
      <w:r w:rsidR="006C6F09">
        <w:t xml:space="preserve"> </w:t>
      </w:r>
      <w:r>
        <w:t>been</w:t>
      </w:r>
      <w:r w:rsidR="006C6F09">
        <w:t xml:space="preserve"> </w:t>
      </w:r>
      <w:r>
        <w:t>retracted,</w:t>
      </w:r>
      <w:r w:rsidR="006C6F09">
        <w:t xml:space="preserve"> </w:t>
      </w:r>
      <w:r>
        <w:t>a</w:t>
      </w:r>
      <w:r w:rsidR="006C6F09">
        <w:t xml:space="preserve"> </w:t>
      </w:r>
      <w:r>
        <w:t>public</w:t>
      </w:r>
      <w:r w:rsidR="006C6F09">
        <w:t xml:space="preserve"> </w:t>
      </w:r>
      <w:r>
        <w:t>hearing</w:t>
      </w:r>
      <w:r w:rsidR="006C6F09">
        <w:t xml:space="preserve"> </w:t>
      </w:r>
      <w:r>
        <w:t>must</w:t>
      </w:r>
      <w:r w:rsidR="006C6F09">
        <w:t xml:space="preserve"> </w:t>
      </w:r>
      <w:r>
        <w:t>be</w:t>
      </w:r>
      <w:r w:rsidR="006C6F09">
        <w:t xml:space="preserve"> </w:t>
      </w:r>
      <w:r>
        <w:t>scheduled</w:t>
      </w:r>
      <w:r w:rsidR="006C6F09">
        <w:t xml:space="preserve"> </w:t>
      </w:r>
      <w:r>
        <w:t>and</w:t>
      </w:r>
      <w:r w:rsidR="006C6F09">
        <w:t xml:space="preserve"> </w:t>
      </w:r>
      <w:r>
        <w:t>conducted,</w:t>
      </w:r>
      <w:r w:rsidR="006C6F09">
        <w:t xml:space="preserve"> </w:t>
      </w:r>
      <w:r>
        <w:t>and</w:t>
      </w:r>
      <w:r w:rsidR="006C6F09">
        <w:t xml:space="preserve"> </w:t>
      </w:r>
      <w:r>
        <w:t>there</w:t>
      </w:r>
      <w:r w:rsidR="006C6F09">
        <w:t xml:space="preserve"> </w:t>
      </w:r>
      <w:r>
        <w:t>is</w:t>
      </w:r>
      <w:r w:rsidR="006C6F09">
        <w:t xml:space="preserve"> </w:t>
      </w:r>
      <w:r>
        <w:t>no</w:t>
      </w:r>
      <w:r w:rsidR="006C6F09">
        <w:t xml:space="preserve"> </w:t>
      </w:r>
      <w:r>
        <w:t>need</w:t>
      </w:r>
      <w:r w:rsidR="006C6F09">
        <w:t xml:space="preserve"> </w:t>
      </w:r>
      <w:r>
        <w:t>to</w:t>
      </w:r>
      <w:r w:rsidR="006C6F09">
        <w:t xml:space="preserve"> </w:t>
      </w:r>
      <w:r>
        <w:t>fill-out</w:t>
      </w:r>
      <w:r w:rsidR="006C6F09">
        <w:t xml:space="preserve"> </w:t>
      </w:r>
      <w:r>
        <w:t>a</w:t>
      </w:r>
      <w:r w:rsidR="006C6F09">
        <w:t xml:space="preserve"> </w:t>
      </w:r>
      <w:r>
        <w:t>certification</w:t>
      </w:r>
      <w:r w:rsidR="006C6F09">
        <w:t xml:space="preserve"> </w:t>
      </w:r>
      <w:r>
        <w:t>for</w:t>
      </w:r>
      <w:r w:rsidR="006C6F09">
        <w:t xml:space="preserve"> </w:t>
      </w:r>
      <w:r>
        <w:t>the</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p>
    <w:p w14:paraId="75873CB6" w14:textId="2B9E25B8" w:rsidR="00457754" w:rsidRDefault="00457754" w:rsidP="00457754">
      <w:r>
        <w:t>If,</w:t>
      </w:r>
      <w:r w:rsidR="006C6F09">
        <w:t xml:space="preserve"> </w:t>
      </w:r>
      <w:r>
        <w:t>after</w:t>
      </w:r>
      <w:r w:rsidR="006C6F09">
        <w:t xml:space="preserve"> </w:t>
      </w:r>
      <w:r>
        <w:t>all</w:t>
      </w:r>
      <w:r w:rsidR="006C6F09">
        <w:t xml:space="preserve"> </w:t>
      </w:r>
      <w:r>
        <w:t>retractions,</w:t>
      </w:r>
      <w:r w:rsidR="006C6F09">
        <w:t xml:space="preserve"> </w:t>
      </w:r>
      <w:r>
        <w:t>less</w:t>
      </w:r>
      <w:r w:rsidR="006C6F09">
        <w:t xml:space="preserve"> </w:t>
      </w:r>
      <w:r>
        <w:t>than</w:t>
      </w:r>
      <w:r w:rsidR="006C6F09">
        <w:t xml:space="preserve"> </w:t>
      </w:r>
      <w:r>
        <w:t>10</w:t>
      </w:r>
      <w:r w:rsidR="006C6F09">
        <w:t xml:space="preserve"> </w:t>
      </w:r>
      <w:r>
        <w:t>requests</w:t>
      </w:r>
      <w:r w:rsidR="006C6F09">
        <w:t xml:space="preserve"> </w:t>
      </w:r>
      <w:r>
        <w:t>remain,</w:t>
      </w:r>
      <w:r w:rsidR="006C6F09">
        <w:t xml:space="preserve"> </w:t>
      </w:r>
      <w:r>
        <w:t>and</w:t>
      </w:r>
      <w:r w:rsidR="006C6F09">
        <w:t xml:space="preserve"> </w:t>
      </w:r>
      <w:r>
        <w:t>no</w:t>
      </w:r>
      <w:r w:rsidR="006C6F09">
        <w:t xml:space="preserve"> </w:t>
      </w:r>
      <w:r>
        <w:t>request</w:t>
      </w:r>
      <w:r w:rsidR="006C6F09">
        <w:t xml:space="preserve"> </w:t>
      </w:r>
      <w:r>
        <w:t>from</w:t>
      </w:r>
      <w:r w:rsidR="006C6F09">
        <w:t xml:space="preserve"> </w:t>
      </w:r>
      <w:r>
        <w:t>an</w:t>
      </w:r>
      <w:r w:rsidR="006C6F09">
        <w:t xml:space="preserve"> </w:t>
      </w:r>
      <w:r>
        <w:t>agency</w:t>
      </w:r>
      <w:r w:rsidR="006C6F09">
        <w:t xml:space="preserve"> </w:t>
      </w:r>
      <w:r>
        <w:t>with</w:t>
      </w:r>
      <w:r w:rsidR="006C6F09">
        <w:t xml:space="preserve"> </w:t>
      </w:r>
      <w:r>
        <w:t>jurisdiction</w:t>
      </w:r>
      <w:r w:rsidR="006C6F09">
        <w:t xml:space="preserve"> </w:t>
      </w:r>
      <w:r>
        <w:t>remains,</w:t>
      </w:r>
      <w:r w:rsidR="006C6F09">
        <w:t xml:space="preserve"> </w:t>
      </w:r>
      <w:r>
        <w:t>then</w:t>
      </w:r>
      <w:r w:rsidR="006C6F09">
        <w:t xml:space="preserve"> </w:t>
      </w:r>
      <w:r>
        <w:t>no</w:t>
      </w:r>
      <w:r w:rsidR="006C6F09">
        <w:t xml:space="preserve"> </w:t>
      </w:r>
      <w:r>
        <w:t>hearing</w:t>
      </w:r>
      <w:r w:rsidR="006C6F09">
        <w:t xml:space="preserve"> </w:t>
      </w:r>
      <w:r>
        <w:t>is</w:t>
      </w:r>
      <w:r w:rsidR="006C6F09">
        <w:t xml:space="preserve"> </w:t>
      </w:r>
      <w:r>
        <w:t>required.</w:t>
      </w:r>
      <w:r w:rsidR="006C6F09">
        <w:t xml:space="preserve"> </w:t>
      </w:r>
      <w:r>
        <w:t>However,</w:t>
      </w:r>
      <w:r w:rsidR="006C6F09">
        <w:t xml:space="preserve"> </w:t>
      </w:r>
      <w:r>
        <w:t>the</w:t>
      </w:r>
      <w:r w:rsidR="006C6F09">
        <w:t xml:space="preserve"> </w:t>
      </w:r>
      <w:r>
        <w:t>project</w:t>
      </w:r>
      <w:r w:rsidR="006C6F09">
        <w:t xml:space="preserve"> </w:t>
      </w:r>
      <w:r>
        <w:t>sponsor</w:t>
      </w:r>
      <w:r w:rsidR="006C6F09">
        <w:t xml:space="preserve"> </w:t>
      </w:r>
      <w:r>
        <w:t>must</w:t>
      </w:r>
      <w:r w:rsidR="006C6F09">
        <w:t xml:space="preserve"> </w:t>
      </w:r>
      <w:r>
        <w:t>inform</w:t>
      </w:r>
      <w:r w:rsidR="006C6F09">
        <w:t xml:space="preserve"> </w:t>
      </w:r>
      <w:r>
        <w:t>the</w:t>
      </w:r>
      <w:r w:rsidR="006C6F09">
        <w:t xml:space="preserve"> </w:t>
      </w:r>
      <w:r>
        <w:t>remaining</w:t>
      </w:r>
      <w:r w:rsidR="006C6F09">
        <w:t xml:space="preserve"> </w:t>
      </w:r>
      <w:r>
        <w:t>requestors</w:t>
      </w:r>
      <w:r w:rsidR="006C6F09">
        <w:t xml:space="preserve"> </w:t>
      </w:r>
      <w:r>
        <w:t>that</w:t>
      </w:r>
      <w:r w:rsidR="006C6F09">
        <w:t xml:space="preserve"> </w:t>
      </w:r>
      <w:r>
        <w:t>the</w:t>
      </w:r>
      <w:r w:rsidR="006C6F09">
        <w:t xml:space="preserve"> </w:t>
      </w:r>
      <w:r>
        <w:t>threshold</w:t>
      </w:r>
      <w:r w:rsidR="006C6F09">
        <w:t xml:space="preserve"> </w:t>
      </w:r>
      <w:r>
        <w:t>for</w:t>
      </w:r>
      <w:r w:rsidR="006C6F09">
        <w:t xml:space="preserve"> </w:t>
      </w:r>
      <w:r>
        <w:t>holding</w:t>
      </w:r>
      <w:r w:rsidR="006C6F09">
        <w:t xml:space="preserve"> </w:t>
      </w:r>
      <w:r>
        <w:t>a</w:t>
      </w:r>
      <w:r w:rsidR="006C6F09">
        <w:t xml:space="preserve"> </w:t>
      </w:r>
      <w:r>
        <w:t>hearing</w:t>
      </w:r>
      <w:r w:rsidR="006C6F09">
        <w:t xml:space="preserve"> </w:t>
      </w:r>
      <w:r>
        <w:t>was</w:t>
      </w:r>
      <w:r w:rsidR="006C6F09">
        <w:t xml:space="preserve"> </w:t>
      </w:r>
      <w:r>
        <w:t>not</w:t>
      </w:r>
      <w:r w:rsidR="006C6F09">
        <w:t xml:space="preserve"> </w:t>
      </w:r>
      <w:r>
        <w:t>met</w:t>
      </w:r>
      <w:r w:rsidR="006C6F09">
        <w:t xml:space="preserve"> </w:t>
      </w:r>
      <w:r>
        <w:t>and</w:t>
      </w:r>
      <w:r w:rsidR="006C6F09">
        <w:t xml:space="preserve"> </w:t>
      </w:r>
      <w:r>
        <w:t>so</w:t>
      </w:r>
      <w:r w:rsidR="006C6F09">
        <w:t xml:space="preserve"> </w:t>
      </w:r>
      <w:r>
        <w:t>no</w:t>
      </w:r>
      <w:r w:rsidR="006C6F09">
        <w:t xml:space="preserve"> </w:t>
      </w:r>
      <w:r>
        <w:t>hearing</w:t>
      </w:r>
      <w:r w:rsidR="006C6F09">
        <w:t xml:space="preserve"> </w:t>
      </w:r>
      <w:r>
        <w:t>will</w:t>
      </w:r>
      <w:r w:rsidR="006C6F09">
        <w:t xml:space="preserve"> </w:t>
      </w:r>
      <w:r>
        <w:t>be</w:t>
      </w:r>
      <w:r w:rsidR="006C6F09">
        <w:t xml:space="preserve"> </w:t>
      </w:r>
      <w:r>
        <w:t>held.</w:t>
      </w:r>
      <w:r w:rsidR="006C6F09">
        <w:t xml:space="preserve"> </w:t>
      </w:r>
    </w:p>
    <w:p w14:paraId="6030FEC3" w14:textId="0C9AD1CC" w:rsidR="00457754" w:rsidRDefault="00457754" w:rsidP="00457754">
      <w:r>
        <w:t>If</w:t>
      </w:r>
      <w:r w:rsidR="006C6F09">
        <w:t xml:space="preserve"> </w:t>
      </w:r>
      <w:r>
        <w:t>many</w:t>
      </w:r>
      <w:r w:rsidR="006C6F09">
        <w:t xml:space="preserve"> </w:t>
      </w:r>
      <w:r>
        <w:t>hearing</w:t>
      </w:r>
      <w:r w:rsidR="006C6F09">
        <w:t xml:space="preserve"> </w:t>
      </w:r>
      <w:r>
        <w:t>requests</w:t>
      </w:r>
      <w:r w:rsidR="006C6F09">
        <w:t xml:space="preserve"> </w:t>
      </w:r>
      <w:r>
        <w:t>are</w:t>
      </w:r>
      <w:r w:rsidR="006C6F09">
        <w:t xml:space="preserve"> </w:t>
      </w:r>
      <w:r>
        <w:t>received,</w:t>
      </w:r>
      <w:r w:rsidR="006C6F09">
        <w:t xml:space="preserve"> </w:t>
      </w:r>
      <w:r>
        <w:t>the</w:t>
      </w:r>
      <w:r w:rsidR="006C6F09">
        <w:t xml:space="preserve"> </w:t>
      </w:r>
      <w:r>
        <w:t>project</w:t>
      </w:r>
      <w:r w:rsidR="006C6F09">
        <w:t xml:space="preserve"> </w:t>
      </w:r>
      <w:r>
        <w:t>sponsor</w:t>
      </w:r>
      <w:r w:rsidR="006C6F09">
        <w:t xml:space="preserve"> </w:t>
      </w:r>
      <w:r>
        <w:t>should</w:t>
      </w:r>
      <w:r w:rsidR="006C6F09">
        <w:t xml:space="preserve"> </w:t>
      </w:r>
      <w:r>
        <w:t>proceed</w:t>
      </w:r>
      <w:r w:rsidR="006C6F09">
        <w:t xml:space="preserve"> </w:t>
      </w:r>
      <w:r>
        <w:t>with</w:t>
      </w:r>
      <w:r w:rsidR="006C6F09">
        <w:t xml:space="preserve"> </w:t>
      </w:r>
      <w:r>
        <w:t>arranging</w:t>
      </w:r>
      <w:r w:rsidR="006C6F09">
        <w:t xml:space="preserve"> </w:t>
      </w:r>
      <w:r>
        <w:t>the</w:t>
      </w:r>
      <w:r w:rsidR="006C6F09">
        <w:t xml:space="preserve"> </w:t>
      </w:r>
      <w:r>
        <w:t>public</w:t>
      </w:r>
      <w:r w:rsidR="006C6F09">
        <w:t xml:space="preserve"> </w:t>
      </w:r>
      <w:r>
        <w:t>hearing</w:t>
      </w:r>
      <w:r w:rsidR="006C6F09">
        <w:t xml:space="preserve"> </w:t>
      </w:r>
      <w:r>
        <w:t>instead</w:t>
      </w:r>
      <w:r w:rsidR="006C6F09">
        <w:t xml:space="preserve"> </w:t>
      </w:r>
      <w:r>
        <w:t>of</w:t>
      </w:r>
      <w:r w:rsidR="006C6F09">
        <w:t xml:space="preserve"> </w:t>
      </w:r>
      <w:r>
        <w:t>reaching</w:t>
      </w:r>
      <w:r w:rsidR="006C6F09">
        <w:t xml:space="preserve"> </w:t>
      </w:r>
      <w:r>
        <w:t>out</w:t>
      </w:r>
      <w:r w:rsidR="006C6F09">
        <w:t xml:space="preserve"> </w:t>
      </w:r>
      <w:r>
        <w:t>to</w:t>
      </w:r>
      <w:r w:rsidR="006C6F09">
        <w:t xml:space="preserve"> </w:t>
      </w:r>
      <w:r>
        <w:t>each</w:t>
      </w:r>
      <w:r w:rsidR="006C6F09">
        <w:t xml:space="preserve"> </w:t>
      </w:r>
      <w:r>
        <w:t>individual</w:t>
      </w:r>
      <w:r w:rsidR="006C6F09">
        <w:t xml:space="preserve"> </w:t>
      </w:r>
      <w:r>
        <w:t>requestor</w:t>
      </w:r>
      <w:r w:rsidR="006C6F09">
        <w:t xml:space="preserve"> </w:t>
      </w:r>
      <w:r>
        <w:t>as</w:t>
      </w:r>
      <w:r w:rsidR="006C6F09">
        <w:t xml:space="preserve"> </w:t>
      </w:r>
      <w:r>
        <w:t>described</w:t>
      </w:r>
      <w:r w:rsidR="006C6F09">
        <w:t xml:space="preserve"> </w:t>
      </w:r>
      <w:r>
        <w:t>above.</w:t>
      </w:r>
    </w:p>
    <w:p w14:paraId="52AA675D" w14:textId="18F734B9" w:rsidR="00457754" w:rsidRPr="00452949" w:rsidRDefault="00457754" w:rsidP="00457754">
      <w:pPr>
        <w:pStyle w:val="Heading2"/>
      </w:pPr>
      <w:bookmarkStart w:id="62" w:name="_Ref219385473"/>
      <w:bookmarkStart w:id="63" w:name="_Ref219790964"/>
      <w:bookmarkStart w:id="64" w:name="_Toc224026218"/>
      <w:r w:rsidRPr="00452949">
        <w:lastRenderedPageBreak/>
        <w:t>6.0</w:t>
      </w:r>
      <w:r w:rsidR="006C6F09">
        <w:t xml:space="preserve"> </w:t>
      </w:r>
      <w:r w:rsidRPr="00452949">
        <w:t>Public</w:t>
      </w:r>
      <w:r w:rsidR="006C6F09">
        <w:t xml:space="preserve"> </w:t>
      </w:r>
      <w:r w:rsidRPr="00452949">
        <w:t>Hearing</w:t>
      </w:r>
      <w:bookmarkEnd w:id="62"/>
      <w:bookmarkEnd w:id="63"/>
      <w:bookmarkEnd w:id="64"/>
      <w:r w:rsidR="006C6F09">
        <w:t xml:space="preserve"> </w:t>
      </w:r>
    </w:p>
    <w:p w14:paraId="6E4C4388" w14:textId="26CE9C77" w:rsidR="00457754" w:rsidRDefault="00457754" w:rsidP="00457754">
      <w:r>
        <w:t>Public</w:t>
      </w:r>
      <w:r w:rsidR="006C6F09">
        <w:t xml:space="preserve"> </w:t>
      </w:r>
      <w:r>
        <w:t>hearings</w:t>
      </w:r>
      <w:r w:rsidR="006C6F09">
        <w:t xml:space="preserve"> </w:t>
      </w:r>
      <w:r>
        <w:t>are</w:t>
      </w:r>
      <w:r w:rsidR="006C6F09">
        <w:t xml:space="preserve"> </w:t>
      </w:r>
      <w:r>
        <w:t>conducted</w:t>
      </w:r>
      <w:r w:rsidR="006C6F09">
        <w:t xml:space="preserve"> </w:t>
      </w:r>
      <w:r>
        <w:t>to</w:t>
      </w:r>
      <w:r w:rsidR="006C6F09">
        <w:t xml:space="preserve"> </w:t>
      </w:r>
      <w:r>
        <w:t>provide</w:t>
      </w:r>
      <w:r w:rsidR="006C6F09">
        <w:t xml:space="preserve"> </w:t>
      </w:r>
      <w:r>
        <w:t>an</w:t>
      </w:r>
      <w:r w:rsidR="006C6F09">
        <w:t xml:space="preserve"> </w:t>
      </w:r>
      <w:r>
        <w:t>opportunity</w:t>
      </w:r>
      <w:r w:rsidR="006C6F09">
        <w:t xml:space="preserve"> </w:t>
      </w:r>
      <w:r>
        <w:t>during</w:t>
      </w:r>
      <w:r w:rsidR="006C6F09">
        <w:t xml:space="preserve"> </w:t>
      </w:r>
      <w:r>
        <w:t>project</w:t>
      </w:r>
      <w:r w:rsidR="006C6F09">
        <w:t xml:space="preserve"> </w:t>
      </w:r>
      <w:r>
        <w:t>development</w:t>
      </w:r>
      <w:r w:rsidR="006C6F09">
        <w:t xml:space="preserve"> </w:t>
      </w:r>
      <w:r>
        <w:t>for</w:t>
      </w:r>
      <w:r w:rsidR="006C6F09">
        <w:t xml:space="preserve"> </w:t>
      </w:r>
      <w:r>
        <w:t>the</w:t>
      </w:r>
      <w:r w:rsidR="006C6F09">
        <w:t xml:space="preserve"> </w:t>
      </w:r>
      <w:r>
        <w:t>public</w:t>
      </w:r>
      <w:r w:rsidR="006C6F09">
        <w:t xml:space="preserve"> </w:t>
      </w:r>
      <w:r>
        <w:t>to</w:t>
      </w:r>
      <w:r w:rsidR="006C6F09">
        <w:t xml:space="preserve"> </w:t>
      </w:r>
      <w:r>
        <w:t>be</w:t>
      </w:r>
      <w:r w:rsidR="006C6F09">
        <w:t xml:space="preserve"> </w:t>
      </w:r>
      <w:r>
        <w:t>more</w:t>
      </w:r>
      <w:r w:rsidR="006C6F09">
        <w:t xml:space="preserve"> </w:t>
      </w:r>
      <w:r>
        <w:t>formally</w:t>
      </w:r>
      <w:r w:rsidR="006C6F09">
        <w:t xml:space="preserve"> </w:t>
      </w:r>
      <w:r>
        <w:t>involved</w:t>
      </w:r>
      <w:r w:rsidR="006C6F09">
        <w:t xml:space="preserve"> </w:t>
      </w:r>
      <w:r>
        <w:t>in</w:t>
      </w:r>
      <w:r w:rsidR="006C6F09">
        <w:t xml:space="preserve"> </w:t>
      </w:r>
      <w:r>
        <w:t>the</w:t>
      </w:r>
      <w:r w:rsidR="006C6F09">
        <w:t xml:space="preserve"> </w:t>
      </w:r>
      <w:r>
        <w:t>identification</w:t>
      </w:r>
      <w:r w:rsidR="006C6F09">
        <w:t xml:space="preserve"> </w:t>
      </w:r>
      <w:r>
        <w:t>of</w:t>
      </w:r>
      <w:r w:rsidR="006C6F09">
        <w:t xml:space="preserve"> </w:t>
      </w:r>
      <w:r>
        <w:t>social,</w:t>
      </w:r>
      <w:r w:rsidR="006C6F09">
        <w:t xml:space="preserve"> </w:t>
      </w:r>
      <w:r>
        <w:t>economic,</w:t>
      </w:r>
      <w:r w:rsidR="006C6F09">
        <w:t xml:space="preserve"> </w:t>
      </w:r>
      <w:r>
        <w:t>and</w:t>
      </w:r>
      <w:r w:rsidR="006C6F09">
        <w:t xml:space="preserve"> </w:t>
      </w:r>
      <w:r>
        <w:t>environmental</w:t>
      </w:r>
      <w:r w:rsidR="006C6F09">
        <w:t xml:space="preserve"> </w:t>
      </w:r>
      <w:r>
        <w:t>impacts</w:t>
      </w:r>
      <w:r w:rsidR="006C6F09">
        <w:t xml:space="preserve"> </w:t>
      </w:r>
      <w:r>
        <w:t>and</w:t>
      </w:r>
      <w:r w:rsidR="006C6F09">
        <w:t xml:space="preserve"> </w:t>
      </w:r>
      <w:r>
        <w:t>impacts</w:t>
      </w:r>
      <w:r w:rsidR="006C6F09">
        <w:t xml:space="preserve"> </w:t>
      </w:r>
      <w:r>
        <w:t>associated</w:t>
      </w:r>
      <w:r w:rsidR="006C6F09">
        <w:t xml:space="preserve"> </w:t>
      </w:r>
      <w:r>
        <w:t>with</w:t>
      </w:r>
      <w:r w:rsidR="006C6F09">
        <w:t xml:space="preserve"> </w:t>
      </w:r>
      <w:r>
        <w:t>the</w:t>
      </w:r>
      <w:r w:rsidR="006C6F09">
        <w:t xml:space="preserve"> </w:t>
      </w:r>
      <w:r>
        <w:t>relocation</w:t>
      </w:r>
      <w:r w:rsidR="006C6F09">
        <w:t xml:space="preserve"> </w:t>
      </w:r>
      <w:r>
        <w:t>of</w:t>
      </w:r>
      <w:r w:rsidR="006C6F09">
        <w:t xml:space="preserve"> </w:t>
      </w:r>
      <w:r>
        <w:t>individuals,</w:t>
      </w:r>
      <w:r w:rsidR="006C6F09">
        <w:t xml:space="preserve"> </w:t>
      </w:r>
      <w:r>
        <w:t>groups,</w:t>
      </w:r>
      <w:r w:rsidR="006C6F09">
        <w:t xml:space="preserve"> </w:t>
      </w:r>
      <w:r>
        <w:t>or</w:t>
      </w:r>
      <w:r w:rsidR="006C6F09">
        <w:t xml:space="preserve"> </w:t>
      </w:r>
      <w:r>
        <w:t>institutions.</w:t>
      </w:r>
      <w:r w:rsidR="006C6F09">
        <w:t xml:space="preserve"> </w:t>
      </w:r>
      <w:r>
        <w:t>Information</w:t>
      </w:r>
      <w:r w:rsidR="006C6F09">
        <w:t xml:space="preserve"> </w:t>
      </w:r>
      <w:r>
        <w:t>regarding</w:t>
      </w:r>
      <w:r w:rsidR="006C6F09">
        <w:t xml:space="preserve"> </w:t>
      </w:r>
      <w:r>
        <w:t>a</w:t>
      </w:r>
      <w:r w:rsidR="006C6F09">
        <w:t xml:space="preserve"> </w:t>
      </w:r>
      <w:r>
        <w:t>proposed</w:t>
      </w:r>
      <w:r w:rsidR="006C6F09">
        <w:t xml:space="preserve"> </w:t>
      </w:r>
      <w:r>
        <w:t>project</w:t>
      </w:r>
      <w:r w:rsidR="006C6F09">
        <w:t xml:space="preserve"> </w:t>
      </w:r>
      <w:r>
        <w:t>–</w:t>
      </w:r>
      <w:r w:rsidR="006C6F09">
        <w:t xml:space="preserve"> </w:t>
      </w:r>
      <w:r>
        <w:t>including</w:t>
      </w:r>
      <w:r w:rsidR="006C6F09">
        <w:t xml:space="preserve"> </w:t>
      </w:r>
      <w:r>
        <w:t>project</w:t>
      </w:r>
      <w:r w:rsidR="006C6F09">
        <w:t xml:space="preserve"> </w:t>
      </w:r>
      <w:r>
        <w:t>design</w:t>
      </w:r>
      <w:r w:rsidR="006C6F09">
        <w:t xml:space="preserve"> </w:t>
      </w:r>
      <w:r>
        <w:t>information,</w:t>
      </w:r>
      <w:r w:rsidR="006C6F09">
        <w:t xml:space="preserve"> </w:t>
      </w:r>
      <w:r>
        <w:t>project</w:t>
      </w:r>
      <w:r w:rsidR="006C6F09">
        <w:t xml:space="preserve"> </w:t>
      </w:r>
      <w:r>
        <w:t>alternatives,</w:t>
      </w:r>
      <w:r w:rsidR="006C6F09">
        <w:t xml:space="preserve"> </w:t>
      </w:r>
      <w:r>
        <w:t>and</w:t>
      </w:r>
      <w:r w:rsidR="006C6F09">
        <w:t xml:space="preserve"> </w:t>
      </w:r>
      <w:r>
        <w:t>environmental</w:t>
      </w:r>
      <w:r w:rsidR="006C6F09">
        <w:t xml:space="preserve"> </w:t>
      </w:r>
      <w:r>
        <w:t>findings</w:t>
      </w:r>
      <w:r w:rsidR="006C6F09">
        <w:t xml:space="preserve"> </w:t>
      </w:r>
      <w:r>
        <w:t>–</w:t>
      </w:r>
      <w:r w:rsidR="006C6F09">
        <w:t xml:space="preserve"> </w:t>
      </w:r>
      <w:r>
        <w:t>is</w:t>
      </w:r>
      <w:r w:rsidR="006C6F09">
        <w:t xml:space="preserve"> </w:t>
      </w:r>
      <w:r>
        <w:t>presented</w:t>
      </w:r>
      <w:r w:rsidR="006C6F09">
        <w:t xml:space="preserve"> </w:t>
      </w:r>
      <w:r>
        <w:t>at</w:t>
      </w:r>
      <w:r w:rsidR="006C6F09">
        <w:t xml:space="preserve"> </w:t>
      </w:r>
      <w:r>
        <w:t>a</w:t>
      </w:r>
      <w:r w:rsidR="006C6F09">
        <w:t xml:space="preserve"> </w:t>
      </w:r>
      <w:r>
        <w:t>public</w:t>
      </w:r>
      <w:r w:rsidR="006C6F09">
        <w:t xml:space="preserve"> </w:t>
      </w:r>
      <w:r>
        <w:t>hearing,</w:t>
      </w:r>
      <w:r w:rsidR="006C6F09">
        <w:t xml:space="preserve"> </w:t>
      </w:r>
      <w:r>
        <w:t>and</w:t>
      </w:r>
      <w:r w:rsidR="006C6F09">
        <w:t xml:space="preserve"> </w:t>
      </w:r>
      <w:r>
        <w:t>the</w:t>
      </w:r>
      <w:r w:rsidR="006C6F09">
        <w:t xml:space="preserve"> </w:t>
      </w:r>
      <w:r>
        <w:t>public</w:t>
      </w:r>
      <w:r w:rsidR="006C6F09">
        <w:t xml:space="preserve"> </w:t>
      </w:r>
      <w:r>
        <w:t>is</w:t>
      </w:r>
      <w:r w:rsidR="006C6F09">
        <w:t xml:space="preserve"> </w:t>
      </w:r>
      <w:r>
        <w:t>encouraged</w:t>
      </w:r>
      <w:r w:rsidR="006C6F09">
        <w:t xml:space="preserve"> </w:t>
      </w:r>
      <w:r>
        <w:t>to</w:t>
      </w:r>
      <w:r w:rsidR="006C6F09">
        <w:t xml:space="preserve"> </w:t>
      </w:r>
      <w:r>
        <w:t>provide</w:t>
      </w:r>
      <w:r w:rsidR="006C6F09">
        <w:t xml:space="preserve"> </w:t>
      </w:r>
      <w:r>
        <w:t>comment</w:t>
      </w:r>
      <w:r w:rsidR="006C6F09">
        <w:t xml:space="preserve"> </w:t>
      </w:r>
      <w:r>
        <w:t>on</w:t>
      </w:r>
      <w:r w:rsidR="006C6F09">
        <w:t xml:space="preserve"> </w:t>
      </w:r>
      <w:r>
        <w:t>the</w:t>
      </w:r>
      <w:r w:rsidR="006C6F09">
        <w:t xml:space="preserve"> </w:t>
      </w:r>
      <w:r>
        <w:t>proposed</w:t>
      </w:r>
      <w:r w:rsidR="006C6F09">
        <w:t xml:space="preserve"> </w:t>
      </w:r>
      <w:r>
        <w:t>project</w:t>
      </w:r>
      <w:r w:rsidR="006C6F09">
        <w:t xml:space="preserve"> </w:t>
      </w:r>
      <w:r>
        <w:t>(</w:t>
      </w:r>
      <w:hyperlink r:id="rId50" w:history="1">
        <w:r w:rsidRPr="00AF6801">
          <w:rPr>
            <w:rStyle w:val="Hyperlink"/>
          </w:rPr>
          <w:t>Title</w:t>
        </w:r>
        <w:r w:rsidR="006C6F09">
          <w:rPr>
            <w:rStyle w:val="Hyperlink"/>
          </w:rPr>
          <w:t xml:space="preserve"> </w:t>
        </w:r>
        <w:r w:rsidRPr="00AF6801">
          <w:rPr>
            <w:rStyle w:val="Hyperlink"/>
          </w:rPr>
          <w:t>23</w:t>
        </w:r>
        <w:r w:rsidR="006C6F09">
          <w:rPr>
            <w:rStyle w:val="Hyperlink"/>
          </w:rPr>
          <w:t xml:space="preserve"> </w:t>
        </w:r>
        <w:r w:rsidRPr="00AF6801">
          <w:rPr>
            <w:rStyle w:val="Hyperlink"/>
          </w:rPr>
          <w:t>United</w:t>
        </w:r>
        <w:r w:rsidR="006C6F09">
          <w:rPr>
            <w:rStyle w:val="Hyperlink"/>
          </w:rPr>
          <w:t xml:space="preserve"> </w:t>
        </w:r>
        <w:r w:rsidRPr="00AF6801">
          <w:rPr>
            <w:rStyle w:val="Hyperlink"/>
          </w:rPr>
          <w:t>States</w:t>
        </w:r>
        <w:r w:rsidR="006C6F09">
          <w:rPr>
            <w:rStyle w:val="Hyperlink"/>
          </w:rPr>
          <w:t xml:space="preserve"> </w:t>
        </w:r>
        <w:r w:rsidRPr="00AF6801">
          <w:rPr>
            <w:rStyle w:val="Hyperlink"/>
          </w:rPr>
          <w:t>Code</w:t>
        </w:r>
        <w:r w:rsidR="006C6F09">
          <w:rPr>
            <w:rStyle w:val="Hyperlink"/>
          </w:rPr>
          <w:t xml:space="preserve"> </w:t>
        </w:r>
        <w:r w:rsidRPr="00AF6801">
          <w:rPr>
            <w:rStyle w:val="Hyperlink"/>
          </w:rPr>
          <w:t>139:</w:t>
        </w:r>
        <w:r w:rsidR="006C6F09">
          <w:rPr>
            <w:rStyle w:val="Hyperlink"/>
          </w:rPr>
          <w:t xml:space="preserve"> </w:t>
        </w:r>
        <w:r w:rsidRPr="00AF6801">
          <w:rPr>
            <w:rStyle w:val="Hyperlink"/>
          </w:rPr>
          <w:t>Efficient</w:t>
        </w:r>
        <w:r w:rsidR="006C6F09">
          <w:rPr>
            <w:rStyle w:val="Hyperlink"/>
          </w:rPr>
          <w:t xml:space="preserve"> </w:t>
        </w:r>
        <w:r w:rsidRPr="00AF6801">
          <w:rPr>
            <w:rStyle w:val="Hyperlink"/>
          </w:rPr>
          <w:t>Environmental</w:t>
        </w:r>
        <w:r w:rsidR="006C6F09">
          <w:rPr>
            <w:rStyle w:val="Hyperlink"/>
          </w:rPr>
          <w:t xml:space="preserve"> </w:t>
        </w:r>
        <w:r w:rsidRPr="00AF6801">
          <w:rPr>
            <w:rStyle w:val="Hyperlink"/>
          </w:rPr>
          <w:t>Reviews</w:t>
        </w:r>
        <w:r w:rsidR="006C6F09">
          <w:rPr>
            <w:rStyle w:val="Hyperlink"/>
          </w:rPr>
          <w:t xml:space="preserve"> </w:t>
        </w:r>
        <w:r w:rsidRPr="00AF6801">
          <w:rPr>
            <w:rStyle w:val="Hyperlink"/>
          </w:rPr>
          <w:t>for</w:t>
        </w:r>
        <w:r w:rsidR="006C6F09">
          <w:rPr>
            <w:rStyle w:val="Hyperlink"/>
          </w:rPr>
          <w:t xml:space="preserve"> </w:t>
        </w:r>
        <w:r w:rsidRPr="00AF6801">
          <w:rPr>
            <w:rStyle w:val="Hyperlink"/>
          </w:rPr>
          <w:t>Project</w:t>
        </w:r>
        <w:r w:rsidR="006C6F09">
          <w:rPr>
            <w:rStyle w:val="Hyperlink"/>
          </w:rPr>
          <w:t xml:space="preserve"> </w:t>
        </w:r>
        <w:r w:rsidR="001453AE" w:rsidRPr="00AF6801">
          <w:rPr>
            <w:rStyle w:val="Hyperlink"/>
          </w:rPr>
          <w:t>Decision</w:t>
        </w:r>
        <w:r w:rsidR="006C6F09">
          <w:rPr>
            <w:rStyle w:val="Hyperlink"/>
          </w:rPr>
          <w:t xml:space="preserve"> </w:t>
        </w:r>
        <w:r w:rsidR="001453AE" w:rsidRPr="00AF6801">
          <w:rPr>
            <w:rStyle w:val="Hyperlink"/>
          </w:rPr>
          <w:t>making</w:t>
        </w:r>
        <w:r w:rsidR="006C6F09">
          <w:rPr>
            <w:rStyle w:val="Hyperlink"/>
          </w:rPr>
          <w:t xml:space="preserve"> </w:t>
        </w:r>
        <w:r w:rsidRPr="00AF6801">
          <w:rPr>
            <w:rStyle w:val="Hyperlink"/>
          </w:rPr>
          <w:t>and</w:t>
        </w:r>
        <w:r w:rsidR="006C6F09">
          <w:rPr>
            <w:rStyle w:val="Hyperlink"/>
          </w:rPr>
          <w:t xml:space="preserve"> </w:t>
        </w:r>
        <w:r w:rsidRPr="00AF6801">
          <w:rPr>
            <w:rStyle w:val="Hyperlink"/>
          </w:rPr>
          <w:t>One</w:t>
        </w:r>
        <w:r w:rsidR="006C6F09">
          <w:rPr>
            <w:rStyle w:val="Hyperlink"/>
          </w:rPr>
          <w:t xml:space="preserve"> </w:t>
        </w:r>
        <w:r w:rsidRPr="00AF6801">
          <w:rPr>
            <w:rStyle w:val="Hyperlink"/>
          </w:rPr>
          <w:t>Federal</w:t>
        </w:r>
        <w:r w:rsidR="006C6F09">
          <w:rPr>
            <w:rStyle w:val="Hyperlink"/>
          </w:rPr>
          <w:t xml:space="preserve"> </w:t>
        </w:r>
        <w:r w:rsidRPr="00AF6801">
          <w:rPr>
            <w:rStyle w:val="Hyperlink"/>
          </w:rPr>
          <w:t>Decision</w:t>
        </w:r>
      </w:hyperlink>
      <w:r w:rsidR="006C6F09">
        <w:t xml:space="preserve"> </w:t>
      </w:r>
      <w:r>
        <w:t>and</w:t>
      </w:r>
      <w:r w:rsidR="006C6F09">
        <w:t xml:space="preserve"> </w:t>
      </w:r>
      <w:hyperlink r:id="rId51" w:history="1">
        <w:r w:rsidRPr="00332D95">
          <w:rPr>
            <w:rStyle w:val="Hyperlink"/>
            <w:rFonts w:cs="Arial"/>
            <w:szCs w:val="22"/>
          </w:rPr>
          <w:t>43</w:t>
        </w:r>
        <w:r w:rsidR="006C6F09">
          <w:rPr>
            <w:rStyle w:val="Hyperlink"/>
            <w:rFonts w:cs="Arial"/>
            <w:szCs w:val="22"/>
          </w:rPr>
          <w:t xml:space="preserve"> </w:t>
        </w:r>
        <w:r w:rsidRPr="00332D95">
          <w:rPr>
            <w:rStyle w:val="Hyperlink"/>
            <w:rFonts w:cs="Arial"/>
            <w:szCs w:val="22"/>
          </w:rPr>
          <w:t>TAC</w:t>
        </w:r>
        <w:r w:rsidR="006C6F09">
          <w:rPr>
            <w:rStyle w:val="Hyperlink"/>
            <w:rFonts w:cs="Arial"/>
            <w:szCs w:val="22"/>
          </w:rPr>
          <w:t xml:space="preserve"> </w:t>
        </w:r>
        <w:r w:rsidRPr="00332D95">
          <w:rPr>
            <w:rStyle w:val="Hyperlink"/>
            <w:rFonts w:cs="Arial"/>
            <w:szCs w:val="22"/>
          </w:rPr>
          <w:t>2.107</w:t>
        </w:r>
      </w:hyperlink>
      <w:r w:rsidRPr="00332D95">
        <w:t>)</w:t>
      </w:r>
      <w:r>
        <w:t>.</w:t>
      </w:r>
      <w:r w:rsidR="006C6F09">
        <w:t xml:space="preserve"> </w:t>
      </w:r>
      <w:r>
        <w:t>Public</w:t>
      </w:r>
      <w:r w:rsidR="006C6F09">
        <w:t xml:space="preserve"> </w:t>
      </w:r>
      <w:r>
        <w:t>hearings</w:t>
      </w:r>
      <w:r w:rsidR="006C6F09">
        <w:t xml:space="preserve"> </w:t>
      </w:r>
      <w:r>
        <w:t>provide</w:t>
      </w:r>
      <w:r w:rsidR="006C6F09">
        <w:t xml:space="preserve"> </w:t>
      </w:r>
      <w:r>
        <w:t>the</w:t>
      </w:r>
      <w:r w:rsidR="006C6F09">
        <w:t xml:space="preserve"> </w:t>
      </w:r>
      <w:r>
        <w:t>public</w:t>
      </w:r>
      <w:r w:rsidR="006C6F09">
        <w:t xml:space="preserve"> </w:t>
      </w:r>
      <w:r>
        <w:t>with</w:t>
      </w:r>
      <w:r w:rsidR="006C6F09">
        <w:t xml:space="preserve"> </w:t>
      </w:r>
      <w:r>
        <w:t>a</w:t>
      </w:r>
      <w:r w:rsidR="006C6F09">
        <w:t xml:space="preserve"> </w:t>
      </w:r>
      <w:r>
        <w:t>venue</w:t>
      </w:r>
      <w:r w:rsidR="006C6F09">
        <w:t xml:space="preserve"> </w:t>
      </w:r>
      <w:r>
        <w:t>and</w:t>
      </w:r>
      <w:r w:rsidR="006C6F09">
        <w:t xml:space="preserve"> </w:t>
      </w:r>
      <w:r>
        <w:t>opportunity</w:t>
      </w:r>
      <w:r w:rsidR="006C6F09">
        <w:t xml:space="preserve"> </w:t>
      </w:r>
      <w:r>
        <w:t>to</w:t>
      </w:r>
      <w:r w:rsidR="006C6F09">
        <w:t xml:space="preserve"> </w:t>
      </w:r>
      <w:r>
        <w:t>hear</w:t>
      </w:r>
      <w:r w:rsidR="006C6F09">
        <w:t xml:space="preserve"> </w:t>
      </w:r>
      <w:r>
        <w:t>and</w:t>
      </w:r>
      <w:r w:rsidR="006C6F09">
        <w:t xml:space="preserve"> </w:t>
      </w:r>
      <w:r>
        <w:t>see</w:t>
      </w:r>
      <w:r w:rsidR="006C6F09">
        <w:t xml:space="preserve"> </w:t>
      </w:r>
      <w:r>
        <w:t>information</w:t>
      </w:r>
      <w:r w:rsidR="006C6F09">
        <w:t xml:space="preserve"> </w:t>
      </w:r>
      <w:r>
        <w:t>regarding</w:t>
      </w:r>
      <w:r w:rsidR="006C6F09">
        <w:t xml:space="preserve"> </w:t>
      </w:r>
      <w:r>
        <w:t>a</w:t>
      </w:r>
      <w:r w:rsidR="006C6F09">
        <w:t xml:space="preserve"> </w:t>
      </w:r>
      <w:r>
        <w:t>proposed</w:t>
      </w:r>
      <w:r w:rsidR="006C6F09">
        <w:t xml:space="preserve"> </w:t>
      </w:r>
      <w:r>
        <w:t>project.</w:t>
      </w:r>
      <w:r w:rsidR="006C6F09">
        <w:t xml:space="preserve"> </w:t>
      </w:r>
      <w:r>
        <w:t>Public</w:t>
      </w:r>
      <w:r w:rsidR="006C6F09">
        <w:t xml:space="preserve"> </w:t>
      </w:r>
      <w:r>
        <w:t>hearings</w:t>
      </w:r>
      <w:r w:rsidR="006C6F09">
        <w:t xml:space="preserve"> </w:t>
      </w:r>
      <w:r>
        <w:t>serve</w:t>
      </w:r>
      <w:r w:rsidR="006C6F09">
        <w:t xml:space="preserve"> </w:t>
      </w:r>
      <w:r>
        <w:t>to</w:t>
      </w:r>
      <w:r w:rsidR="006C6F09">
        <w:t xml:space="preserve"> </w:t>
      </w:r>
      <w:r>
        <w:t>encourage</w:t>
      </w:r>
      <w:r w:rsidR="006C6F09">
        <w:t xml:space="preserve"> </w:t>
      </w:r>
      <w:r>
        <w:t>and</w:t>
      </w:r>
      <w:r w:rsidR="006C6F09">
        <w:t xml:space="preserve"> </w:t>
      </w:r>
      <w:r>
        <w:t>solicit</w:t>
      </w:r>
      <w:r w:rsidR="006C6F09">
        <w:t xml:space="preserve"> </w:t>
      </w:r>
      <w:r>
        <w:t>public</w:t>
      </w:r>
      <w:r w:rsidR="006C6F09">
        <w:t xml:space="preserve"> </w:t>
      </w:r>
      <w:r w:rsidR="00167FF3">
        <w:t>comments</w:t>
      </w:r>
      <w:r w:rsidR="006C6F09">
        <w:t xml:space="preserve"> </w:t>
      </w:r>
      <w:r>
        <w:t>on</w:t>
      </w:r>
      <w:r w:rsidR="006C6F09">
        <w:t xml:space="preserve"> </w:t>
      </w:r>
      <w:r>
        <w:t>the</w:t>
      </w:r>
      <w:r w:rsidR="006C6F09">
        <w:t xml:space="preserve"> </w:t>
      </w:r>
      <w:r>
        <w:t>location,</w:t>
      </w:r>
      <w:r w:rsidR="006C6F09">
        <w:t xml:space="preserve"> </w:t>
      </w:r>
      <w:r>
        <w:t>design,</w:t>
      </w:r>
      <w:r w:rsidR="006C6F09">
        <w:t xml:space="preserve"> </w:t>
      </w:r>
      <w:r>
        <w:t>and</w:t>
      </w:r>
      <w:r w:rsidR="006C6F09">
        <w:t xml:space="preserve"> </w:t>
      </w:r>
      <w:r>
        <w:t>environmental</w:t>
      </w:r>
      <w:r w:rsidR="006C6F09">
        <w:t xml:space="preserve"> </w:t>
      </w:r>
      <w:r>
        <w:t>analyses</w:t>
      </w:r>
      <w:r w:rsidR="006C6F09">
        <w:t xml:space="preserve"> </w:t>
      </w:r>
      <w:r>
        <w:t>of</w:t>
      </w:r>
      <w:r w:rsidR="006C6F09">
        <w:t xml:space="preserve"> </w:t>
      </w:r>
      <w:r>
        <w:t>a</w:t>
      </w:r>
      <w:r w:rsidR="006C6F09">
        <w:t xml:space="preserve"> </w:t>
      </w:r>
      <w:r>
        <w:t>project.</w:t>
      </w:r>
      <w:r w:rsidR="006C6F09">
        <w:t xml:space="preserve"> </w:t>
      </w:r>
      <w:r>
        <w:t>For</w:t>
      </w:r>
      <w:r w:rsidR="006C6F09">
        <w:t xml:space="preserve"> </w:t>
      </w:r>
      <w:r>
        <w:t>an</w:t>
      </w:r>
      <w:r w:rsidR="006C6F09">
        <w:t xml:space="preserve"> </w:t>
      </w:r>
      <w:r>
        <w:t>EA</w:t>
      </w:r>
      <w:r w:rsidR="006C6F09">
        <w:t xml:space="preserve"> </w:t>
      </w:r>
      <w:r>
        <w:t>or</w:t>
      </w:r>
      <w:r w:rsidR="006C6F09">
        <w:t xml:space="preserve"> </w:t>
      </w:r>
      <w:r>
        <w:t>EIS</w:t>
      </w:r>
      <w:r w:rsidR="006C6F09">
        <w:t xml:space="preserve"> </w:t>
      </w:r>
      <w:r>
        <w:t>project,</w:t>
      </w:r>
      <w:r w:rsidR="006C6F09">
        <w:t xml:space="preserve"> </w:t>
      </w:r>
      <w:r>
        <w:t>a</w:t>
      </w:r>
      <w:r w:rsidR="006C6F09">
        <w:t xml:space="preserve"> </w:t>
      </w:r>
      <w:r>
        <w:t>public</w:t>
      </w:r>
      <w:r w:rsidR="006C6F09">
        <w:t xml:space="preserve"> </w:t>
      </w:r>
      <w:r>
        <w:t>hearing</w:t>
      </w:r>
      <w:r w:rsidR="006C6F09">
        <w:t xml:space="preserve"> </w:t>
      </w:r>
      <w:r>
        <w:t>cannot</w:t>
      </w:r>
      <w:r w:rsidR="006C6F09">
        <w:t xml:space="preserve"> </w:t>
      </w:r>
      <w:r>
        <w:t>be</w:t>
      </w:r>
      <w:r w:rsidR="006C6F09">
        <w:t xml:space="preserve"> </w:t>
      </w:r>
      <w:r>
        <w:t>conducted</w:t>
      </w:r>
      <w:r w:rsidR="006C6F09">
        <w:t xml:space="preserve"> </w:t>
      </w:r>
      <w:r>
        <w:t>until</w:t>
      </w:r>
      <w:r w:rsidR="006C6F09">
        <w:t xml:space="preserve"> </w:t>
      </w:r>
      <w:r>
        <w:t>the</w:t>
      </w:r>
      <w:r w:rsidR="006C6F09">
        <w:t xml:space="preserve"> </w:t>
      </w:r>
      <w:r>
        <w:t>environmental</w:t>
      </w:r>
      <w:r w:rsidR="006C6F09">
        <w:t xml:space="preserve"> </w:t>
      </w:r>
      <w:r>
        <w:t>document</w:t>
      </w:r>
      <w:r w:rsidR="006C6F09">
        <w:t xml:space="preserve"> </w:t>
      </w:r>
      <w:r>
        <w:t>is</w:t>
      </w:r>
      <w:r w:rsidR="006C6F09">
        <w:t xml:space="preserve"> </w:t>
      </w:r>
      <w:r>
        <w:t>approved</w:t>
      </w:r>
      <w:r w:rsidR="006C6F09">
        <w:t xml:space="preserve"> </w:t>
      </w:r>
      <w:r>
        <w:t>for</w:t>
      </w:r>
      <w:r w:rsidR="006C6F09">
        <w:t xml:space="preserve"> </w:t>
      </w:r>
      <w:r>
        <w:t>circulation</w:t>
      </w:r>
      <w:r w:rsidR="006C6F09">
        <w:t xml:space="preserve"> </w:t>
      </w:r>
      <w:r>
        <w:t>by</w:t>
      </w:r>
      <w:r w:rsidR="006C6F09">
        <w:t xml:space="preserve"> </w:t>
      </w:r>
      <w:r>
        <w:t>the</w:t>
      </w:r>
      <w:r w:rsidR="006C6F09">
        <w:t xml:space="preserve"> </w:t>
      </w:r>
      <w:r>
        <w:t>department</w:t>
      </w:r>
      <w:r w:rsidR="006C6F09">
        <w:t xml:space="preserve"> </w:t>
      </w:r>
      <w:r>
        <w:t>delegate.</w:t>
      </w:r>
      <w:r w:rsidR="006C6F09">
        <w:t xml:space="preserve"> </w:t>
      </w:r>
      <w:r>
        <w:t>For</w:t>
      </w:r>
      <w:r w:rsidR="006C6F09">
        <w:t xml:space="preserve"> </w:t>
      </w:r>
      <w:r>
        <w:t>a</w:t>
      </w:r>
      <w:r w:rsidR="006C6F09">
        <w:t xml:space="preserve"> </w:t>
      </w:r>
      <w:r>
        <w:t>CE</w:t>
      </w:r>
      <w:r w:rsidR="006C6F09">
        <w:t xml:space="preserve"> </w:t>
      </w:r>
      <w:r>
        <w:t>project,</w:t>
      </w:r>
      <w:r w:rsidR="006C6F09">
        <w:t xml:space="preserve"> </w:t>
      </w:r>
      <w:r>
        <w:t>a</w:t>
      </w:r>
      <w:r w:rsidR="006C6F09">
        <w:t xml:space="preserve"> </w:t>
      </w:r>
      <w:r>
        <w:t>public</w:t>
      </w:r>
      <w:r w:rsidR="006C6F09">
        <w:t xml:space="preserve"> </w:t>
      </w:r>
      <w:r>
        <w:t>hearing</w:t>
      </w:r>
      <w:r w:rsidR="006C6F09">
        <w:t xml:space="preserve"> </w:t>
      </w:r>
      <w:r>
        <w:t>can</w:t>
      </w:r>
      <w:r w:rsidR="006C6F09">
        <w:t xml:space="preserve"> </w:t>
      </w:r>
      <w:r>
        <w:t>be</w:t>
      </w:r>
      <w:r w:rsidR="006C6F09">
        <w:t xml:space="preserve"> </w:t>
      </w:r>
      <w:r>
        <w:t>held</w:t>
      </w:r>
      <w:r w:rsidR="006C6F09">
        <w:t xml:space="preserve"> </w:t>
      </w:r>
      <w:r>
        <w:t>after</w:t>
      </w:r>
      <w:r w:rsidR="006C6F09">
        <w:t xml:space="preserve"> </w:t>
      </w:r>
      <w:r>
        <w:t>preliminary</w:t>
      </w:r>
      <w:r w:rsidR="006C6F09">
        <w:t xml:space="preserve"> </w:t>
      </w:r>
      <w:r>
        <w:t>location</w:t>
      </w:r>
      <w:r w:rsidR="006C6F09">
        <w:t xml:space="preserve"> </w:t>
      </w:r>
      <w:r>
        <w:t>and</w:t>
      </w:r>
      <w:r w:rsidR="006C6F09">
        <w:t xml:space="preserve"> </w:t>
      </w:r>
      <w:r>
        <w:t>design</w:t>
      </w:r>
      <w:r w:rsidR="006C6F09">
        <w:t xml:space="preserve"> </w:t>
      </w:r>
      <w:r>
        <w:t>studies</w:t>
      </w:r>
      <w:r w:rsidR="006C6F09">
        <w:t xml:space="preserve"> </w:t>
      </w:r>
      <w:r>
        <w:t>are</w:t>
      </w:r>
      <w:r w:rsidR="006C6F09">
        <w:t xml:space="preserve"> </w:t>
      </w:r>
      <w:r>
        <w:t>developed,</w:t>
      </w:r>
      <w:r w:rsidR="006C6F09">
        <w:t xml:space="preserve"> </w:t>
      </w:r>
      <w:r>
        <w:t>and</w:t>
      </w:r>
      <w:r w:rsidR="006C6F09">
        <w:t xml:space="preserve"> </w:t>
      </w:r>
      <w:r>
        <w:t>sufficient</w:t>
      </w:r>
      <w:r w:rsidR="006C6F09">
        <w:t xml:space="preserve"> </w:t>
      </w:r>
      <w:r>
        <w:t>information</w:t>
      </w:r>
      <w:r w:rsidR="006C6F09">
        <w:t xml:space="preserve"> </w:t>
      </w:r>
      <w:r>
        <w:t>has</w:t>
      </w:r>
      <w:r w:rsidR="006C6F09">
        <w:t xml:space="preserve"> </w:t>
      </w:r>
      <w:r>
        <w:t>been</w:t>
      </w:r>
      <w:r w:rsidR="006C6F09">
        <w:t xml:space="preserve"> </w:t>
      </w:r>
      <w:r>
        <w:t>developed</w:t>
      </w:r>
      <w:r w:rsidR="006C6F09">
        <w:t xml:space="preserve"> </w:t>
      </w:r>
      <w:r>
        <w:t>to</w:t>
      </w:r>
      <w:r w:rsidR="006C6F09">
        <w:t xml:space="preserve"> </w:t>
      </w:r>
      <w:r>
        <w:t>present</w:t>
      </w:r>
      <w:r w:rsidR="006C6F09">
        <w:t xml:space="preserve"> </w:t>
      </w:r>
      <w:r>
        <w:t>the</w:t>
      </w:r>
      <w:r w:rsidR="006C6F09">
        <w:t xml:space="preserve"> </w:t>
      </w:r>
      <w:r>
        <w:t>social,</w:t>
      </w:r>
      <w:r w:rsidR="006C6F09">
        <w:t xml:space="preserve"> </w:t>
      </w:r>
      <w:r>
        <w:t>economic,</w:t>
      </w:r>
      <w:r w:rsidR="006C6F09">
        <w:t xml:space="preserve"> </w:t>
      </w:r>
      <w:r>
        <w:t>environmental,</w:t>
      </w:r>
      <w:r w:rsidR="006C6F09">
        <w:t xml:space="preserve"> </w:t>
      </w:r>
      <w:r>
        <w:t>and</w:t>
      </w:r>
      <w:r w:rsidR="006C6F09">
        <w:t xml:space="preserve"> </w:t>
      </w:r>
      <w:r>
        <w:t>other</w:t>
      </w:r>
      <w:r w:rsidR="006C6F09">
        <w:t xml:space="preserve"> </w:t>
      </w:r>
      <w:r>
        <w:t>anticipated</w:t>
      </w:r>
      <w:r w:rsidR="006C6F09">
        <w:t xml:space="preserve"> </w:t>
      </w:r>
      <w:r>
        <w:t>impacts</w:t>
      </w:r>
      <w:r w:rsidR="006C6F09">
        <w:t xml:space="preserve"> </w:t>
      </w:r>
      <w:r>
        <w:t>of</w:t>
      </w:r>
      <w:r w:rsidR="006C6F09">
        <w:t xml:space="preserve"> </w:t>
      </w:r>
      <w:r>
        <w:t>the</w:t>
      </w:r>
      <w:r w:rsidR="006C6F09">
        <w:t xml:space="preserve"> </w:t>
      </w:r>
      <w:r>
        <w:t>proposed</w:t>
      </w:r>
      <w:r w:rsidR="006C6F09">
        <w:t xml:space="preserve"> </w:t>
      </w:r>
      <w:r>
        <w:t>project</w:t>
      </w:r>
      <w:r w:rsidR="006C6F09">
        <w:t xml:space="preserve"> </w:t>
      </w:r>
      <w:r>
        <w:t>at</w:t>
      </w:r>
      <w:r w:rsidR="006C6F09">
        <w:t xml:space="preserve"> </w:t>
      </w:r>
      <w:r>
        <w:t>the</w:t>
      </w:r>
      <w:r w:rsidR="006C6F09">
        <w:t xml:space="preserve"> </w:t>
      </w:r>
      <w:r>
        <w:t>hearing;</w:t>
      </w:r>
      <w:r w:rsidR="006C6F09">
        <w:t xml:space="preserve"> </w:t>
      </w:r>
      <w:r>
        <w:t>however,</w:t>
      </w:r>
      <w:r w:rsidR="006C6F09">
        <w:t xml:space="preserve"> </w:t>
      </w:r>
      <w:r>
        <w:t>for</w:t>
      </w:r>
      <w:r w:rsidR="006C6F09">
        <w:t xml:space="preserve"> </w:t>
      </w:r>
      <w:r>
        <w:t>an</w:t>
      </w:r>
      <w:r w:rsidR="006C6F09">
        <w:t xml:space="preserve"> </w:t>
      </w:r>
      <w:r>
        <w:t>open-ended</w:t>
      </w:r>
      <w:r w:rsidR="006C6F09">
        <w:t xml:space="preserve"> </w:t>
      </w:r>
      <w:r>
        <w:t>(d)-list</w:t>
      </w:r>
      <w:r w:rsidR="006C6F09">
        <w:t xml:space="preserve"> </w:t>
      </w:r>
      <w:r>
        <w:t>CE</w:t>
      </w:r>
      <w:r w:rsidR="006C6F09">
        <w:t xml:space="preserve"> </w:t>
      </w:r>
      <w:r>
        <w:t>project,</w:t>
      </w:r>
      <w:r w:rsidR="006C6F09">
        <w:t xml:space="preserve"> </w:t>
      </w:r>
      <w:r>
        <w:t>approval</w:t>
      </w:r>
      <w:r w:rsidR="006C6F09">
        <w:t xml:space="preserve"> </w:t>
      </w:r>
      <w:r>
        <w:t>by</w:t>
      </w:r>
      <w:r w:rsidR="006C6F09">
        <w:t xml:space="preserve"> </w:t>
      </w:r>
      <w:r>
        <w:t>the</w:t>
      </w:r>
      <w:r w:rsidR="006C6F09">
        <w:t xml:space="preserve"> </w:t>
      </w:r>
      <w:r>
        <w:t>Environmental</w:t>
      </w:r>
      <w:r w:rsidR="006C6F09">
        <w:t xml:space="preserve"> </w:t>
      </w:r>
      <w:r>
        <w:t>Affairs</w:t>
      </w:r>
      <w:r w:rsidR="006C6F09">
        <w:t xml:space="preserve"> </w:t>
      </w:r>
      <w:r>
        <w:t>Division’s</w:t>
      </w:r>
      <w:r w:rsidR="006C6F09">
        <w:t xml:space="preserve"> </w:t>
      </w:r>
      <w:r>
        <w:t>Project</w:t>
      </w:r>
      <w:r w:rsidR="006C6F09">
        <w:t xml:space="preserve"> </w:t>
      </w:r>
      <w:r>
        <w:t>Delivery</w:t>
      </w:r>
      <w:r w:rsidR="006C6F09">
        <w:t xml:space="preserve"> </w:t>
      </w:r>
      <w:r>
        <w:t>staff</w:t>
      </w:r>
      <w:r w:rsidR="006C6F09">
        <w:t xml:space="preserve"> </w:t>
      </w:r>
      <w:r>
        <w:t>is</w:t>
      </w:r>
      <w:r w:rsidR="006C6F09">
        <w:t xml:space="preserve"> </w:t>
      </w:r>
      <w:r>
        <w:t>required</w:t>
      </w:r>
      <w:r w:rsidR="006C6F09">
        <w:t xml:space="preserve"> </w:t>
      </w:r>
      <w:r>
        <w:t>to</w:t>
      </w:r>
      <w:r w:rsidR="006C6F09">
        <w:t xml:space="preserve"> </w:t>
      </w:r>
      <w:r>
        <w:t>proceed</w:t>
      </w:r>
      <w:r w:rsidR="006C6F09">
        <w:t xml:space="preserve"> </w:t>
      </w:r>
      <w:r>
        <w:t>to</w:t>
      </w:r>
      <w:r w:rsidR="006C6F09">
        <w:t xml:space="preserve"> </w:t>
      </w:r>
      <w:r>
        <w:t>a</w:t>
      </w:r>
      <w:r w:rsidR="006C6F09">
        <w:t xml:space="preserve"> </w:t>
      </w:r>
      <w:r>
        <w:t>public</w:t>
      </w:r>
      <w:r w:rsidR="006C6F09">
        <w:t xml:space="preserve"> </w:t>
      </w:r>
      <w:r>
        <w:t>hearing</w:t>
      </w:r>
      <w:r w:rsidR="006C6F09">
        <w:t xml:space="preserve"> </w:t>
      </w:r>
      <w:r>
        <w:t>(if</w:t>
      </w:r>
      <w:r w:rsidR="006C6F09">
        <w:t xml:space="preserve"> </w:t>
      </w:r>
      <w:r>
        <w:t>certain</w:t>
      </w:r>
      <w:r w:rsidR="006C6F09">
        <w:t xml:space="preserve"> </w:t>
      </w:r>
      <w:r>
        <w:t>acreage</w:t>
      </w:r>
      <w:r w:rsidR="006C6F09">
        <w:t xml:space="preserve"> </w:t>
      </w:r>
      <w:r>
        <w:t>or</w:t>
      </w:r>
      <w:r w:rsidR="006C6F09">
        <w:t xml:space="preserve"> </w:t>
      </w:r>
      <w:r>
        <w:t>displacement</w:t>
      </w:r>
      <w:r w:rsidR="006C6F09">
        <w:t xml:space="preserve"> </w:t>
      </w:r>
      <w:r>
        <w:t>thresholds</w:t>
      </w:r>
      <w:r w:rsidR="006C6F09">
        <w:t xml:space="preserve"> </w:t>
      </w:r>
      <w:r>
        <w:t>are</w:t>
      </w:r>
      <w:r w:rsidR="006C6F09">
        <w:t xml:space="preserve"> </w:t>
      </w:r>
      <w:r>
        <w:t>exceeded).</w:t>
      </w:r>
      <w:r w:rsidR="00135456">
        <w:t xml:space="preserve"> </w:t>
      </w:r>
      <w:r>
        <w:t>Additionally,</w:t>
      </w:r>
      <w:r w:rsidR="006C6F09">
        <w:t xml:space="preserve"> </w:t>
      </w:r>
      <w:r>
        <w:t>for</w:t>
      </w:r>
      <w:r w:rsidR="006C6F09">
        <w:t xml:space="preserve"> </w:t>
      </w:r>
      <w:r>
        <w:t>a</w:t>
      </w:r>
      <w:r w:rsidR="006C6F09">
        <w:t xml:space="preserve"> </w:t>
      </w:r>
      <w:r>
        <w:t>project</w:t>
      </w:r>
      <w:r w:rsidR="006C6F09">
        <w:t xml:space="preserve"> </w:t>
      </w:r>
      <w:r>
        <w:t>with</w:t>
      </w:r>
      <w:r w:rsidR="006C6F09">
        <w:t xml:space="preserve"> </w:t>
      </w:r>
      <w:r>
        <w:t>a</w:t>
      </w:r>
      <w:r w:rsidR="006C6F09">
        <w:t xml:space="preserve"> </w:t>
      </w:r>
      <w:r>
        <w:t>local</w:t>
      </w:r>
      <w:r w:rsidR="006C6F09">
        <w:t xml:space="preserve"> </w:t>
      </w:r>
      <w:r>
        <w:t>government</w:t>
      </w:r>
      <w:r w:rsidR="006C6F09">
        <w:t xml:space="preserve"> </w:t>
      </w:r>
      <w:r>
        <w:t>sponsor,</w:t>
      </w:r>
      <w:r w:rsidR="006C6F09">
        <w:t xml:space="preserve"> </w:t>
      </w:r>
      <w:r>
        <w:t>approval</w:t>
      </w:r>
      <w:r w:rsidR="006C6F09">
        <w:t xml:space="preserve"> </w:t>
      </w:r>
      <w:r>
        <w:t>by</w:t>
      </w:r>
      <w:r w:rsidR="006C6F09">
        <w:t xml:space="preserve"> </w:t>
      </w:r>
      <w:r>
        <w:t>the</w:t>
      </w:r>
      <w:r w:rsidR="006C6F09">
        <w:t xml:space="preserve"> </w:t>
      </w:r>
      <w:r>
        <w:t>department</w:t>
      </w:r>
      <w:r w:rsidR="006C6F09">
        <w:t xml:space="preserve"> </w:t>
      </w:r>
      <w:r>
        <w:t>delegate</w:t>
      </w:r>
      <w:r w:rsidR="006C6F09">
        <w:t xml:space="preserve"> </w:t>
      </w:r>
      <w:r>
        <w:t>is</w:t>
      </w:r>
      <w:r w:rsidR="006C6F09">
        <w:t xml:space="preserve"> </w:t>
      </w:r>
      <w:r>
        <w:t>required</w:t>
      </w:r>
      <w:r w:rsidR="006C6F09">
        <w:t xml:space="preserve"> </w:t>
      </w:r>
      <w:r>
        <w:t>to</w:t>
      </w:r>
      <w:r w:rsidR="006C6F09">
        <w:t xml:space="preserve"> </w:t>
      </w:r>
      <w:r>
        <w:t>proceed</w:t>
      </w:r>
      <w:r w:rsidR="006C6F09">
        <w:t xml:space="preserve"> </w:t>
      </w:r>
      <w:r>
        <w:t>to</w:t>
      </w:r>
      <w:r w:rsidR="006C6F09">
        <w:t xml:space="preserve"> </w:t>
      </w:r>
      <w:r>
        <w:t>a</w:t>
      </w:r>
      <w:r w:rsidR="006C6F09">
        <w:t xml:space="preserve"> </w:t>
      </w:r>
      <w:r>
        <w:t>public</w:t>
      </w:r>
      <w:r w:rsidR="006C6F09">
        <w:t xml:space="preserve"> </w:t>
      </w:r>
      <w:r>
        <w:t>hearing.</w:t>
      </w:r>
      <w:r w:rsidR="006C6F09">
        <w:t xml:space="preserve"> </w:t>
      </w:r>
      <w:r>
        <w:t>A</w:t>
      </w:r>
      <w:r w:rsidR="006C6F09">
        <w:t xml:space="preserve"> </w:t>
      </w:r>
      <w:r>
        <w:t>public</w:t>
      </w:r>
      <w:r w:rsidR="006C6F09">
        <w:t xml:space="preserve"> </w:t>
      </w:r>
      <w:r>
        <w:t>hearing</w:t>
      </w:r>
      <w:r w:rsidR="006C6F09">
        <w:t xml:space="preserve"> </w:t>
      </w:r>
      <w:r>
        <w:t>or</w:t>
      </w:r>
      <w:r w:rsidR="006C6F09">
        <w:t xml:space="preserve"> </w:t>
      </w:r>
      <w:r>
        <w:t>an</w:t>
      </w:r>
      <w:r w:rsidR="006C6F09">
        <w:t xml:space="preserve"> </w:t>
      </w:r>
      <w:r>
        <w:t>NAOPH</w:t>
      </w:r>
      <w:r w:rsidR="006C6F09">
        <w:t xml:space="preserve"> </w:t>
      </w:r>
      <w:r>
        <w:t>is</w:t>
      </w:r>
      <w:r w:rsidR="006C6F09">
        <w:t xml:space="preserve"> </w:t>
      </w:r>
      <w:r>
        <w:t>required</w:t>
      </w:r>
      <w:r w:rsidR="006C6F09">
        <w:t xml:space="preserve"> </w:t>
      </w:r>
      <w:r>
        <w:t>for</w:t>
      </w:r>
      <w:r w:rsidR="006C6F09">
        <w:t xml:space="preserve"> </w:t>
      </w:r>
      <w:r>
        <w:t>all</w:t>
      </w:r>
      <w:r w:rsidR="006C6F09">
        <w:t xml:space="preserve"> </w:t>
      </w:r>
      <w:r>
        <w:t>EAs,</w:t>
      </w:r>
      <w:r w:rsidR="006C6F09">
        <w:t xml:space="preserve"> </w:t>
      </w:r>
      <w:r>
        <w:t>and</w:t>
      </w:r>
      <w:r w:rsidR="006C6F09">
        <w:t xml:space="preserve"> </w:t>
      </w:r>
      <w:r>
        <w:t>a</w:t>
      </w:r>
      <w:r w:rsidR="006C6F09">
        <w:t xml:space="preserve"> </w:t>
      </w:r>
      <w:r>
        <w:t>public</w:t>
      </w:r>
      <w:r w:rsidR="006C6F09">
        <w:t xml:space="preserve"> </w:t>
      </w:r>
      <w:r>
        <w:t>hearing</w:t>
      </w:r>
      <w:r w:rsidR="006C6F09">
        <w:t xml:space="preserve"> </w:t>
      </w:r>
      <w:r>
        <w:t>is</w:t>
      </w:r>
      <w:r w:rsidR="006C6F09">
        <w:t xml:space="preserve"> </w:t>
      </w:r>
      <w:r>
        <w:t>required</w:t>
      </w:r>
      <w:r w:rsidR="006C6F09">
        <w:t xml:space="preserve"> </w:t>
      </w:r>
      <w:r>
        <w:t>for</w:t>
      </w:r>
      <w:r w:rsidR="006C6F09">
        <w:t xml:space="preserve"> </w:t>
      </w:r>
      <w:r>
        <w:t>all</w:t>
      </w:r>
      <w:r w:rsidR="006C6F09">
        <w:t xml:space="preserve"> </w:t>
      </w:r>
      <w:r>
        <w:t>EISs.</w:t>
      </w:r>
      <w:r w:rsidR="006C6F09">
        <w:t xml:space="preserve"> </w:t>
      </w:r>
      <w:r>
        <w:t>CE</w:t>
      </w:r>
      <w:r w:rsidR="006C6F09">
        <w:t xml:space="preserve"> </w:t>
      </w:r>
      <w:r>
        <w:t>projects</w:t>
      </w:r>
      <w:r w:rsidR="006C6F09">
        <w:t xml:space="preserve"> </w:t>
      </w:r>
      <w:r>
        <w:t>with</w:t>
      </w:r>
      <w:r w:rsidR="006C6F09">
        <w:t xml:space="preserve"> </w:t>
      </w:r>
      <w:r>
        <w:t>any</w:t>
      </w:r>
      <w:r w:rsidR="006C6F09">
        <w:t xml:space="preserve"> </w:t>
      </w:r>
      <w:r>
        <w:t>of</w:t>
      </w:r>
      <w:r w:rsidR="006C6F09">
        <w:t xml:space="preserve"> </w:t>
      </w:r>
      <w:r>
        <w:t>the</w:t>
      </w:r>
      <w:r w:rsidR="006C6F09">
        <w:t xml:space="preserve"> </w:t>
      </w:r>
      <w:r>
        <w:t>characteristics</w:t>
      </w:r>
      <w:r w:rsidR="006C6F09">
        <w:t xml:space="preserve"> </w:t>
      </w:r>
      <w:r>
        <w:t>below</w:t>
      </w:r>
      <w:r w:rsidR="006C6F09">
        <w:t xml:space="preserve"> </w:t>
      </w:r>
      <w:r>
        <w:t>also</w:t>
      </w:r>
      <w:r w:rsidR="006C6F09">
        <w:t xml:space="preserve"> </w:t>
      </w:r>
      <w:r>
        <w:t>require</w:t>
      </w:r>
      <w:r w:rsidR="006C6F09">
        <w:t xml:space="preserve"> </w:t>
      </w:r>
      <w:proofErr w:type="gramStart"/>
      <w:r>
        <w:t>a</w:t>
      </w:r>
      <w:r w:rsidR="006C6F09">
        <w:t xml:space="preserve"> </w:t>
      </w:r>
      <w:r>
        <w:t>public</w:t>
      </w:r>
      <w:proofErr w:type="gramEnd"/>
      <w:r w:rsidR="006C6F09">
        <w:t xml:space="preserve"> </w:t>
      </w:r>
      <w:r>
        <w:t>hearing.</w:t>
      </w:r>
    </w:p>
    <w:p w14:paraId="7EC7B60F" w14:textId="79558F9C" w:rsidR="00457754" w:rsidRDefault="00457754" w:rsidP="00457754">
      <w:r>
        <w:t>TxDOT</w:t>
      </w:r>
      <w:r w:rsidR="006C6F09">
        <w:t xml:space="preserve"> </w:t>
      </w:r>
      <w:r>
        <w:t>holds</w:t>
      </w:r>
      <w:r w:rsidR="006C6F09">
        <w:t xml:space="preserve"> </w:t>
      </w:r>
      <w:r>
        <w:t>a</w:t>
      </w:r>
      <w:r w:rsidR="006C6F09">
        <w:t xml:space="preserve"> </w:t>
      </w:r>
      <w:r>
        <w:t>public</w:t>
      </w:r>
      <w:r w:rsidR="006C6F09">
        <w:t xml:space="preserve"> </w:t>
      </w:r>
      <w:r>
        <w:t>hearing</w:t>
      </w:r>
      <w:r w:rsidR="006C6F09">
        <w:t xml:space="preserve"> </w:t>
      </w:r>
      <w:r>
        <w:t>if</w:t>
      </w:r>
      <w:r w:rsidR="006C6F09">
        <w:t xml:space="preserve"> </w:t>
      </w:r>
      <w:r>
        <w:t>any</w:t>
      </w:r>
      <w:r w:rsidR="006C6F09">
        <w:t xml:space="preserve"> </w:t>
      </w:r>
      <w:r>
        <w:t>of</w:t>
      </w:r>
      <w:r w:rsidR="006C6F09">
        <w:t xml:space="preserve"> </w:t>
      </w:r>
      <w:r>
        <w:t>the</w:t>
      </w:r>
      <w:r w:rsidR="006C6F09">
        <w:t xml:space="preserve"> </w:t>
      </w:r>
      <w:r>
        <w:t>following</w:t>
      </w:r>
      <w:r w:rsidR="006C6F09">
        <w:t xml:space="preserve"> </w:t>
      </w:r>
      <w:r>
        <w:t>statements</w:t>
      </w:r>
      <w:r w:rsidR="006C6F09">
        <w:t xml:space="preserve"> </w:t>
      </w:r>
      <w:r>
        <w:t>apply</w:t>
      </w:r>
      <w:r w:rsidR="006C6F09">
        <w:t xml:space="preserve"> </w:t>
      </w:r>
      <w:r>
        <w:t>to</w:t>
      </w:r>
      <w:r w:rsidR="006C6F09">
        <w:t xml:space="preserve"> </w:t>
      </w:r>
      <w:r>
        <w:t>the</w:t>
      </w:r>
      <w:r w:rsidR="006C6F09">
        <w:t xml:space="preserve"> </w:t>
      </w:r>
      <w:r>
        <w:t>project.</w:t>
      </w:r>
    </w:p>
    <w:p w14:paraId="4EA04ED1" w14:textId="3D131D05" w:rsidR="00457754" w:rsidRPr="0026323F" w:rsidRDefault="00457754" w:rsidP="00457754">
      <w:pPr>
        <w:pStyle w:val="ListBullet"/>
      </w:pPr>
      <w:r w:rsidRPr="0026323F">
        <w:lastRenderedPageBreak/>
        <w:t>Ten</w:t>
      </w:r>
      <w:r w:rsidR="006C6F09">
        <w:t xml:space="preserve"> </w:t>
      </w:r>
      <w:r w:rsidRPr="0026323F">
        <w:t>or</w:t>
      </w:r>
      <w:r w:rsidR="006C6F09">
        <w:t xml:space="preserve"> </w:t>
      </w:r>
      <w:r w:rsidRPr="0026323F">
        <w:t>more</w:t>
      </w:r>
      <w:r w:rsidR="006C6F09">
        <w:t xml:space="preserve"> </w:t>
      </w:r>
      <w:r w:rsidRPr="0026323F">
        <w:t>individuals</w:t>
      </w:r>
      <w:r w:rsidR="006C6F09">
        <w:t xml:space="preserve"> </w:t>
      </w:r>
      <w:r w:rsidRPr="0026323F">
        <w:t>submit</w:t>
      </w:r>
      <w:r w:rsidR="006C6F09">
        <w:t xml:space="preserve"> </w:t>
      </w:r>
      <w:r w:rsidRPr="0026323F">
        <w:t>a</w:t>
      </w:r>
      <w:r w:rsidR="006C6F09">
        <w:t xml:space="preserve"> </w:t>
      </w:r>
      <w:r w:rsidRPr="0026323F">
        <w:t>written</w:t>
      </w:r>
      <w:r w:rsidR="006C6F09">
        <w:t xml:space="preserve"> </w:t>
      </w:r>
      <w:r w:rsidRPr="0026323F">
        <w:t>request</w:t>
      </w:r>
      <w:r w:rsidR="006C6F09">
        <w:t xml:space="preserve"> </w:t>
      </w:r>
      <w:r w:rsidRPr="0026323F">
        <w:t>for</w:t>
      </w:r>
      <w:r w:rsidR="006C6F09">
        <w:t xml:space="preserve"> </w:t>
      </w:r>
      <w:r w:rsidRPr="0026323F">
        <w:t>a</w:t>
      </w:r>
      <w:r w:rsidR="006C6F09">
        <w:t xml:space="preserve"> </w:t>
      </w:r>
      <w:r w:rsidRPr="0026323F">
        <w:t>hearing,</w:t>
      </w:r>
      <w:r w:rsidR="006C6F09">
        <w:t xml:space="preserve"> </w:t>
      </w:r>
      <w:r w:rsidRPr="0026323F">
        <w:t>or</w:t>
      </w:r>
      <w:r w:rsidR="006C6F09">
        <w:t xml:space="preserve"> </w:t>
      </w:r>
      <w:r w:rsidRPr="0026323F">
        <w:t>an</w:t>
      </w:r>
      <w:r w:rsidR="006C6F09">
        <w:t xml:space="preserve"> </w:t>
      </w:r>
      <w:r w:rsidRPr="0026323F">
        <w:t>agency</w:t>
      </w:r>
      <w:r w:rsidR="006C6F09">
        <w:t xml:space="preserve"> </w:t>
      </w:r>
      <w:r w:rsidRPr="0026323F">
        <w:t>with</w:t>
      </w:r>
      <w:r w:rsidR="006C6F09">
        <w:t xml:space="preserve"> </w:t>
      </w:r>
      <w:r w:rsidRPr="0026323F">
        <w:t>jurisdiction</w:t>
      </w:r>
      <w:r w:rsidR="006C6F09">
        <w:t xml:space="preserve"> </w:t>
      </w:r>
      <w:r w:rsidRPr="0026323F">
        <w:t>over</w:t>
      </w:r>
      <w:r w:rsidR="006C6F09">
        <w:t xml:space="preserve"> </w:t>
      </w:r>
      <w:r w:rsidRPr="0026323F">
        <w:t>the</w:t>
      </w:r>
      <w:r w:rsidR="006C6F09">
        <w:t xml:space="preserve"> </w:t>
      </w:r>
      <w:r w:rsidRPr="0026323F">
        <w:t>project</w:t>
      </w:r>
      <w:r w:rsidR="006C6F09">
        <w:t xml:space="preserve"> </w:t>
      </w:r>
      <w:r w:rsidRPr="0026323F">
        <w:t>submits</w:t>
      </w:r>
      <w:r w:rsidR="006C6F09">
        <w:t xml:space="preserve"> </w:t>
      </w:r>
      <w:r w:rsidRPr="0026323F">
        <w:t>a</w:t>
      </w:r>
      <w:r w:rsidR="006C6F09">
        <w:t xml:space="preserve"> </w:t>
      </w:r>
      <w:r w:rsidRPr="0026323F">
        <w:t>written</w:t>
      </w:r>
      <w:r w:rsidR="006C6F09">
        <w:t xml:space="preserve"> </w:t>
      </w:r>
      <w:r w:rsidRPr="0026323F">
        <w:t>request</w:t>
      </w:r>
      <w:r w:rsidR="006C6F09">
        <w:t xml:space="preserve"> </w:t>
      </w:r>
      <w:r w:rsidRPr="0026323F">
        <w:t>for</w:t>
      </w:r>
      <w:r w:rsidR="006C6F09">
        <w:t xml:space="preserve"> </w:t>
      </w:r>
      <w:r w:rsidRPr="0026323F">
        <w:t>a</w:t>
      </w:r>
      <w:r w:rsidR="006C6F09">
        <w:t xml:space="preserve"> </w:t>
      </w:r>
      <w:r w:rsidRPr="0026323F">
        <w:t>hearing</w:t>
      </w:r>
      <w:r w:rsidR="006C6F09">
        <w:t xml:space="preserve"> </w:t>
      </w:r>
      <w:r w:rsidRPr="0026323F">
        <w:t>that</w:t>
      </w:r>
      <w:r w:rsidR="006C6F09">
        <w:t xml:space="preserve"> </w:t>
      </w:r>
      <w:r w:rsidRPr="0026323F">
        <w:t>is</w:t>
      </w:r>
      <w:r w:rsidR="006C6F09">
        <w:t xml:space="preserve"> </w:t>
      </w:r>
      <w:r w:rsidRPr="0026323F">
        <w:t>supported</w:t>
      </w:r>
      <w:r w:rsidR="006C6F09">
        <w:t xml:space="preserve"> </w:t>
      </w:r>
      <w:r w:rsidRPr="0026323F">
        <w:t>by</w:t>
      </w:r>
      <w:r w:rsidR="006C6F09">
        <w:t xml:space="preserve"> </w:t>
      </w:r>
      <w:r w:rsidRPr="0026323F">
        <w:t>reasons</w:t>
      </w:r>
      <w:r w:rsidR="006C6F09">
        <w:t xml:space="preserve"> </w:t>
      </w:r>
      <w:r w:rsidRPr="0026323F">
        <w:t>why</w:t>
      </w:r>
      <w:r w:rsidR="006C6F09">
        <w:t xml:space="preserve"> </w:t>
      </w:r>
      <w:r w:rsidRPr="0026323F">
        <w:t>a</w:t>
      </w:r>
      <w:r w:rsidR="006C6F09">
        <w:t xml:space="preserve"> </w:t>
      </w:r>
      <w:r w:rsidRPr="0026323F">
        <w:t>hearing</w:t>
      </w:r>
      <w:r w:rsidR="006C6F09">
        <w:t xml:space="preserve"> </w:t>
      </w:r>
      <w:r w:rsidRPr="0026323F">
        <w:t>will</w:t>
      </w:r>
      <w:r w:rsidR="006C6F09">
        <w:t xml:space="preserve"> </w:t>
      </w:r>
      <w:r w:rsidRPr="0026323F">
        <w:t>be</w:t>
      </w:r>
      <w:r w:rsidR="006C6F09">
        <w:t xml:space="preserve"> </w:t>
      </w:r>
      <w:r w:rsidRPr="0026323F">
        <w:t>helpful.</w:t>
      </w:r>
      <w:r w:rsidR="006C6F09">
        <w:t xml:space="preserve"> </w:t>
      </w:r>
      <w:r w:rsidRPr="0026323F">
        <w:t>However,</w:t>
      </w:r>
      <w:r w:rsidR="006C6F09">
        <w:t xml:space="preserve"> </w:t>
      </w:r>
      <w:r w:rsidRPr="0026323F">
        <w:t>a</w:t>
      </w:r>
      <w:r w:rsidR="006C6F09">
        <w:t xml:space="preserve"> </w:t>
      </w:r>
      <w:r w:rsidRPr="0026323F">
        <w:t>public</w:t>
      </w:r>
      <w:r w:rsidR="006C6F09">
        <w:t xml:space="preserve"> </w:t>
      </w:r>
      <w:r w:rsidRPr="0026323F">
        <w:t>hearing</w:t>
      </w:r>
      <w:r w:rsidR="006C6F09">
        <w:t xml:space="preserve"> </w:t>
      </w:r>
      <w:r w:rsidRPr="0026323F">
        <w:t>is</w:t>
      </w:r>
      <w:r w:rsidR="006C6F09">
        <w:t xml:space="preserve"> </w:t>
      </w:r>
      <w:r w:rsidRPr="0026323F">
        <w:t>not</w:t>
      </w:r>
      <w:r w:rsidR="006C6F09">
        <w:t xml:space="preserve"> </w:t>
      </w:r>
      <w:r w:rsidRPr="0026323F">
        <w:t>required</w:t>
      </w:r>
      <w:r w:rsidR="006C6F09">
        <w:t xml:space="preserve"> </w:t>
      </w:r>
      <w:r w:rsidRPr="0026323F">
        <w:t>if:</w:t>
      </w:r>
      <w:r w:rsidR="006C6F09">
        <w:t xml:space="preserve"> </w:t>
      </w:r>
    </w:p>
    <w:p w14:paraId="76FC7B05" w14:textId="455C7741" w:rsidR="00457754" w:rsidRPr="0026323F" w:rsidRDefault="00457754" w:rsidP="00D97AAC">
      <w:pPr>
        <w:pStyle w:val="ListBullet"/>
        <w:numPr>
          <w:ilvl w:val="1"/>
          <w:numId w:val="5"/>
        </w:numPr>
      </w:pPr>
      <w:r w:rsidRPr="0026323F">
        <w:t>a</w:t>
      </w:r>
      <w:r w:rsidR="006C6F09">
        <w:t xml:space="preserve"> </w:t>
      </w:r>
      <w:r w:rsidRPr="0026323F">
        <w:t>public</w:t>
      </w:r>
      <w:r w:rsidR="006C6F09">
        <w:t xml:space="preserve"> </w:t>
      </w:r>
      <w:r w:rsidRPr="0026323F">
        <w:t>hearing</w:t>
      </w:r>
      <w:r w:rsidR="006C6F09">
        <w:t xml:space="preserve"> </w:t>
      </w:r>
      <w:r w:rsidRPr="0026323F">
        <w:t>was</w:t>
      </w:r>
      <w:r w:rsidR="006C6F09">
        <w:t xml:space="preserve"> </w:t>
      </w:r>
      <w:r w:rsidRPr="0026323F">
        <w:t>held</w:t>
      </w:r>
      <w:r w:rsidR="006C6F09">
        <w:t xml:space="preserve"> </w:t>
      </w:r>
      <w:r w:rsidRPr="0026323F">
        <w:t>concerning</w:t>
      </w:r>
      <w:r w:rsidR="006C6F09">
        <w:t xml:space="preserve"> </w:t>
      </w:r>
      <w:r w:rsidRPr="0026323F">
        <w:t>the</w:t>
      </w:r>
      <w:r w:rsidR="006C6F09">
        <w:t xml:space="preserve"> </w:t>
      </w:r>
      <w:r w:rsidRPr="0026323F">
        <w:t>project</w:t>
      </w:r>
      <w:r w:rsidR="006C6F09">
        <w:t xml:space="preserve"> </w:t>
      </w:r>
      <w:r w:rsidRPr="0026323F">
        <w:t>before</w:t>
      </w:r>
      <w:r w:rsidR="006C6F09">
        <w:t xml:space="preserve"> </w:t>
      </w:r>
      <w:r w:rsidRPr="0026323F">
        <w:t>the</w:t>
      </w:r>
      <w:r w:rsidR="006C6F09">
        <w:t xml:space="preserve"> </w:t>
      </w:r>
      <w:r w:rsidRPr="0026323F">
        <w:t>requests</w:t>
      </w:r>
      <w:r w:rsidR="006C6F09">
        <w:t xml:space="preserve"> </w:t>
      </w:r>
      <w:proofErr w:type="gramStart"/>
      <w:r w:rsidRPr="0026323F">
        <w:t>are</w:t>
      </w:r>
      <w:proofErr w:type="gramEnd"/>
      <w:r w:rsidR="006C6F09">
        <w:t xml:space="preserve"> </w:t>
      </w:r>
      <w:r w:rsidRPr="0026323F">
        <w:t>received,</w:t>
      </w:r>
      <w:r w:rsidR="006C6F09">
        <w:t xml:space="preserve"> </w:t>
      </w:r>
    </w:p>
    <w:p w14:paraId="4F085984" w14:textId="3C13D05C" w:rsidR="00457754" w:rsidRPr="0026323F" w:rsidRDefault="00457754" w:rsidP="00D97AAC">
      <w:pPr>
        <w:pStyle w:val="ListBullet"/>
        <w:numPr>
          <w:ilvl w:val="1"/>
          <w:numId w:val="5"/>
        </w:numPr>
      </w:pPr>
      <w:r w:rsidRPr="0026323F">
        <w:t>the</w:t>
      </w:r>
      <w:r w:rsidR="006C6F09">
        <w:t xml:space="preserve"> </w:t>
      </w:r>
      <w:r w:rsidRPr="0026323F">
        <w:t>hearing</w:t>
      </w:r>
      <w:r w:rsidR="006C6F09">
        <w:t xml:space="preserve"> </w:t>
      </w:r>
      <w:r w:rsidRPr="0026323F">
        <w:t>request(s)</w:t>
      </w:r>
      <w:r w:rsidR="006C6F09">
        <w:t xml:space="preserve"> </w:t>
      </w:r>
      <w:r w:rsidRPr="0026323F">
        <w:t>are</w:t>
      </w:r>
      <w:r w:rsidR="006C6F09">
        <w:t xml:space="preserve"> </w:t>
      </w:r>
      <w:r w:rsidRPr="0026323F">
        <w:t>received</w:t>
      </w:r>
      <w:r w:rsidR="006C6F09">
        <w:t xml:space="preserve"> </w:t>
      </w:r>
      <w:r w:rsidRPr="0026323F">
        <w:t>after</w:t>
      </w:r>
      <w:r w:rsidR="006C6F09">
        <w:t xml:space="preserve"> </w:t>
      </w:r>
      <w:r w:rsidRPr="0026323F">
        <w:t>the</w:t>
      </w:r>
      <w:r w:rsidR="006C6F09">
        <w:t xml:space="preserve"> </w:t>
      </w:r>
      <w:r w:rsidRPr="0026323F">
        <w:t>environmental</w:t>
      </w:r>
      <w:r w:rsidR="006C6F09">
        <w:t xml:space="preserve"> </w:t>
      </w:r>
      <w:r w:rsidRPr="0026323F">
        <w:t>review</w:t>
      </w:r>
      <w:r w:rsidR="006C6F09">
        <w:t xml:space="preserve"> </w:t>
      </w:r>
      <w:r w:rsidRPr="0026323F">
        <w:t>document</w:t>
      </w:r>
      <w:r w:rsidR="006C6F09">
        <w:t xml:space="preserve"> </w:t>
      </w:r>
      <w:r w:rsidRPr="0026323F">
        <w:t>or</w:t>
      </w:r>
      <w:r w:rsidR="006C6F09">
        <w:t xml:space="preserve"> </w:t>
      </w:r>
      <w:r w:rsidRPr="0026323F">
        <w:t>CE</w:t>
      </w:r>
      <w:r w:rsidR="006C6F09">
        <w:t xml:space="preserve"> </w:t>
      </w:r>
      <w:r w:rsidRPr="0026323F">
        <w:t>determination</w:t>
      </w:r>
      <w:r w:rsidR="006C6F09">
        <w:t xml:space="preserve"> </w:t>
      </w:r>
      <w:r w:rsidRPr="0026323F">
        <w:t>for</w:t>
      </w:r>
      <w:r w:rsidR="006C6F09">
        <w:t xml:space="preserve"> </w:t>
      </w:r>
      <w:r w:rsidRPr="0026323F">
        <w:t>the</w:t>
      </w:r>
      <w:r w:rsidR="006C6F09">
        <w:t xml:space="preserve"> </w:t>
      </w:r>
      <w:r w:rsidRPr="0026323F">
        <w:t>project</w:t>
      </w:r>
      <w:r w:rsidR="006C6F09">
        <w:t xml:space="preserve"> </w:t>
      </w:r>
      <w:r w:rsidRPr="0026323F">
        <w:t>is</w:t>
      </w:r>
      <w:r w:rsidR="006C6F09">
        <w:t xml:space="preserve"> </w:t>
      </w:r>
      <w:r w:rsidRPr="0026323F">
        <w:t>approved</w:t>
      </w:r>
      <w:r w:rsidR="006C6F09">
        <w:t xml:space="preserve"> </w:t>
      </w:r>
      <w:r w:rsidRPr="0026323F">
        <w:t>(</w:t>
      </w:r>
      <w:r w:rsidRPr="00E032B4">
        <w:t>43</w:t>
      </w:r>
      <w:r w:rsidR="006C6F09">
        <w:t xml:space="preserve"> </w:t>
      </w:r>
      <w:r w:rsidRPr="00E032B4">
        <w:t>TAC</w:t>
      </w:r>
      <w:r w:rsidR="006C6F09">
        <w:t xml:space="preserve"> </w:t>
      </w:r>
      <w:r w:rsidRPr="00E032B4">
        <w:t>2.107(b)</w:t>
      </w:r>
      <w:r w:rsidRPr="0026323F">
        <w:t>(1)(B)),</w:t>
      </w:r>
    </w:p>
    <w:p w14:paraId="0E5EE99C" w14:textId="5DD62A20" w:rsidR="00457754" w:rsidRPr="0026323F" w:rsidRDefault="00457754" w:rsidP="00D97AAC">
      <w:pPr>
        <w:pStyle w:val="ListBullet"/>
        <w:numPr>
          <w:ilvl w:val="1"/>
          <w:numId w:val="5"/>
        </w:numPr>
      </w:pPr>
      <w:r w:rsidRPr="0026323F">
        <w:t>the</w:t>
      </w:r>
      <w:r w:rsidR="006C6F09">
        <w:t xml:space="preserve"> </w:t>
      </w:r>
      <w:r w:rsidRPr="0026323F">
        <w:t>hearing</w:t>
      </w:r>
      <w:r w:rsidR="006C6F09">
        <w:t xml:space="preserve"> </w:t>
      </w:r>
      <w:r w:rsidRPr="0026323F">
        <w:t>request(s)</w:t>
      </w:r>
      <w:r w:rsidR="006C6F09">
        <w:t xml:space="preserve"> </w:t>
      </w:r>
      <w:r w:rsidRPr="0026323F">
        <w:t>are</w:t>
      </w:r>
      <w:r w:rsidR="006C6F09">
        <w:t xml:space="preserve"> </w:t>
      </w:r>
      <w:r w:rsidRPr="0026323F">
        <w:t>received</w:t>
      </w:r>
      <w:r w:rsidR="006C6F09">
        <w:t xml:space="preserve"> </w:t>
      </w:r>
      <w:r w:rsidRPr="0026323F">
        <w:t>after</w:t>
      </w:r>
      <w:r w:rsidR="006C6F09">
        <w:t xml:space="preserve"> </w:t>
      </w:r>
      <w:r w:rsidRPr="0026323F">
        <w:t>the</w:t>
      </w:r>
      <w:r w:rsidR="006C6F09">
        <w:t xml:space="preserve"> </w:t>
      </w:r>
      <w:r w:rsidRPr="0026323F">
        <w:t>deadline</w:t>
      </w:r>
      <w:r w:rsidR="006C6F09">
        <w:t xml:space="preserve"> </w:t>
      </w:r>
      <w:r w:rsidRPr="0026323F">
        <w:t>specified</w:t>
      </w:r>
      <w:r w:rsidR="006C6F09">
        <w:t xml:space="preserve"> </w:t>
      </w:r>
      <w:r w:rsidRPr="0026323F">
        <w:t>in</w:t>
      </w:r>
      <w:r w:rsidR="006C6F09">
        <w:t xml:space="preserve"> </w:t>
      </w:r>
      <w:r w:rsidRPr="0026323F">
        <w:t>an</w:t>
      </w:r>
      <w:r w:rsidR="006C6F09">
        <w:t xml:space="preserve"> </w:t>
      </w:r>
      <w:r w:rsidRPr="0026323F">
        <w:t>NAOPH,</w:t>
      </w:r>
      <w:r w:rsidR="006C6F09">
        <w:t xml:space="preserve"> </w:t>
      </w:r>
      <w:r w:rsidRPr="0026323F">
        <w:t>or</w:t>
      </w:r>
    </w:p>
    <w:p w14:paraId="6A34B22D" w14:textId="0193954F" w:rsidR="00457754" w:rsidRPr="0026323F" w:rsidRDefault="00457754" w:rsidP="00D97AAC">
      <w:pPr>
        <w:pStyle w:val="ListBullet"/>
        <w:numPr>
          <w:ilvl w:val="1"/>
          <w:numId w:val="5"/>
        </w:numPr>
      </w:pPr>
      <w:proofErr w:type="gramStart"/>
      <w:r w:rsidRPr="0026323F">
        <w:t>the</w:t>
      </w:r>
      <w:proofErr w:type="gramEnd"/>
      <w:r w:rsidR="006C6F09">
        <w:t xml:space="preserve"> </w:t>
      </w:r>
      <w:r w:rsidRPr="0026323F">
        <w:t>project</w:t>
      </w:r>
      <w:r w:rsidR="006C6F09">
        <w:t xml:space="preserve"> </w:t>
      </w:r>
      <w:r w:rsidRPr="0026323F">
        <w:t>sponsor</w:t>
      </w:r>
      <w:r w:rsidR="006C6F09">
        <w:t xml:space="preserve"> </w:t>
      </w:r>
      <w:r w:rsidRPr="0026323F">
        <w:t>has</w:t>
      </w:r>
      <w:r w:rsidR="006C6F09">
        <w:t xml:space="preserve"> </w:t>
      </w:r>
      <w:r w:rsidRPr="0026323F">
        <w:t>addressed</w:t>
      </w:r>
      <w:r w:rsidR="006C6F09">
        <w:t xml:space="preserve"> </w:t>
      </w:r>
      <w:r w:rsidR="008D2B7E" w:rsidRPr="0026323F">
        <w:t>all</w:t>
      </w:r>
      <w:r w:rsidR="006C6F09">
        <w:t xml:space="preserve"> </w:t>
      </w:r>
      <w:r w:rsidRPr="0026323F">
        <w:t>the</w:t>
      </w:r>
      <w:r w:rsidR="006C6F09">
        <w:t xml:space="preserve"> </w:t>
      </w:r>
      <w:r w:rsidRPr="0026323F">
        <w:t>concerns</w:t>
      </w:r>
      <w:r w:rsidR="006C6F09">
        <w:t xml:space="preserve"> </w:t>
      </w:r>
      <w:r w:rsidRPr="0026323F">
        <w:t>of</w:t>
      </w:r>
      <w:r w:rsidR="006C6F09">
        <w:t xml:space="preserve"> </w:t>
      </w:r>
      <w:r w:rsidRPr="0026323F">
        <w:t>the</w:t>
      </w:r>
      <w:r w:rsidR="006C6F09">
        <w:t xml:space="preserve"> </w:t>
      </w:r>
      <w:r w:rsidRPr="0026323F">
        <w:t>agency</w:t>
      </w:r>
      <w:r w:rsidR="006C6F09">
        <w:t xml:space="preserve"> </w:t>
      </w:r>
      <w:r w:rsidRPr="0026323F">
        <w:t>or</w:t>
      </w:r>
      <w:r w:rsidR="006C6F09">
        <w:t xml:space="preserve"> </w:t>
      </w:r>
      <w:r w:rsidRPr="0026323F">
        <w:t>persons</w:t>
      </w:r>
      <w:r w:rsidR="006C6F09">
        <w:t xml:space="preserve"> </w:t>
      </w:r>
      <w:r w:rsidRPr="0026323F">
        <w:t>requesting</w:t>
      </w:r>
      <w:r w:rsidR="006C6F09">
        <w:t xml:space="preserve"> </w:t>
      </w:r>
      <w:r w:rsidRPr="0026323F">
        <w:t>the</w:t>
      </w:r>
      <w:r w:rsidR="006C6F09">
        <w:t xml:space="preserve"> </w:t>
      </w:r>
      <w:r w:rsidRPr="0026323F">
        <w:t>hearing</w:t>
      </w:r>
      <w:r w:rsidR="006C6F09">
        <w:t xml:space="preserve"> </w:t>
      </w:r>
      <w:r w:rsidRPr="0026323F">
        <w:t>and</w:t>
      </w:r>
      <w:r w:rsidR="006C6F09">
        <w:t xml:space="preserve"> </w:t>
      </w:r>
      <w:r w:rsidRPr="0026323F">
        <w:t>they</w:t>
      </w:r>
      <w:r w:rsidR="006C6F09">
        <w:t xml:space="preserve"> </w:t>
      </w:r>
      <w:r w:rsidRPr="0026323F">
        <w:t>have</w:t>
      </w:r>
      <w:r w:rsidR="006C6F09">
        <w:t xml:space="preserve"> </w:t>
      </w:r>
      <w:r w:rsidRPr="0026323F">
        <w:t>submitted</w:t>
      </w:r>
      <w:r w:rsidR="006C6F09">
        <w:t xml:space="preserve"> </w:t>
      </w:r>
      <w:r w:rsidRPr="0026323F">
        <w:t>written</w:t>
      </w:r>
      <w:r w:rsidR="006C6F09">
        <w:t xml:space="preserve"> </w:t>
      </w:r>
      <w:r w:rsidRPr="0026323F">
        <w:t>withdrawals</w:t>
      </w:r>
      <w:r w:rsidR="006C6F09">
        <w:t xml:space="preserve"> </w:t>
      </w:r>
      <w:r w:rsidRPr="0026323F">
        <w:t>of</w:t>
      </w:r>
      <w:r w:rsidR="006C6F09">
        <w:t xml:space="preserve"> </w:t>
      </w:r>
      <w:r w:rsidRPr="0026323F">
        <w:t>their</w:t>
      </w:r>
      <w:r w:rsidR="006C6F09">
        <w:t xml:space="preserve"> </w:t>
      </w:r>
      <w:r w:rsidRPr="0026323F">
        <w:t>hearing</w:t>
      </w:r>
      <w:r w:rsidR="006C6F09">
        <w:t xml:space="preserve"> </w:t>
      </w:r>
      <w:r w:rsidRPr="0026323F">
        <w:t>requests</w:t>
      </w:r>
      <w:r w:rsidR="006C6F09">
        <w:t xml:space="preserve"> </w:t>
      </w:r>
      <w:r w:rsidRPr="0026323F">
        <w:t>such</w:t>
      </w:r>
      <w:r w:rsidR="006C6F09">
        <w:t xml:space="preserve"> </w:t>
      </w:r>
      <w:r w:rsidRPr="0026323F">
        <w:t>that</w:t>
      </w:r>
      <w:r w:rsidR="006C6F09">
        <w:t xml:space="preserve"> </w:t>
      </w:r>
      <w:r w:rsidRPr="0026323F">
        <w:t>no</w:t>
      </w:r>
      <w:r w:rsidR="006C6F09">
        <w:t xml:space="preserve"> </w:t>
      </w:r>
      <w:r w:rsidRPr="0026323F">
        <w:t>agency</w:t>
      </w:r>
      <w:r w:rsidR="006C6F09">
        <w:t xml:space="preserve"> </w:t>
      </w:r>
      <w:r w:rsidRPr="0026323F">
        <w:t>request</w:t>
      </w:r>
      <w:r w:rsidR="006C6F09">
        <w:t xml:space="preserve"> </w:t>
      </w:r>
      <w:r w:rsidRPr="0026323F">
        <w:t>and</w:t>
      </w:r>
      <w:r w:rsidR="006C6F09">
        <w:t xml:space="preserve"> </w:t>
      </w:r>
      <w:r w:rsidRPr="0026323F">
        <w:t>less</w:t>
      </w:r>
      <w:r w:rsidR="006C6F09">
        <w:t xml:space="preserve"> </w:t>
      </w:r>
      <w:r w:rsidRPr="0026323F">
        <w:t>than</w:t>
      </w:r>
      <w:r w:rsidR="006C6F09">
        <w:t xml:space="preserve"> </w:t>
      </w:r>
      <w:r w:rsidRPr="0026323F">
        <w:t>10</w:t>
      </w:r>
      <w:r w:rsidR="006C6F09">
        <w:t xml:space="preserve"> </w:t>
      </w:r>
      <w:r w:rsidRPr="0026323F">
        <w:t>individual</w:t>
      </w:r>
      <w:r w:rsidR="006C6F09">
        <w:t xml:space="preserve"> </w:t>
      </w:r>
      <w:r w:rsidRPr="0026323F">
        <w:t>requests</w:t>
      </w:r>
      <w:r w:rsidR="006C6F09">
        <w:t xml:space="preserve"> </w:t>
      </w:r>
      <w:r w:rsidRPr="0026323F">
        <w:t>remain.</w:t>
      </w:r>
    </w:p>
    <w:p w14:paraId="02A46482" w14:textId="2A34F46E" w:rsidR="00457754" w:rsidRPr="002255B4" w:rsidRDefault="00457754" w:rsidP="00457754">
      <w:pPr>
        <w:pStyle w:val="ListBullet"/>
      </w:pPr>
      <w:r w:rsidRPr="002255B4">
        <w:t>The</w:t>
      </w:r>
      <w:r w:rsidR="006C6F09">
        <w:t xml:space="preserve"> </w:t>
      </w:r>
      <w:r w:rsidRPr="002255B4">
        <w:t>project</w:t>
      </w:r>
      <w:r w:rsidR="006C6F09">
        <w:t xml:space="preserve"> </w:t>
      </w:r>
      <w:r w:rsidRPr="002255B4">
        <w:t>involves</w:t>
      </w:r>
      <w:r w:rsidR="006C6F09">
        <w:t xml:space="preserve"> </w:t>
      </w:r>
      <w:r w:rsidRPr="002255B4">
        <w:t>substantial</w:t>
      </w:r>
      <w:r w:rsidR="006C6F09">
        <w:t xml:space="preserve"> </w:t>
      </w:r>
      <w:r w:rsidRPr="002255B4">
        <w:t>public</w:t>
      </w:r>
      <w:r w:rsidR="006C6F09">
        <w:t xml:space="preserve"> </w:t>
      </w:r>
      <w:r w:rsidRPr="002255B4">
        <w:t>interest</w:t>
      </w:r>
      <w:r w:rsidR="006C6F09">
        <w:t xml:space="preserve"> </w:t>
      </w:r>
      <w:r w:rsidRPr="002255B4">
        <w:t>or</w:t>
      </w:r>
      <w:r w:rsidR="006C6F09">
        <w:t xml:space="preserve"> </w:t>
      </w:r>
      <w:r w:rsidRPr="002255B4">
        <w:t>controversy</w:t>
      </w:r>
    </w:p>
    <w:p w14:paraId="77B081E0" w14:textId="0688DD79" w:rsidR="00457754" w:rsidRPr="002255B4" w:rsidRDefault="00457754" w:rsidP="00457754">
      <w:pPr>
        <w:pStyle w:val="ListBullet"/>
      </w:pPr>
      <w:r w:rsidRPr="002255B4">
        <w:t>TxDOT</w:t>
      </w:r>
      <w:r w:rsidR="006C6F09">
        <w:t xml:space="preserve"> </w:t>
      </w:r>
      <w:r w:rsidRPr="002255B4">
        <w:t>approves</w:t>
      </w:r>
      <w:r w:rsidR="006C6F09">
        <w:t xml:space="preserve"> </w:t>
      </w:r>
      <w:r w:rsidRPr="002255B4">
        <w:t>a</w:t>
      </w:r>
      <w:r w:rsidR="006C6F09">
        <w:t xml:space="preserve"> </w:t>
      </w:r>
      <w:r w:rsidRPr="002255B4">
        <w:t>draft</w:t>
      </w:r>
      <w:r w:rsidR="006C6F09">
        <w:t xml:space="preserve"> </w:t>
      </w:r>
      <w:r w:rsidRPr="002255B4">
        <w:t>EIS</w:t>
      </w:r>
      <w:r w:rsidR="006C6F09">
        <w:t xml:space="preserve"> </w:t>
      </w:r>
      <w:r w:rsidRPr="002255B4">
        <w:t>(DEIS)</w:t>
      </w:r>
    </w:p>
    <w:p w14:paraId="4973667D" w14:textId="558278F8" w:rsidR="00457754" w:rsidRPr="002255B4" w:rsidRDefault="00457754" w:rsidP="00457754">
      <w:pPr>
        <w:pStyle w:val="ListBullet"/>
      </w:pPr>
      <w:r w:rsidRPr="002255B4">
        <w:t>The</w:t>
      </w:r>
      <w:r w:rsidR="006C6F09">
        <w:t xml:space="preserve"> </w:t>
      </w:r>
      <w:r w:rsidRPr="002255B4">
        <w:t>project</w:t>
      </w:r>
      <w:r w:rsidR="006C6F09">
        <w:t xml:space="preserve"> </w:t>
      </w:r>
      <w:r w:rsidRPr="002255B4">
        <w:t>substantially</w:t>
      </w:r>
      <w:r w:rsidR="006C6F09">
        <w:t xml:space="preserve"> </w:t>
      </w:r>
      <w:r w:rsidRPr="002255B4">
        <w:t>changes</w:t>
      </w:r>
      <w:r w:rsidR="006C6F09">
        <w:t xml:space="preserve"> </w:t>
      </w:r>
      <w:r w:rsidRPr="002255B4">
        <w:t>the</w:t>
      </w:r>
      <w:r w:rsidR="006C6F09">
        <w:t xml:space="preserve"> </w:t>
      </w:r>
      <w:r w:rsidRPr="002255B4">
        <w:t>layout</w:t>
      </w:r>
      <w:r w:rsidR="006C6F09">
        <w:t xml:space="preserve"> </w:t>
      </w:r>
      <w:r w:rsidRPr="002255B4">
        <w:t>or</w:t>
      </w:r>
      <w:r w:rsidR="006C6F09">
        <w:t xml:space="preserve"> </w:t>
      </w:r>
      <w:r w:rsidRPr="002255B4">
        <w:t>function</w:t>
      </w:r>
      <w:r w:rsidR="006C6F09">
        <w:t xml:space="preserve"> </w:t>
      </w:r>
      <w:r w:rsidRPr="002255B4">
        <w:t>of</w:t>
      </w:r>
      <w:r w:rsidR="006C6F09">
        <w:t xml:space="preserve"> </w:t>
      </w:r>
      <w:r w:rsidRPr="002255B4">
        <w:t>a</w:t>
      </w:r>
      <w:r w:rsidR="006C6F09">
        <w:t xml:space="preserve"> </w:t>
      </w:r>
      <w:r w:rsidRPr="002255B4">
        <w:t>connecting</w:t>
      </w:r>
      <w:r w:rsidR="006C6F09">
        <w:t xml:space="preserve"> </w:t>
      </w:r>
      <w:r w:rsidRPr="002255B4">
        <w:t>roadway</w:t>
      </w:r>
      <w:r w:rsidR="006C6F09">
        <w:t xml:space="preserve"> </w:t>
      </w:r>
      <w:r w:rsidRPr="002255B4">
        <w:t>or</w:t>
      </w:r>
      <w:r w:rsidR="006C6F09">
        <w:t xml:space="preserve"> </w:t>
      </w:r>
      <w:r w:rsidRPr="002255B4">
        <w:t>an</w:t>
      </w:r>
      <w:r w:rsidR="006C6F09">
        <w:t xml:space="preserve"> </w:t>
      </w:r>
      <w:r w:rsidRPr="002255B4">
        <w:t>existing</w:t>
      </w:r>
      <w:r w:rsidR="006C6F09">
        <w:t xml:space="preserve"> </w:t>
      </w:r>
      <w:r w:rsidRPr="002255B4">
        <w:t>facility</w:t>
      </w:r>
      <w:r>
        <w:rPr>
          <w:rStyle w:val="FootnoteReference"/>
        </w:rPr>
        <w:footnoteReference w:id="3"/>
      </w:r>
    </w:p>
    <w:p w14:paraId="6B2F9A68" w14:textId="6DE36D2C" w:rsidR="00457754" w:rsidRPr="002255B4" w:rsidRDefault="00457754" w:rsidP="00457754">
      <w:pPr>
        <w:pStyle w:val="ListBullet"/>
      </w:pPr>
      <w:r w:rsidRPr="002255B4">
        <w:t>TxDOT</w:t>
      </w:r>
      <w:r w:rsidR="006C6F09">
        <w:t xml:space="preserve"> </w:t>
      </w:r>
      <w:r w:rsidRPr="002255B4">
        <w:t>determines</w:t>
      </w:r>
      <w:r w:rsidR="006C6F09">
        <w:t xml:space="preserve"> </w:t>
      </w:r>
      <w:r w:rsidRPr="002255B4">
        <w:t>it</w:t>
      </w:r>
      <w:r w:rsidR="006C6F09">
        <w:t xml:space="preserve"> </w:t>
      </w:r>
      <w:r w:rsidRPr="002255B4">
        <w:t>is</w:t>
      </w:r>
      <w:r w:rsidR="006C6F09">
        <w:t xml:space="preserve"> </w:t>
      </w:r>
      <w:r w:rsidRPr="002255B4">
        <w:t>in</w:t>
      </w:r>
      <w:r w:rsidR="006C6F09">
        <w:t xml:space="preserve"> </w:t>
      </w:r>
      <w:r w:rsidRPr="002255B4">
        <w:t>the</w:t>
      </w:r>
      <w:r w:rsidR="006C6F09">
        <w:t xml:space="preserve"> </w:t>
      </w:r>
      <w:r w:rsidRPr="002255B4">
        <w:t>public</w:t>
      </w:r>
      <w:r w:rsidR="006C6F09">
        <w:t xml:space="preserve"> </w:t>
      </w:r>
      <w:r w:rsidRPr="002255B4">
        <w:t>interest</w:t>
      </w:r>
    </w:p>
    <w:p w14:paraId="1C436F2F" w14:textId="2589C18A" w:rsidR="00457754" w:rsidRPr="002255B4" w:rsidRDefault="00457754" w:rsidP="00457754">
      <w:pPr>
        <w:pStyle w:val="ListBullet"/>
      </w:pPr>
      <w:r w:rsidRPr="002255B4">
        <w:t>The</w:t>
      </w:r>
      <w:r w:rsidR="006C6F09">
        <w:t xml:space="preserve"> </w:t>
      </w:r>
      <w:r w:rsidRPr="002255B4">
        <w:t>project</w:t>
      </w:r>
      <w:r w:rsidR="006C6F09">
        <w:t xml:space="preserve"> </w:t>
      </w:r>
      <w:r w:rsidRPr="002255B4">
        <w:t>bypasses</w:t>
      </w:r>
      <w:r w:rsidR="006C6F09">
        <w:t xml:space="preserve"> </w:t>
      </w:r>
      <w:r w:rsidRPr="002255B4">
        <w:t>a</w:t>
      </w:r>
      <w:r w:rsidR="006C6F09">
        <w:t xml:space="preserve"> </w:t>
      </w:r>
      <w:r w:rsidRPr="002255B4">
        <w:t>municipality</w:t>
      </w:r>
      <w:r w:rsidR="006C6F09">
        <w:t xml:space="preserve"> </w:t>
      </w:r>
      <w:r w:rsidRPr="00332D95">
        <w:t>(see</w:t>
      </w:r>
      <w:r w:rsidR="006C6F09">
        <w:t xml:space="preserve"> </w:t>
      </w:r>
      <w:hyperlink r:id="rId52" w:history="1">
        <w:r w:rsidRPr="00332D95">
          <w:rPr>
            <w:rStyle w:val="Hyperlink"/>
            <w:rFonts w:cs="Arial"/>
          </w:rPr>
          <w:t>Transportation</w:t>
        </w:r>
        <w:r w:rsidR="006C6F09">
          <w:rPr>
            <w:rStyle w:val="Hyperlink"/>
            <w:rFonts w:cs="Arial"/>
          </w:rPr>
          <w:t xml:space="preserve"> </w:t>
        </w:r>
        <w:r w:rsidRPr="00332D95">
          <w:rPr>
            <w:rStyle w:val="Hyperlink"/>
            <w:rFonts w:cs="Arial"/>
          </w:rPr>
          <w:t>Code,</w:t>
        </w:r>
        <w:r w:rsidR="006C6F09">
          <w:rPr>
            <w:rStyle w:val="Hyperlink"/>
            <w:rFonts w:cs="Arial"/>
          </w:rPr>
          <w:t xml:space="preserve"> </w:t>
        </w:r>
        <w:r w:rsidRPr="00332D95">
          <w:rPr>
            <w:rStyle w:val="Hyperlink"/>
            <w:rFonts w:cs="Arial"/>
          </w:rPr>
          <w:t>Section</w:t>
        </w:r>
        <w:r w:rsidR="006C6F09">
          <w:rPr>
            <w:rStyle w:val="Hyperlink"/>
            <w:rFonts w:cs="Arial"/>
          </w:rPr>
          <w:t xml:space="preserve"> </w:t>
        </w:r>
        <w:r w:rsidRPr="00332D95">
          <w:rPr>
            <w:rStyle w:val="Hyperlink"/>
            <w:rFonts w:cs="Arial"/>
          </w:rPr>
          <w:t>203.021</w:t>
        </w:r>
      </w:hyperlink>
      <w:r w:rsidRPr="00332D95">
        <w:rPr>
          <w:rStyle w:val="Hyperlink"/>
          <w:rFonts w:cs="Arial"/>
          <w:color w:val="auto"/>
        </w:rPr>
        <w:t>)</w:t>
      </w:r>
    </w:p>
    <w:p w14:paraId="620D2B06" w14:textId="783DD341" w:rsidR="00457754" w:rsidRPr="002255B4" w:rsidRDefault="00457754" w:rsidP="00457754">
      <w:pPr>
        <w:pStyle w:val="ListBullet"/>
      </w:pPr>
      <w:r w:rsidRPr="002255B4">
        <w:lastRenderedPageBreak/>
        <w:t>The</w:t>
      </w:r>
      <w:r w:rsidR="006C6F09">
        <w:t xml:space="preserve"> </w:t>
      </w:r>
      <w:r w:rsidRPr="002255B4">
        <w:t>project</w:t>
      </w:r>
      <w:r w:rsidR="006C6F09">
        <w:t xml:space="preserve"> </w:t>
      </w:r>
      <w:r w:rsidRPr="002255B4">
        <w:t>requires</w:t>
      </w:r>
      <w:r w:rsidR="006C6F09">
        <w:t xml:space="preserve"> </w:t>
      </w:r>
      <w:r w:rsidRPr="002255B4">
        <w:t>the</w:t>
      </w:r>
      <w:r w:rsidR="006C6F09">
        <w:t xml:space="preserve"> </w:t>
      </w:r>
      <w:r w:rsidRPr="002255B4">
        <w:t>taking</w:t>
      </w:r>
      <w:r w:rsidR="006C6F09">
        <w:t xml:space="preserve"> </w:t>
      </w:r>
      <w:r w:rsidRPr="002255B4">
        <w:t>of</w:t>
      </w:r>
      <w:r w:rsidR="006C6F09">
        <w:t xml:space="preserve"> </w:t>
      </w:r>
      <w:r w:rsidRPr="002255B4">
        <w:t>public</w:t>
      </w:r>
      <w:r w:rsidR="006C6F09">
        <w:t xml:space="preserve"> </w:t>
      </w:r>
      <w:r w:rsidRPr="002255B4">
        <w:t>land</w:t>
      </w:r>
      <w:r w:rsidR="006C6F09">
        <w:t xml:space="preserve"> </w:t>
      </w:r>
      <w:r w:rsidRPr="002255B4">
        <w:t>designated</w:t>
      </w:r>
      <w:r w:rsidR="006C6F09">
        <w:t xml:space="preserve"> </w:t>
      </w:r>
      <w:r w:rsidRPr="002255B4">
        <w:t>and</w:t>
      </w:r>
      <w:r w:rsidR="006C6F09">
        <w:t xml:space="preserve"> </w:t>
      </w:r>
      <w:r w:rsidRPr="002255B4">
        <w:t>used</w:t>
      </w:r>
      <w:r w:rsidR="006C6F09">
        <w:t xml:space="preserve"> </w:t>
      </w:r>
      <w:r w:rsidRPr="002255B4">
        <w:t>as</w:t>
      </w:r>
      <w:r w:rsidR="006C6F09">
        <w:t xml:space="preserve"> </w:t>
      </w:r>
      <w:r w:rsidRPr="002255B4">
        <w:t>a</w:t>
      </w:r>
      <w:r w:rsidR="006C6F09">
        <w:t xml:space="preserve"> </w:t>
      </w:r>
      <w:r w:rsidRPr="002255B4">
        <w:t>park,</w:t>
      </w:r>
      <w:r w:rsidR="006C6F09">
        <w:t xml:space="preserve"> </w:t>
      </w:r>
      <w:r w:rsidRPr="002255B4">
        <w:t>recreation</w:t>
      </w:r>
      <w:r w:rsidR="006C6F09">
        <w:t xml:space="preserve"> </w:t>
      </w:r>
      <w:r w:rsidRPr="002255B4">
        <w:t>area,</w:t>
      </w:r>
      <w:r w:rsidR="006C6F09">
        <w:t xml:space="preserve"> </w:t>
      </w:r>
      <w:r w:rsidRPr="002255B4">
        <w:t>wildlife</w:t>
      </w:r>
      <w:r w:rsidR="006C6F09">
        <w:t xml:space="preserve"> </w:t>
      </w:r>
      <w:r w:rsidRPr="002255B4">
        <w:t>refuge,</w:t>
      </w:r>
      <w:r w:rsidR="006C6F09">
        <w:t xml:space="preserve"> </w:t>
      </w:r>
      <w:r w:rsidRPr="002255B4">
        <w:t>historic</w:t>
      </w:r>
      <w:r w:rsidR="006C6F09">
        <w:t xml:space="preserve"> </w:t>
      </w:r>
      <w:r w:rsidRPr="002255B4">
        <w:t>site,</w:t>
      </w:r>
      <w:r w:rsidR="006C6F09">
        <w:t xml:space="preserve"> </w:t>
      </w:r>
      <w:r w:rsidRPr="002255B4">
        <w:t>or</w:t>
      </w:r>
      <w:r w:rsidR="006C6F09">
        <w:t xml:space="preserve"> </w:t>
      </w:r>
      <w:r w:rsidRPr="002255B4">
        <w:t>scientific</w:t>
      </w:r>
      <w:r w:rsidR="006C6F09">
        <w:t xml:space="preserve"> </w:t>
      </w:r>
      <w:r w:rsidRPr="002255B4">
        <w:t>area,</w:t>
      </w:r>
      <w:r w:rsidR="006C6F09">
        <w:t xml:space="preserve"> </w:t>
      </w:r>
      <w:r w:rsidRPr="002255B4">
        <w:t>as</w:t>
      </w:r>
      <w:r w:rsidR="006C6F09">
        <w:t xml:space="preserve"> </w:t>
      </w:r>
      <w:r w:rsidRPr="002255B4">
        <w:t>covered</w:t>
      </w:r>
      <w:r w:rsidR="006C6F09">
        <w:t xml:space="preserve"> </w:t>
      </w:r>
      <w:r w:rsidRPr="002255B4">
        <w:t>under</w:t>
      </w:r>
      <w:r w:rsidR="006C6F09">
        <w:t xml:space="preserve"> </w:t>
      </w:r>
      <w:r w:rsidRPr="00263E76">
        <w:rPr>
          <w:i/>
          <w:iCs/>
        </w:rPr>
        <w:t>Chapter</w:t>
      </w:r>
      <w:r w:rsidR="006C6F09">
        <w:rPr>
          <w:i/>
          <w:iCs/>
        </w:rPr>
        <w:t xml:space="preserve"> </w:t>
      </w:r>
      <w:r w:rsidRPr="00263E76">
        <w:rPr>
          <w:i/>
          <w:iCs/>
        </w:rPr>
        <w:t>26</w:t>
      </w:r>
      <w:r w:rsidR="006C6F09">
        <w:rPr>
          <w:i/>
          <w:iCs/>
        </w:rPr>
        <w:t xml:space="preserve"> </w:t>
      </w:r>
      <w:r w:rsidRPr="00263E76">
        <w:rPr>
          <w:i/>
          <w:iCs/>
        </w:rPr>
        <w:t>of</w:t>
      </w:r>
      <w:r w:rsidR="006C6F09">
        <w:rPr>
          <w:i/>
          <w:iCs/>
        </w:rPr>
        <w:t xml:space="preserve"> </w:t>
      </w:r>
      <w:r w:rsidRPr="00263E76">
        <w:rPr>
          <w:i/>
          <w:iCs/>
        </w:rPr>
        <w:t>the</w:t>
      </w:r>
      <w:r w:rsidR="006C6F09">
        <w:rPr>
          <w:i/>
          <w:iCs/>
        </w:rPr>
        <w:t xml:space="preserve"> </w:t>
      </w:r>
      <w:r w:rsidRPr="00263E76">
        <w:rPr>
          <w:i/>
          <w:iCs/>
        </w:rPr>
        <w:t>PWC</w:t>
      </w:r>
      <w:r w:rsidR="006C6F09">
        <w:t xml:space="preserve"> </w:t>
      </w:r>
      <w:r w:rsidRPr="00332D95">
        <w:t>(</w:t>
      </w:r>
      <w:hyperlink r:id="rId53" w:history="1">
        <w:r w:rsidRPr="00332D95">
          <w:rPr>
            <w:rStyle w:val="Hyperlink"/>
          </w:rPr>
          <w:t>3</w:t>
        </w:r>
        <w:r w:rsidR="006C6F09">
          <w:rPr>
            <w:rStyle w:val="Hyperlink"/>
          </w:rPr>
          <w:t xml:space="preserve"> </w:t>
        </w:r>
        <w:r w:rsidRPr="00332D95">
          <w:rPr>
            <w:rStyle w:val="Hyperlink"/>
          </w:rPr>
          <w:t>PWC</w:t>
        </w:r>
        <w:r w:rsidR="006C6F09">
          <w:rPr>
            <w:rStyle w:val="Hyperlink"/>
          </w:rPr>
          <w:t xml:space="preserve"> </w:t>
        </w:r>
        <w:r w:rsidRPr="00332D95">
          <w:rPr>
            <w:rStyle w:val="Hyperlink"/>
          </w:rPr>
          <w:t>26.001</w:t>
        </w:r>
      </w:hyperlink>
      <w:r w:rsidRPr="00332D95">
        <w:t>)</w:t>
      </w:r>
      <w:r w:rsidR="006C6F09">
        <w:t xml:space="preserve"> </w:t>
      </w:r>
      <w:r w:rsidRPr="002255B4">
        <w:t>(see</w:t>
      </w:r>
      <w:r w:rsidR="006C6F09">
        <w:t xml:space="preserve"> </w:t>
      </w:r>
      <w:r w:rsidRPr="002255B4">
        <w:t>section</w:t>
      </w:r>
      <w:r w:rsidR="006C6F09">
        <w:t xml:space="preserve"> </w:t>
      </w:r>
      <w:hyperlink w:anchor="_13.1_Chapter_26" w:history="1">
        <w:r w:rsidRPr="002255B4">
          <w:rPr>
            <w:rStyle w:val="Hyperlink"/>
          </w:rPr>
          <w:fldChar w:fldCharType="begin"/>
        </w:r>
        <w:r w:rsidRPr="002255B4">
          <w:instrText xml:space="preserve"> REF _Ref219385824 \h </w:instrText>
        </w:r>
        <w:r w:rsidRPr="002255B4">
          <w:rPr>
            <w:rStyle w:val="Hyperlink"/>
          </w:rPr>
          <w:instrText xml:space="preserve"> \* MERGEFORMAT </w:instrText>
        </w:r>
        <w:r w:rsidRPr="002255B4">
          <w:rPr>
            <w:rStyle w:val="Hyperlink"/>
          </w:rPr>
        </w:r>
        <w:r w:rsidRPr="002255B4">
          <w:rPr>
            <w:rStyle w:val="Hyperlink"/>
          </w:rPr>
          <w:fldChar w:fldCharType="separate"/>
        </w:r>
        <w:r w:rsidRPr="00263E76">
          <w:rPr>
            <w:u w:val="single"/>
          </w:rPr>
          <w:fldChar w:fldCharType="begin"/>
        </w:r>
        <w:r w:rsidRPr="00263E76">
          <w:rPr>
            <w:rStyle w:val="Hyperlink"/>
          </w:rPr>
          <w:instrText xml:space="preserve"> REF _Ref219385824 \h </w:instrText>
        </w:r>
        <w:r w:rsidRPr="00263E76">
          <w:rPr>
            <w:u w:val="single"/>
          </w:rPr>
          <w:instrText xml:space="preserve"> \* MERGEFORMAT </w:instrText>
        </w:r>
        <w:r w:rsidRPr="00263E76">
          <w:rPr>
            <w:u w:val="single"/>
          </w:rPr>
        </w:r>
        <w:r w:rsidRPr="00263E76">
          <w:rPr>
            <w:u w:val="single"/>
          </w:rPr>
          <w:fldChar w:fldCharType="separate"/>
        </w:r>
        <w:r w:rsidRPr="00263E76">
          <w:rPr>
            <w:color w:val="0056A9"/>
            <w:u w:val="single"/>
          </w:rPr>
          <w:t>13.1</w:t>
        </w:r>
        <w:r w:rsidRPr="00263E76">
          <w:rPr>
            <w:u w:val="single"/>
          </w:rPr>
          <w:fldChar w:fldCharType="end"/>
        </w:r>
        <w:r w:rsidR="006C6F09">
          <w:t xml:space="preserve"> </w:t>
        </w:r>
        <w:r w:rsidRPr="002255B4">
          <w:rPr>
            <w:rStyle w:val="Hyperlink"/>
          </w:rPr>
          <w:fldChar w:fldCharType="end"/>
        </w:r>
      </w:hyperlink>
      <w:r w:rsidRPr="002255B4">
        <w:t>below)</w:t>
      </w:r>
    </w:p>
    <w:p w14:paraId="2E3873ED" w14:textId="1928CED1" w:rsidR="00457754" w:rsidRPr="002255B4" w:rsidRDefault="00457754" w:rsidP="00457754">
      <w:pPr>
        <w:pStyle w:val="ListBullet"/>
      </w:pPr>
      <w:r w:rsidRPr="002255B4">
        <w:t>The</w:t>
      </w:r>
      <w:r w:rsidR="006C6F09">
        <w:t xml:space="preserve"> </w:t>
      </w:r>
      <w:r w:rsidRPr="002255B4">
        <w:t>project</w:t>
      </w:r>
      <w:r w:rsidR="006C6F09">
        <w:t xml:space="preserve"> </w:t>
      </w:r>
      <w:r w:rsidRPr="002255B4">
        <w:t>requires</w:t>
      </w:r>
      <w:r w:rsidR="006C6F09">
        <w:t xml:space="preserve"> </w:t>
      </w:r>
      <w:r w:rsidRPr="002255B4">
        <w:t>the</w:t>
      </w:r>
      <w:r w:rsidR="006C6F09">
        <w:t xml:space="preserve"> </w:t>
      </w:r>
      <w:r w:rsidRPr="002255B4">
        <w:t>use</w:t>
      </w:r>
      <w:r w:rsidR="006C6F09">
        <w:t xml:space="preserve"> </w:t>
      </w:r>
      <w:r w:rsidRPr="002255B4">
        <w:t>or</w:t>
      </w:r>
      <w:r w:rsidR="006C6F09">
        <w:t xml:space="preserve"> </w:t>
      </w:r>
      <w:r w:rsidRPr="002255B4">
        <w:t>taking</w:t>
      </w:r>
      <w:r w:rsidR="006C6F09">
        <w:t xml:space="preserve"> </w:t>
      </w:r>
      <w:r w:rsidRPr="002255B4">
        <w:t>of</w:t>
      </w:r>
      <w:r w:rsidR="006C6F09">
        <w:t xml:space="preserve"> </w:t>
      </w:r>
      <w:r w:rsidRPr="002255B4">
        <w:t>private</w:t>
      </w:r>
      <w:r w:rsidR="006C6F09">
        <w:t xml:space="preserve"> </w:t>
      </w:r>
      <w:r w:rsidRPr="002255B4">
        <w:t>land</w:t>
      </w:r>
      <w:r w:rsidR="006C6F09">
        <w:t xml:space="preserve"> </w:t>
      </w:r>
      <w:r w:rsidRPr="002255B4">
        <w:t>encumbered</w:t>
      </w:r>
      <w:r w:rsidR="006C6F09">
        <w:t xml:space="preserve"> </w:t>
      </w:r>
      <w:r w:rsidRPr="002255B4">
        <w:t>by</w:t>
      </w:r>
      <w:r w:rsidR="006C6F09">
        <w:t xml:space="preserve"> </w:t>
      </w:r>
      <w:r w:rsidRPr="002255B4">
        <w:t>an</w:t>
      </w:r>
      <w:r w:rsidR="006C6F09">
        <w:t xml:space="preserve"> </w:t>
      </w:r>
      <w:r w:rsidRPr="002255B4">
        <w:t>agricultural</w:t>
      </w:r>
      <w:r w:rsidR="006C6F09">
        <w:t xml:space="preserve"> </w:t>
      </w:r>
      <w:r w:rsidRPr="002255B4">
        <w:t>conservation</w:t>
      </w:r>
      <w:r w:rsidR="006C6F09">
        <w:t xml:space="preserve"> </w:t>
      </w:r>
      <w:r w:rsidRPr="002255B4">
        <w:t>easement</w:t>
      </w:r>
      <w:r w:rsidR="006C6F09">
        <w:t xml:space="preserve"> </w:t>
      </w:r>
      <w:r w:rsidRPr="002255B4">
        <w:t>purchased</w:t>
      </w:r>
      <w:r w:rsidR="006C6F09">
        <w:t xml:space="preserve"> </w:t>
      </w:r>
      <w:r w:rsidRPr="002255B4">
        <w:t>under</w:t>
      </w:r>
      <w:r w:rsidR="006C6F09">
        <w:t xml:space="preserve"> </w:t>
      </w:r>
      <w:r w:rsidRPr="002255B4">
        <w:t>Chapter</w:t>
      </w:r>
      <w:r w:rsidR="006C6F09">
        <w:t xml:space="preserve"> </w:t>
      </w:r>
      <w:r w:rsidRPr="002255B4">
        <w:t>84</w:t>
      </w:r>
      <w:r w:rsidR="006C6F09">
        <w:t xml:space="preserve"> </w:t>
      </w:r>
      <w:r w:rsidRPr="002255B4">
        <w:t>of</w:t>
      </w:r>
      <w:r w:rsidR="006C6F09">
        <w:t xml:space="preserve"> </w:t>
      </w:r>
      <w:r w:rsidRPr="002255B4">
        <w:t>the</w:t>
      </w:r>
      <w:r w:rsidR="006C6F09">
        <w:t xml:space="preserve"> </w:t>
      </w:r>
      <w:r w:rsidRPr="002255B4">
        <w:t>Texas</w:t>
      </w:r>
      <w:r w:rsidR="006C6F09">
        <w:t xml:space="preserve"> </w:t>
      </w:r>
      <w:r w:rsidRPr="002255B4">
        <w:t>Parks</w:t>
      </w:r>
      <w:r w:rsidR="006C6F09">
        <w:t xml:space="preserve"> </w:t>
      </w:r>
      <w:r w:rsidRPr="002255B4">
        <w:t>and</w:t>
      </w:r>
      <w:r w:rsidR="006C6F09">
        <w:t xml:space="preserve"> </w:t>
      </w:r>
      <w:r w:rsidRPr="002255B4">
        <w:t>Wildlife</w:t>
      </w:r>
      <w:r w:rsidR="006C6F09">
        <w:t xml:space="preserve"> </w:t>
      </w:r>
      <w:r w:rsidRPr="002255B4">
        <w:t>Code</w:t>
      </w:r>
    </w:p>
    <w:p w14:paraId="46C41068" w14:textId="0C16A3B2" w:rsidR="00457754" w:rsidRDefault="00457754" w:rsidP="00457754">
      <w:r>
        <w:t>In</w:t>
      </w:r>
      <w:r w:rsidR="006C6F09">
        <w:t xml:space="preserve"> </w:t>
      </w:r>
      <w:r>
        <w:t>determining</w:t>
      </w:r>
      <w:r w:rsidR="006C6F09">
        <w:t xml:space="preserve"> </w:t>
      </w:r>
      <w:r>
        <w:t>whether</w:t>
      </w:r>
      <w:r w:rsidR="006C6F09">
        <w:t xml:space="preserve"> </w:t>
      </w:r>
      <w:r>
        <w:t>a</w:t>
      </w:r>
      <w:r w:rsidR="006C6F09">
        <w:t xml:space="preserve"> </w:t>
      </w:r>
      <w:r>
        <w:t>horizontal</w:t>
      </w:r>
      <w:r w:rsidR="006C6F09">
        <w:t xml:space="preserve"> </w:t>
      </w:r>
      <w:r>
        <w:t>re-alignment</w:t>
      </w:r>
      <w:r w:rsidR="006C6F09">
        <w:t xml:space="preserve"> </w:t>
      </w:r>
      <w:r>
        <w:t>or</w:t>
      </w:r>
      <w:r w:rsidR="006C6F09">
        <w:t xml:space="preserve"> </w:t>
      </w:r>
      <w:r>
        <w:t>extension</w:t>
      </w:r>
      <w:r w:rsidR="006C6F09">
        <w:t xml:space="preserve"> </w:t>
      </w:r>
      <w:r>
        <w:t>requires</w:t>
      </w:r>
      <w:r w:rsidR="006C6F09">
        <w:t xml:space="preserve"> </w:t>
      </w:r>
      <w:r>
        <w:t>more</w:t>
      </w:r>
      <w:r w:rsidR="006C6F09">
        <w:t xml:space="preserve"> </w:t>
      </w:r>
      <w:r>
        <w:t>than</w:t>
      </w:r>
      <w:r w:rsidR="006C6F09">
        <w:t xml:space="preserve"> </w:t>
      </w:r>
      <w:r>
        <w:t>30</w:t>
      </w:r>
      <w:r w:rsidR="006C6F09">
        <w:t xml:space="preserve"> </w:t>
      </w:r>
      <w:r>
        <w:t>acres</w:t>
      </w:r>
      <w:r w:rsidR="006C6F09">
        <w:t xml:space="preserve"> </w:t>
      </w:r>
      <w:r>
        <w:t>of</w:t>
      </w:r>
      <w:r w:rsidR="006C6F09">
        <w:t xml:space="preserve"> </w:t>
      </w:r>
      <w:r>
        <w:t>new</w:t>
      </w:r>
      <w:r w:rsidR="006C6F09">
        <w:t xml:space="preserve"> </w:t>
      </w:r>
      <w:r>
        <w:t>right-of-way,</w:t>
      </w:r>
      <w:r w:rsidR="006C6F09">
        <w:t xml:space="preserve"> </w:t>
      </w:r>
      <w:r>
        <w:t>consider</w:t>
      </w:r>
      <w:r w:rsidR="006C6F09">
        <w:t xml:space="preserve"> </w:t>
      </w:r>
      <w:r>
        <w:t>only</w:t>
      </w:r>
      <w:r w:rsidR="006C6F09">
        <w:t xml:space="preserve"> </w:t>
      </w:r>
      <w:proofErr w:type="gramStart"/>
      <w:r>
        <w:t>those</w:t>
      </w:r>
      <w:r w:rsidR="006C6F09">
        <w:t xml:space="preserve"> </w:t>
      </w:r>
      <w:r>
        <w:t>fee</w:t>
      </w:r>
      <w:proofErr w:type="gramEnd"/>
      <w:r w:rsidR="006C6F09">
        <w:t xml:space="preserve"> </w:t>
      </w:r>
      <w:r>
        <w:t>simple</w:t>
      </w:r>
      <w:r w:rsidR="006C6F09">
        <w:t xml:space="preserve"> </w:t>
      </w:r>
      <w:r>
        <w:t>or</w:t>
      </w:r>
      <w:r w:rsidR="006C6F09">
        <w:t xml:space="preserve"> </w:t>
      </w:r>
      <w:r>
        <w:t>permanent</w:t>
      </w:r>
      <w:r w:rsidR="006C6F09">
        <w:t xml:space="preserve"> </w:t>
      </w:r>
      <w:r>
        <w:t>easement</w:t>
      </w:r>
      <w:r w:rsidR="006C6F09">
        <w:t xml:space="preserve"> </w:t>
      </w:r>
      <w:r>
        <w:t>acquisitions</w:t>
      </w:r>
      <w:r w:rsidR="006C6F09">
        <w:t xml:space="preserve"> </w:t>
      </w:r>
      <w:r>
        <w:t>needed</w:t>
      </w:r>
      <w:r w:rsidR="006C6F09">
        <w:t xml:space="preserve"> </w:t>
      </w:r>
      <w:r>
        <w:t>for</w:t>
      </w:r>
      <w:r w:rsidR="006C6F09">
        <w:t xml:space="preserve"> </w:t>
      </w:r>
      <w:r>
        <w:t>the</w:t>
      </w:r>
      <w:r w:rsidR="006C6F09">
        <w:t xml:space="preserve"> </w:t>
      </w:r>
      <w:r>
        <w:t>re-alignment</w:t>
      </w:r>
      <w:r w:rsidR="006C6F09">
        <w:t xml:space="preserve"> </w:t>
      </w:r>
      <w:r>
        <w:t>or</w:t>
      </w:r>
      <w:r w:rsidR="006C6F09">
        <w:t xml:space="preserve"> </w:t>
      </w:r>
      <w:r>
        <w:t>extension,</w:t>
      </w:r>
      <w:r w:rsidR="006C6F09">
        <w:t xml:space="preserve"> </w:t>
      </w:r>
      <w:r>
        <w:t>including</w:t>
      </w:r>
      <w:r w:rsidR="006C6F09">
        <w:t xml:space="preserve"> </w:t>
      </w:r>
      <w:r>
        <w:t>any</w:t>
      </w:r>
      <w:r w:rsidR="006C6F09">
        <w:t xml:space="preserve"> </w:t>
      </w:r>
      <w:r>
        <w:t>advance</w:t>
      </w:r>
      <w:r w:rsidR="006C6F09">
        <w:t xml:space="preserve"> </w:t>
      </w:r>
      <w:r>
        <w:t>acquisitions</w:t>
      </w:r>
      <w:r w:rsidR="006C6F09">
        <w:t xml:space="preserve"> </w:t>
      </w:r>
      <w:r>
        <w:t>conducted</w:t>
      </w:r>
      <w:r w:rsidR="006C6F09">
        <w:t xml:space="preserve"> </w:t>
      </w:r>
      <w:r>
        <w:t>for</w:t>
      </w:r>
      <w:r w:rsidR="006C6F09">
        <w:t xml:space="preserve"> </w:t>
      </w:r>
      <w:r>
        <w:t>the</w:t>
      </w:r>
      <w:r w:rsidR="006C6F09">
        <w:t xml:space="preserve"> </w:t>
      </w:r>
      <w:r>
        <w:t>project.</w:t>
      </w:r>
      <w:r w:rsidR="006C6F09">
        <w:t xml:space="preserve"> </w:t>
      </w:r>
      <w:r>
        <w:t>Do</w:t>
      </w:r>
      <w:r w:rsidR="006C6F09">
        <w:t xml:space="preserve"> </w:t>
      </w:r>
      <w:r>
        <w:t>not</w:t>
      </w:r>
      <w:r w:rsidR="006C6F09">
        <w:t xml:space="preserve"> </w:t>
      </w:r>
      <w:r>
        <w:t>consider</w:t>
      </w:r>
      <w:r w:rsidR="006C6F09">
        <w:t xml:space="preserve"> </w:t>
      </w:r>
      <w:r>
        <w:t>temporary</w:t>
      </w:r>
      <w:r w:rsidR="006C6F09">
        <w:t xml:space="preserve"> </w:t>
      </w:r>
      <w:r>
        <w:t>easements.</w:t>
      </w:r>
      <w:r w:rsidR="006C6F09">
        <w:t xml:space="preserve"> </w:t>
      </w:r>
      <w:r>
        <w:t>Also,</w:t>
      </w:r>
      <w:r w:rsidR="006C6F09">
        <w:t xml:space="preserve"> </w:t>
      </w:r>
      <w:r>
        <w:t>do</w:t>
      </w:r>
      <w:r w:rsidR="006C6F09">
        <w:t xml:space="preserve"> </w:t>
      </w:r>
      <w:r>
        <w:t>not</w:t>
      </w:r>
      <w:r w:rsidR="006C6F09">
        <w:t xml:space="preserve"> </w:t>
      </w:r>
      <w:r>
        <w:t>consider</w:t>
      </w:r>
      <w:r w:rsidR="006C6F09">
        <w:t xml:space="preserve"> </w:t>
      </w:r>
      <w:r>
        <w:t>fee</w:t>
      </w:r>
      <w:r w:rsidR="006C6F09">
        <w:t xml:space="preserve"> </w:t>
      </w:r>
      <w:r>
        <w:t>simple</w:t>
      </w:r>
      <w:r w:rsidR="006C6F09">
        <w:t xml:space="preserve"> </w:t>
      </w:r>
      <w:r>
        <w:t>or</w:t>
      </w:r>
      <w:r w:rsidR="006C6F09">
        <w:t xml:space="preserve"> </w:t>
      </w:r>
      <w:r>
        <w:t>permanent</w:t>
      </w:r>
      <w:r w:rsidR="006C6F09">
        <w:t xml:space="preserve"> </w:t>
      </w:r>
      <w:r>
        <w:t>easement</w:t>
      </w:r>
      <w:r w:rsidR="006C6F09">
        <w:t xml:space="preserve"> </w:t>
      </w:r>
      <w:r>
        <w:t>acquisitions</w:t>
      </w:r>
      <w:r w:rsidR="006C6F09">
        <w:t xml:space="preserve"> </w:t>
      </w:r>
      <w:r>
        <w:t>needed</w:t>
      </w:r>
      <w:r w:rsidR="006C6F09">
        <w:t xml:space="preserve"> </w:t>
      </w:r>
      <w:r>
        <w:t>not</w:t>
      </w:r>
      <w:r w:rsidR="006C6F09">
        <w:t xml:space="preserve"> </w:t>
      </w:r>
      <w:r>
        <w:t>for</w:t>
      </w:r>
      <w:r w:rsidR="006C6F09">
        <w:t xml:space="preserve"> </w:t>
      </w:r>
      <w:r>
        <w:t>the</w:t>
      </w:r>
      <w:r w:rsidR="006C6F09">
        <w:t xml:space="preserve"> </w:t>
      </w:r>
      <w:r>
        <w:t>re-alignment</w:t>
      </w:r>
      <w:r w:rsidR="006C6F09">
        <w:t xml:space="preserve"> </w:t>
      </w:r>
      <w:r>
        <w:t>or</w:t>
      </w:r>
      <w:r w:rsidR="006C6F09">
        <w:t xml:space="preserve"> </w:t>
      </w:r>
      <w:r>
        <w:t>extension,</w:t>
      </w:r>
      <w:r w:rsidR="006C6F09">
        <w:t xml:space="preserve"> </w:t>
      </w:r>
      <w:r>
        <w:t>but</w:t>
      </w:r>
      <w:r w:rsidR="006C6F09">
        <w:t xml:space="preserve"> </w:t>
      </w:r>
      <w:r>
        <w:t>for</w:t>
      </w:r>
      <w:r w:rsidR="006C6F09">
        <w:t xml:space="preserve"> </w:t>
      </w:r>
      <w:r>
        <w:t>another</w:t>
      </w:r>
      <w:r w:rsidR="006C6F09">
        <w:t xml:space="preserve"> </w:t>
      </w:r>
      <w:r>
        <w:t>aspect</w:t>
      </w:r>
      <w:r w:rsidR="006C6F09">
        <w:t xml:space="preserve"> </w:t>
      </w:r>
      <w:r>
        <w:t>of</w:t>
      </w:r>
      <w:r w:rsidR="006C6F09">
        <w:t xml:space="preserve"> </w:t>
      </w:r>
      <w:r>
        <w:t>the</w:t>
      </w:r>
      <w:r w:rsidR="006C6F09">
        <w:t xml:space="preserve"> </w:t>
      </w:r>
      <w:r>
        <w:t>project,</w:t>
      </w:r>
      <w:r w:rsidR="006C6F09">
        <w:t xml:space="preserve"> </w:t>
      </w:r>
      <w:r>
        <w:t>such</w:t>
      </w:r>
      <w:r w:rsidR="006C6F09">
        <w:t xml:space="preserve"> </w:t>
      </w:r>
      <w:r>
        <w:t>as</w:t>
      </w:r>
      <w:r w:rsidR="006C6F09">
        <w:t xml:space="preserve"> </w:t>
      </w:r>
      <w:r>
        <w:t>widening</w:t>
      </w:r>
      <w:r w:rsidR="006C6F09">
        <w:t xml:space="preserve"> </w:t>
      </w:r>
      <w:r>
        <w:t>of</w:t>
      </w:r>
      <w:r w:rsidR="006C6F09">
        <w:t xml:space="preserve"> </w:t>
      </w:r>
      <w:r>
        <w:t>the</w:t>
      </w:r>
      <w:r w:rsidR="006C6F09">
        <w:t xml:space="preserve"> </w:t>
      </w:r>
      <w:r>
        <w:t>roadway.</w:t>
      </w:r>
      <w:r w:rsidR="006C6F09">
        <w:t xml:space="preserve"> </w:t>
      </w:r>
    </w:p>
    <w:p w14:paraId="6AB6404B" w14:textId="0C2A0E7F" w:rsidR="00457754" w:rsidRDefault="00457754" w:rsidP="00457754">
      <w:r>
        <w:t>In</w:t>
      </w:r>
      <w:r w:rsidR="006C6F09">
        <w:t xml:space="preserve"> </w:t>
      </w:r>
      <w:r>
        <w:t>determining</w:t>
      </w:r>
      <w:r w:rsidR="006C6F09">
        <w:t xml:space="preserve"> </w:t>
      </w:r>
      <w:r>
        <w:t>whether</w:t>
      </w:r>
      <w:r w:rsidR="006C6F09">
        <w:t xml:space="preserve"> </w:t>
      </w:r>
      <w:r>
        <w:t>a</w:t>
      </w:r>
      <w:r w:rsidR="006C6F09">
        <w:t xml:space="preserve"> </w:t>
      </w:r>
      <w:r>
        <w:t>project</w:t>
      </w:r>
      <w:r w:rsidR="006C6F09">
        <w:t xml:space="preserve"> </w:t>
      </w:r>
      <w:r>
        <w:t>that</w:t>
      </w:r>
      <w:r w:rsidR="006C6F09">
        <w:t xml:space="preserve"> </w:t>
      </w:r>
      <w:r>
        <w:t>reconfigures</w:t>
      </w:r>
      <w:r w:rsidR="006C6F09">
        <w:t xml:space="preserve"> </w:t>
      </w:r>
      <w:r>
        <w:t>an</w:t>
      </w:r>
      <w:r w:rsidR="006C6F09">
        <w:t xml:space="preserve"> </w:t>
      </w:r>
      <w:r>
        <w:t>intersection</w:t>
      </w:r>
      <w:r w:rsidR="006C6F09">
        <w:t xml:space="preserve"> </w:t>
      </w:r>
      <w:r>
        <w:t>qualifies</w:t>
      </w:r>
      <w:r w:rsidR="006C6F09">
        <w:t xml:space="preserve"> </w:t>
      </w:r>
      <w:r>
        <w:t>as</w:t>
      </w:r>
      <w:r w:rsidR="006C6F09">
        <w:t xml:space="preserve"> </w:t>
      </w:r>
      <w:r>
        <w:t>a</w:t>
      </w:r>
      <w:r w:rsidR="006C6F09">
        <w:t xml:space="preserve"> </w:t>
      </w:r>
      <w:r>
        <w:t>“substantial</w:t>
      </w:r>
      <w:r w:rsidR="006C6F09">
        <w:t xml:space="preserve"> </w:t>
      </w:r>
      <w:r>
        <w:t>change</w:t>
      </w:r>
      <w:r w:rsidR="006C6F09">
        <w:t xml:space="preserve"> </w:t>
      </w:r>
      <w:r>
        <w:t>in</w:t>
      </w:r>
      <w:r w:rsidR="006C6F09">
        <w:t xml:space="preserve"> </w:t>
      </w:r>
      <w:r>
        <w:t>layout</w:t>
      </w:r>
      <w:r w:rsidR="006C6F09">
        <w:t xml:space="preserve"> </w:t>
      </w:r>
      <w:r>
        <w:t>or</w:t>
      </w:r>
      <w:r w:rsidR="006C6F09">
        <w:t xml:space="preserve"> </w:t>
      </w:r>
      <w:r>
        <w:t>function,”</w:t>
      </w:r>
      <w:r w:rsidR="006C6F09">
        <w:t xml:space="preserve"> </w:t>
      </w:r>
      <w:r>
        <w:t>the</w:t>
      </w:r>
      <w:r w:rsidR="006C6F09">
        <w:t xml:space="preserve"> </w:t>
      </w:r>
      <w:r>
        <w:t>project</w:t>
      </w:r>
      <w:r w:rsidR="006C6F09">
        <w:t xml:space="preserve"> </w:t>
      </w:r>
      <w:r>
        <w:t>sponsor</w:t>
      </w:r>
      <w:r w:rsidR="006C6F09">
        <w:t xml:space="preserve"> </w:t>
      </w:r>
      <w:r>
        <w:t>must</w:t>
      </w:r>
      <w:r w:rsidR="006C6F09">
        <w:t xml:space="preserve"> </w:t>
      </w:r>
      <w:r>
        <w:t>consider</w:t>
      </w:r>
      <w:r w:rsidR="006C6F09">
        <w:t xml:space="preserve"> </w:t>
      </w:r>
      <w:r>
        <w:t>the</w:t>
      </w:r>
      <w:r w:rsidR="006C6F09">
        <w:t xml:space="preserve"> </w:t>
      </w:r>
      <w:r>
        <w:t>context</w:t>
      </w:r>
      <w:r w:rsidR="006C6F09">
        <w:t xml:space="preserve"> </w:t>
      </w:r>
      <w:r>
        <w:t>and</w:t>
      </w:r>
      <w:r w:rsidR="006C6F09">
        <w:t xml:space="preserve"> </w:t>
      </w:r>
      <w:r>
        <w:t>impact</w:t>
      </w:r>
      <w:r w:rsidR="006C6F09">
        <w:t xml:space="preserve"> </w:t>
      </w:r>
      <w:r>
        <w:t>of</w:t>
      </w:r>
      <w:r w:rsidR="006C6F09">
        <w:t xml:space="preserve"> </w:t>
      </w:r>
      <w:r>
        <w:t>the</w:t>
      </w:r>
      <w:r w:rsidR="006C6F09">
        <w:t xml:space="preserve"> </w:t>
      </w:r>
      <w:r>
        <w:t>reconfiguration</w:t>
      </w:r>
      <w:r w:rsidR="006C6F09">
        <w:t xml:space="preserve"> </w:t>
      </w:r>
      <w:r>
        <w:t>on</w:t>
      </w:r>
      <w:r w:rsidR="006C6F09">
        <w:t xml:space="preserve"> </w:t>
      </w:r>
      <w:r>
        <w:t>both</w:t>
      </w:r>
      <w:r w:rsidR="006C6F09">
        <w:t xml:space="preserve"> </w:t>
      </w:r>
      <w:r>
        <w:t>the</w:t>
      </w:r>
      <w:r w:rsidR="006C6F09">
        <w:t xml:space="preserve"> </w:t>
      </w:r>
      <w:r>
        <w:t>travelling</w:t>
      </w:r>
      <w:r w:rsidR="006C6F09">
        <w:t xml:space="preserve"> </w:t>
      </w:r>
      <w:r>
        <w:t>public</w:t>
      </w:r>
      <w:r w:rsidR="006C6F09">
        <w:t xml:space="preserve"> </w:t>
      </w:r>
      <w:r>
        <w:t>and</w:t>
      </w:r>
      <w:r w:rsidR="006C6F09">
        <w:t xml:space="preserve"> </w:t>
      </w:r>
      <w:proofErr w:type="gramStart"/>
      <w:r>
        <w:t>local</w:t>
      </w:r>
      <w:r w:rsidR="006C6F09">
        <w:t xml:space="preserve"> </w:t>
      </w:r>
      <w:r>
        <w:t>residents</w:t>
      </w:r>
      <w:proofErr w:type="gramEnd"/>
      <w:r w:rsidR="006C6F09">
        <w:t xml:space="preserve"> </w:t>
      </w:r>
      <w:r>
        <w:t>and</w:t>
      </w:r>
      <w:r w:rsidR="006C6F09">
        <w:t xml:space="preserve"> </w:t>
      </w:r>
      <w:r>
        <w:t>businesses.</w:t>
      </w:r>
      <w:r w:rsidR="006C6F09">
        <w:t xml:space="preserve"> </w:t>
      </w:r>
      <w:r>
        <w:t>Relatively</w:t>
      </w:r>
      <w:r w:rsidR="006C6F09">
        <w:t xml:space="preserve"> </w:t>
      </w:r>
      <w:r>
        <w:t>minor</w:t>
      </w:r>
      <w:r w:rsidR="006C6F09">
        <w:t xml:space="preserve"> </w:t>
      </w:r>
      <w:r>
        <w:t>reconfigurations</w:t>
      </w:r>
      <w:r w:rsidR="006C6F09">
        <w:t xml:space="preserve"> </w:t>
      </w:r>
      <w:r>
        <w:t>that</w:t>
      </w:r>
      <w:r w:rsidR="006C6F09">
        <w:t xml:space="preserve"> </w:t>
      </w:r>
      <w:r>
        <w:t>do</w:t>
      </w:r>
      <w:r w:rsidR="006C6F09">
        <w:t xml:space="preserve"> </w:t>
      </w:r>
      <w:r>
        <w:t>not</w:t>
      </w:r>
      <w:r w:rsidR="006C6F09">
        <w:t xml:space="preserve"> </w:t>
      </w:r>
      <w:r>
        <w:t>substantially</w:t>
      </w:r>
      <w:r w:rsidR="006C6F09">
        <w:t xml:space="preserve"> </w:t>
      </w:r>
      <w:r>
        <w:t>affect</w:t>
      </w:r>
      <w:r w:rsidR="006C6F09">
        <w:t xml:space="preserve"> </w:t>
      </w:r>
      <w:r>
        <w:t>travel</w:t>
      </w:r>
      <w:r w:rsidR="006C6F09">
        <w:t xml:space="preserve"> </w:t>
      </w:r>
      <w:r>
        <w:t>patterns,</w:t>
      </w:r>
      <w:r w:rsidR="006C6F09">
        <w:t xml:space="preserve"> </w:t>
      </w:r>
      <w:r>
        <w:t>such</w:t>
      </w:r>
      <w:r w:rsidR="006C6F09">
        <w:t xml:space="preserve"> </w:t>
      </w:r>
      <w:r>
        <w:t>as</w:t>
      </w:r>
      <w:r w:rsidR="006C6F09">
        <w:t xml:space="preserve"> </w:t>
      </w:r>
      <w:r>
        <w:t>adding</w:t>
      </w:r>
      <w:r w:rsidR="006C6F09">
        <w:t xml:space="preserve"> </w:t>
      </w:r>
      <w:r>
        <w:t>a</w:t>
      </w:r>
      <w:r w:rsidR="006C6F09">
        <w:t xml:space="preserve"> </w:t>
      </w:r>
      <w:r>
        <w:t>turn</w:t>
      </w:r>
      <w:r w:rsidR="006C6F09">
        <w:t xml:space="preserve"> </w:t>
      </w:r>
      <w:r>
        <w:t>lane</w:t>
      </w:r>
      <w:r w:rsidR="006C6F09">
        <w:t xml:space="preserve"> </w:t>
      </w:r>
      <w:r>
        <w:t>or</w:t>
      </w:r>
      <w:r w:rsidR="006C6F09">
        <w:t xml:space="preserve"> </w:t>
      </w:r>
      <w:r>
        <w:t>a</w:t>
      </w:r>
      <w:r w:rsidR="006C6F09">
        <w:t xml:space="preserve"> </w:t>
      </w:r>
      <w:r>
        <w:t>simple</w:t>
      </w:r>
      <w:r w:rsidR="006C6F09">
        <w:t xml:space="preserve"> </w:t>
      </w:r>
      <w:r>
        <w:t>grade</w:t>
      </w:r>
      <w:r w:rsidR="006C6F09">
        <w:t xml:space="preserve"> </w:t>
      </w:r>
      <w:r>
        <w:t>separation,</w:t>
      </w:r>
      <w:r w:rsidR="006C6F09">
        <w:t xml:space="preserve"> </w:t>
      </w:r>
      <w:r>
        <w:t>may</w:t>
      </w:r>
      <w:r w:rsidR="006C6F09">
        <w:t xml:space="preserve"> </w:t>
      </w:r>
      <w:r>
        <w:t>be</w:t>
      </w:r>
      <w:r w:rsidR="006C6F09">
        <w:t xml:space="preserve"> </w:t>
      </w:r>
      <w:r>
        <w:t>determined</w:t>
      </w:r>
      <w:r w:rsidR="006C6F09">
        <w:t xml:space="preserve"> </w:t>
      </w:r>
      <w:r>
        <w:t>to</w:t>
      </w:r>
      <w:r w:rsidR="006C6F09">
        <w:t xml:space="preserve"> </w:t>
      </w:r>
      <w:r>
        <w:t>not</w:t>
      </w:r>
      <w:r w:rsidR="006C6F09">
        <w:t xml:space="preserve"> </w:t>
      </w:r>
      <w:r>
        <w:t>qualify</w:t>
      </w:r>
      <w:r w:rsidR="006C6F09">
        <w:t xml:space="preserve"> </w:t>
      </w:r>
      <w:r>
        <w:t>as</w:t>
      </w:r>
      <w:r w:rsidR="006C6F09">
        <w:t xml:space="preserve"> </w:t>
      </w:r>
      <w:r>
        <w:t>a</w:t>
      </w:r>
      <w:r w:rsidR="006C6F09">
        <w:t xml:space="preserve"> </w:t>
      </w:r>
      <w:r>
        <w:t>“substantial</w:t>
      </w:r>
      <w:r w:rsidR="006C6F09">
        <w:t xml:space="preserve"> </w:t>
      </w:r>
      <w:r>
        <w:t>change</w:t>
      </w:r>
      <w:r w:rsidR="006C6F09">
        <w:t xml:space="preserve"> </w:t>
      </w:r>
      <w:r>
        <w:t>in</w:t>
      </w:r>
      <w:r w:rsidR="006C6F09">
        <w:t xml:space="preserve"> </w:t>
      </w:r>
      <w:r>
        <w:t>layout</w:t>
      </w:r>
      <w:r w:rsidR="006C6F09">
        <w:t xml:space="preserve"> </w:t>
      </w:r>
      <w:r>
        <w:t>or</w:t>
      </w:r>
      <w:r w:rsidR="006C6F09">
        <w:t xml:space="preserve"> </w:t>
      </w:r>
      <w:r>
        <w:t>function.”</w:t>
      </w:r>
      <w:r w:rsidR="006C6F09">
        <w:t xml:space="preserve"> </w:t>
      </w:r>
      <w:r>
        <w:t>However,</w:t>
      </w:r>
      <w:r w:rsidR="006C6F09">
        <w:t xml:space="preserve"> </w:t>
      </w:r>
      <w:r>
        <w:t>more</w:t>
      </w:r>
      <w:r w:rsidR="006C6F09">
        <w:t xml:space="preserve"> </w:t>
      </w:r>
      <w:r>
        <w:t>complex</w:t>
      </w:r>
      <w:r w:rsidR="006C6F09">
        <w:t xml:space="preserve"> </w:t>
      </w:r>
      <w:r>
        <w:t>projects</w:t>
      </w:r>
      <w:r w:rsidR="006C6F09">
        <w:t xml:space="preserve"> </w:t>
      </w:r>
      <w:r>
        <w:t>that</w:t>
      </w:r>
      <w:r w:rsidR="006C6F09">
        <w:t xml:space="preserve"> </w:t>
      </w:r>
      <w:r>
        <w:t>substantially</w:t>
      </w:r>
      <w:r w:rsidR="006C6F09">
        <w:t xml:space="preserve"> </w:t>
      </w:r>
      <w:r>
        <w:t>affect</w:t>
      </w:r>
      <w:r w:rsidR="006C6F09">
        <w:t xml:space="preserve"> </w:t>
      </w:r>
      <w:r>
        <w:t>travel</w:t>
      </w:r>
      <w:r w:rsidR="006C6F09">
        <w:t xml:space="preserve"> </w:t>
      </w:r>
      <w:r>
        <w:t>patterns</w:t>
      </w:r>
      <w:r w:rsidR="006C6F09">
        <w:t xml:space="preserve"> </w:t>
      </w:r>
      <w:r>
        <w:t>are</w:t>
      </w:r>
      <w:r w:rsidR="006C6F09">
        <w:t xml:space="preserve"> </w:t>
      </w:r>
      <w:r>
        <w:t>considered</w:t>
      </w:r>
      <w:r w:rsidR="006C6F09">
        <w:t xml:space="preserve"> </w:t>
      </w:r>
      <w:r>
        <w:t>as</w:t>
      </w:r>
      <w:r w:rsidR="006C6F09">
        <w:t xml:space="preserve"> </w:t>
      </w:r>
      <w:r>
        <w:t>a</w:t>
      </w:r>
      <w:r w:rsidR="006C6F09">
        <w:t xml:space="preserve"> </w:t>
      </w:r>
      <w:r>
        <w:t>“substantial</w:t>
      </w:r>
      <w:r w:rsidR="006C6F09">
        <w:t xml:space="preserve"> </w:t>
      </w:r>
      <w:r>
        <w:t>change</w:t>
      </w:r>
      <w:r w:rsidR="006C6F09">
        <w:t xml:space="preserve"> </w:t>
      </w:r>
      <w:r>
        <w:t>in</w:t>
      </w:r>
      <w:r w:rsidR="006C6F09">
        <w:t xml:space="preserve"> </w:t>
      </w:r>
      <w:r>
        <w:t>layout</w:t>
      </w:r>
      <w:r w:rsidR="006C6F09">
        <w:t xml:space="preserve"> </w:t>
      </w:r>
      <w:r>
        <w:t>or</w:t>
      </w:r>
      <w:r w:rsidR="006C6F09">
        <w:t xml:space="preserve"> </w:t>
      </w:r>
      <w:r>
        <w:t>function.”</w:t>
      </w:r>
    </w:p>
    <w:p w14:paraId="6CCD6744" w14:textId="4EAD12F9" w:rsidR="00457754" w:rsidRDefault="00457754" w:rsidP="00457754">
      <w:r>
        <w:t>Substantial</w:t>
      </w:r>
      <w:r w:rsidR="006C6F09">
        <w:t xml:space="preserve"> </w:t>
      </w:r>
      <w:r>
        <w:t>change</w:t>
      </w:r>
      <w:r w:rsidR="006C6F09">
        <w:t xml:space="preserve"> </w:t>
      </w:r>
      <w:r>
        <w:t>in</w:t>
      </w:r>
      <w:r w:rsidR="006C6F09">
        <w:t xml:space="preserve"> </w:t>
      </w:r>
      <w:r w:rsidRPr="004B2F22">
        <w:rPr>
          <w:b/>
          <w:bCs/>
        </w:rPr>
        <w:t>function</w:t>
      </w:r>
      <w:r w:rsidR="006C6F09">
        <w:rPr>
          <w:b/>
          <w:bCs/>
        </w:rPr>
        <w:t xml:space="preserve"> </w:t>
      </w:r>
      <w:r>
        <w:t>means</w:t>
      </w:r>
      <w:r w:rsidR="006C6F09">
        <w:t xml:space="preserve"> </w:t>
      </w:r>
      <w:r>
        <w:t>the</w:t>
      </w:r>
      <w:r w:rsidR="006C6F09">
        <w:t xml:space="preserve"> </w:t>
      </w:r>
      <w:r>
        <w:t>addition</w:t>
      </w:r>
      <w:r w:rsidR="006C6F09">
        <w:t xml:space="preserve"> </w:t>
      </w:r>
      <w:r>
        <w:t>of</w:t>
      </w:r>
      <w:r w:rsidR="006C6F09">
        <w:t xml:space="preserve"> </w:t>
      </w:r>
      <w:r>
        <w:t>one</w:t>
      </w:r>
      <w:r w:rsidR="006C6F09">
        <w:t xml:space="preserve"> </w:t>
      </w:r>
      <w:r>
        <w:t>or</w:t>
      </w:r>
      <w:r w:rsidR="006C6F09">
        <w:t xml:space="preserve"> </w:t>
      </w:r>
      <w:r>
        <w:t>more</w:t>
      </w:r>
      <w:r w:rsidR="006C6F09">
        <w:t xml:space="preserve"> </w:t>
      </w:r>
      <w:r>
        <w:t>managed</w:t>
      </w:r>
      <w:r w:rsidR="006C6F09">
        <w:t xml:space="preserve"> </w:t>
      </w:r>
      <w:r>
        <w:t>lanes,</w:t>
      </w:r>
      <w:r w:rsidR="006C6F09">
        <w:t xml:space="preserve"> high occupancy </w:t>
      </w:r>
      <w:r>
        <w:t>vehicle</w:t>
      </w:r>
      <w:r w:rsidR="006C6F09">
        <w:t xml:space="preserve"> </w:t>
      </w:r>
      <w:r>
        <w:t>lanes,</w:t>
      </w:r>
      <w:r w:rsidR="006C6F09">
        <w:t xml:space="preserve"> </w:t>
      </w:r>
      <w:r>
        <w:t>bicycle</w:t>
      </w:r>
      <w:r w:rsidR="006C6F09">
        <w:t xml:space="preserve"> </w:t>
      </w:r>
      <w:r>
        <w:t>lanes,</w:t>
      </w:r>
      <w:r w:rsidR="006C6F09">
        <w:t xml:space="preserve"> </w:t>
      </w:r>
      <w:r>
        <w:t>bus</w:t>
      </w:r>
      <w:r w:rsidR="006C6F09">
        <w:t xml:space="preserve"> </w:t>
      </w:r>
      <w:r>
        <w:t>lanes,</w:t>
      </w:r>
      <w:r w:rsidR="006C6F09">
        <w:t xml:space="preserve"> </w:t>
      </w:r>
      <w:r>
        <w:t>or</w:t>
      </w:r>
      <w:r w:rsidR="006C6F09">
        <w:t xml:space="preserve"> </w:t>
      </w:r>
      <w:r>
        <w:t>transit</w:t>
      </w:r>
      <w:r w:rsidR="006C6F09">
        <w:t xml:space="preserve"> </w:t>
      </w:r>
      <w:r>
        <w:t>lanes</w:t>
      </w:r>
      <w:r w:rsidR="006C6F09">
        <w:t xml:space="preserve"> </w:t>
      </w:r>
      <w:r>
        <w:t>to</w:t>
      </w:r>
      <w:r w:rsidR="006C6F09">
        <w:t xml:space="preserve"> </w:t>
      </w:r>
      <w:r>
        <w:t>an</w:t>
      </w:r>
      <w:r w:rsidR="006C6F09">
        <w:t xml:space="preserve"> </w:t>
      </w:r>
      <w:r>
        <w:t>existing</w:t>
      </w:r>
      <w:r w:rsidR="006C6F09">
        <w:t xml:space="preserve"> </w:t>
      </w:r>
      <w:r>
        <w:t>highway,</w:t>
      </w:r>
      <w:r w:rsidR="006C6F09">
        <w:t xml:space="preserve"> </w:t>
      </w:r>
      <w:r>
        <w:t>or</w:t>
      </w:r>
      <w:r w:rsidR="006C6F09">
        <w:t xml:space="preserve"> </w:t>
      </w:r>
      <w:r>
        <w:t>the</w:t>
      </w:r>
      <w:r w:rsidR="006C6F09">
        <w:t xml:space="preserve"> </w:t>
      </w:r>
      <w:r>
        <w:t>conversion</w:t>
      </w:r>
      <w:r w:rsidR="006C6F09">
        <w:t xml:space="preserve"> </w:t>
      </w:r>
      <w:r>
        <w:t>of</w:t>
      </w:r>
      <w:r w:rsidR="006C6F09">
        <w:t xml:space="preserve"> </w:t>
      </w:r>
      <w:r>
        <w:t>an</w:t>
      </w:r>
      <w:r w:rsidR="006C6F09">
        <w:t xml:space="preserve"> </w:t>
      </w:r>
      <w:r>
        <w:t>existing</w:t>
      </w:r>
      <w:r w:rsidR="006C6F09">
        <w:t xml:space="preserve"> </w:t>
      </w:r>
      <w:r>
        <w:t>highway</w:t>
      </w:r>
      <w:r w:rsidR="006C6F09">
        <w:t xml:space="preserve"> </w:t>
      </w:r>
      <w:r>
        <w:t>from</w:t>
      </w:r>
      <w:r w:rsidR="006C6F09">
        <w:t xml:space="preserve"> </w:t>
      </w:r>
      <w:r>
        <w:t>non-controlled</w:t>
      </w:r>
      <w:r w:rsidR="006C6F09">
        <w:t xml:space="preserve"> </w:t>
      </w:r>
      <w:r>
        <w:t>access</w:t>
      </w:r>
      <w:r w:rsidR="006C6F09">
        <w:t xml:space="preserve"> </w:t>
      </w:r>
      <w:r>
        <w:t>to</w:t>
      </w:r>
      <w:r w:rsidR="006C6F09">
        <w:t xml:space="preserve"> </w:t>
      </w:r>
      <w:r>
        <w:t>controlled</w:t>
      </w:r>
      <w:r w:rsidR="006C6F09">
        <w:t xml:space="preserve"> </w:t>
      </w:r>
      <w:r>
        <w:t>access.</w:t>
      </w:r>
      <w:r w:rsidR="006C6F09">
        <w:t xml:space="preserve"> </w:t>
      </w:r>
    </w:p>
    <w:p w14:paraId="1EFF9CBB" w14:textId="53943A20" w:rsidR="00457754" w:rsidRDefault="00457754" w:rsidP="00457754">
      <w:pPr>
        <w:spacing w:after="0"/>
      </w:pPr>
      <w:r>
        <w:lastRenderedPageBreak/>
        <w:t>“Bicycle</w:t>
      </w:r>
      <w:r w:rsidR="006C6F09">
        <w:t xml:space="preserve"> </w:t>
      </w:r>
      <w:r>
        <w:t>lane”</w:t>
      </w:r>
      <w:r w:rsidR="006C6F09">
        <w:t xml:space="preserve"> </w:t>
      </w:r>
      <w:r>
        <w:t>means</w:t>
      </w:r>
      <w:r w:rsidR="006C6F09">
        <w:t xml:space="preserve"> </w:t>
      </w:r>
      <w:r>
        <w:t>a</w:t>
      </w:r>
      <w:r w:rsidR="006C6F09">
        <w:t xml:space="preserve"> </w:t>
      </w:r>
      <w:r>
        <w:t>portion</w:t>
      </w:r>
      <w:r w:rsidR="006C6F09">
        <w:t xml:space="preserve"> </w:t>
      </w:r>
      <w:r>
        <w:t>of</w:t>
      </w:r>
      <w:r w:rsidR="006C6F09">
        <w:t xml:space="preserve"> </w:t>
      </w:r>
      <w:r>
        <w:t>a</w:t>
      </w:r>
      <w:r w:rsidR="006C6F09">
        <w:t xml:space="preserve"> </w:t>
      </w:r>
      <w:r>
        <w:t>roadway</w:t>
      </w:r>
      <w:r w:rsidR="006C6F09">
        <w:t xml:space="preserve"> </w:t>
      </w:r>
      <w:r>
        <w:t>that</w:t>
      </w:r>
      <w:r w:rsidR="006C6F09">
        <w:t xml:space="preserve"> </w:t>
      </w:r>
      <w:r>
        <w:t>is</w:t>
      </w:r>
      <w:r w:rsidR="006C6F09">
        <w:t xml:space="preserve"> </w:t>
      </w:r>
      <w:r>
        <w:t>designated</w:t>
      </w:r>
      <w:r w:rsidR="006C6F09">
        <w:t xml:space="preserve"> </w:t>
      </w:r>
      <w:r>
        <w:t>by</w:t>
      </w:r>
      <w:r w:rsidR="006C6F09">
        <w:t xml:space="preserve"> </w:t>
      </w:r>
      <w:r>
        <w:t>striping,</w:t>
      </w:r>
      <w:r w:rsidR="006C6F09">
        <w:t xml:space="preserve"> </w:t>
      </w:r>
      <w:r>
        <w:t>signing,</w:t>
      </w:r>
      <w:r w:rsidR="006C6F09">
        <w:t xml:space="preserve"> </w:t>
      </w:r>
      <w:r>
        <w:t>or</w:t>
      </w:r>
      <w:r w:rsidR="006C6F09">
        <w:t xml:space="preserve"> </w:t>
      </w:r>
      <w:r>
        <w:t>pavement</w:t>
      </w:r>
      <w:r w:rsidR="006C6F09">
        <w:t xml:space="preserve"> </w:t>
      </w:r>
      <w:r>
        <w:t>markings</w:t>
      </w:r>
      <w:r w:rsidR="006C6F09">
        <w:t xml:space="preserve"> </w:t>
      </w:r>
      <w:r>
        <w:t>for</w:t>
      </w:r>
      <w:r w:rsidR="006C6F09">
        <w:t xml:space="preserve"> </w:t>
      </w:r>
      <w:r>
        <w:t>the</w:t>
      </w:r>
      <w:r w:rsidR="006C6F09">
        <w:t xml:space="preserve"> </w:t>
      </w:r>
      <w:r w:rsidRPr="004B2F22">
        <w:rPr>
          <w:b/>
          <w:bCs/>
        </w:rPr>
        <w:t>exclusive</w:t>
      </w:r>
      <w:r w:rsidR="006C6F09">
        <w:t xml:space="preserve"> </w:t>
      </w:r>
      <w:r>
        <w:t>use</w:t>
      </w:r>
      <w:r w:rsidR="006C6F09">
        <w:t xml:space="preserve"> </w:t>
      </w:r>
      <w:r>
        <w:t>of</w:t>
      </w:r>
      <w:r w:rsidR="006C6F09">
        <w:t xml:space="preserve"> </w:t>
      </w:r>
      <w:r>
        <w:t>bicyclists.</w:t>
      </w:r>
      <w:r w:rsidR="006C6F09">
        <w:t xml:space="preserve"> </w:t>
      </w:r>
      <w:r>
        <w:t>Bicycle</w:t>
      </w:r>
      <w:r w:rsidR="006C6F09">
        <w:t xml:space="preserve"> </w:t>
      </w:r>
      <w:r>
        <w:t>lanes</w:t>
      </w:r>
      <w:r w:rsidR="006C6F09">
        <w:t xml:space="preserve"> </w:t>
      </w:r>
      <w:r>
        <w:t>that</w:t>
      </w:r>
      <w:r w:rsidR="006C6F09">
        <w:t xml:space="preserve"> </w:t>
      </w:r>
      <w:r>
        <w:t>are</w:t>
      </w:r>
      <w:r w:rsidR="006C6F09">
        <w:t xml:space="preserve"> </w:t>
      </w:r>
      <w:r>
        <w:t>separated</w:t>
      </w:r>
      <w:r w:rsidR="006C6F09">
        <w:t xml:space="preserve"> </w:t>
      </w:r>
      <w:r>
        <w:t>from</w:t>
      </w:r>
      <w:r w:rsidR="006C6F09">
        <w:t xml:space="preserve"> </w:t>
      </w:r>
      <w:r>
        <w:t>travel</w:t>
      </w:r>
      <w:r w:rsidR="006C6F09">
        <w:t xml:space="preserve"> </w:t>
      </w:r>
      <w:r>
        <w:t>lanes</w:t>
      </w:r>
      <w:r w:rsidR="006C6F09">
        <w:t xml:space="preserve"> </w:t>
      </w:r>
      <w:r>
        <w:t>by</w:t>
      </w:r>
      <w:r w:rsidR="006C6F09">
        <w:t xml:space="preserve"> </w:t>
      </w:r>
      <w:r>
        <w:t>landscaping,</w:t>
      </w:r>
      <w:r w:rsidR="006C6F09">
        <w:t xml:space="preserve"> </w:t>
      </w:r>
      <w:r>
        <w:t>a</w:t>
      </w:r>
      <w:r w:rsidR="006C6F09">
        <w:t xml:space="preserve"> </w:t>
      </w:r>
      <w:r>
        <w:t>median,</w:t>
      </w:r>
      <w:r w:rsidR="006C6F09">
        <w:t xml:space="preserve"> </w:t>
      </w:r>
      <w:r>
        <w:t>or</w:t>
      </w:r>
      <w:r w:rsidR="006C6F09">
        <w:t xml:space="preserve"> </w:t>
      </w:r>
      <w:r>
        <w:t>other</w:t>
      </w:r>
      <w:r w:rsidR="006C6F09">
        <w:t xml:space="preserve"> </w:t>
      </w:r>
      <w:r>
        <w:t>buffer</w:t>
      </w:r>
      <w:r w:rsidR="006C6F09">
        <w:t xml:space="preserve"> </w:t>
      </w:r>
      <w:r>
        <w:t>are</w:t>
      </w:r>
      <w:r w:rsidR="006C6F09">
        <w:t xml:space="preserve"> </w:t>
      </w:r>
      <w:r>
        <w:t>still</w:t>
      </w:r>
      <w:r w:rsidR="006C6F09">
        <w:t xml:space="preserve"> </w:t>
      </w:r>
      <w:r>
        <w:t>considered</w:t>
      </w:r>
      <w:r w:rsidR="006C6F09">
        <w:t xml:space="preserve"> </w:t>
      </w:r>
      <w:r>
        <w:t>“bicycle</w:t>
      </w:r>
      <w:r w:rsidR="006C6F09">
        <w:t xml:space="preserve"> </w:t>
      </w:r>
      <w:r>
        <w:t>lanes”</w:t>
      </w:r>
      <w:r w:rsidR="006C6F09">
        <w:t xml:space="preserve"> </w:t>
      </w:r>
      <w:r>
        <w:t>for</w:t>
      </w:r>
      <w:r w:rsidR="006C6F09">
        <w:t xml:space="preserve"> </w:t>
      </w:r>
      <w:r>
        <w:t>purposes</w:t>
      </w:r>
      <w:r w:rsidR="006C6F09">
        <w:t xml:space="preserve"> </w:t>
      </w:r>
      <w:r>
        <w:t>of</w:t>
      </w:r>
      <w:r w:rsidR="006C6F09">
        <w:t xml:space="preserve"> </w:t>
      </w:r>
      <w:r>
        <w:t>this</w:t>
      </w:r>
      <w:r w:rsidR="006C6F09">
        <w:t xml:space="preserve"> </w:t>
      </w:r>
      <w:r>
        <w:t>requirement.</w:t>
      </w:r>
      <w:r w:rsidR="006C6F09">
        <w:t xml:space="preserve"> </w:t>
      </w:r>
      <w:r>
        <w:t>Shared-use</w:t>
      </w:r>
      <w:r w:rsidR="006C6F09">
        <w:t xml:space="preserve"> </w:t>
      </w:r>
      <w:r>
        <w:t>paths</w:t>
      </w:r>
      <w:r w:rsidR="006C6F09">
        <w:t xml:space="preserve"> </w:t>
      </w:r>
      <w:r>
        <w:t>and</w:t>
      </w:r>
      <w:r w:rsidR="006C6F09">
        <w:t xml:space="preserve"> </w:t>
      </w:r>
      <w:r>
        <w:t>wide</w:t>
      </w:r>
      <w:r w:rsidR="006C6F09">
        <w:t xml:space="preserve"> </w:t>
      </w:r>
      <w:r>
        <w:t>shoulders</w:t>
      </w:r>
      <w:r w:rsidR="006C6F09">
        <w:t xml:space="preserve"> </w:t>
      </w:r>
      <w:r>
        <w:t>are</w:t>
      </w:r>
      <w:r w:rsidR="006C6F09">
        <w:t xml:space="preserve"> </w:t>
      </w:r>
      <w:r>
        <w:t>not</w:t>
      </w:r>
      <w:r w:rsidR="006C6F09">
        <w:t xml:space="preserve"> </w:t>
      </w:r>
      <w:r>
        <w:t>considered</w:t>
      </w:r>
      <w:r w:rsidR="006C6F09">
        <w:t xml:space="preserve"> </w:t>
      </w:r>
      <w:r>
        <w:t>“bicycle</w:t>
      </w:r>
      <w:r w:rsidR="006C6F09">
        <w:t xml:space="preserve"> </w:t>
      </w:r>
      <w:r>
        <w:t>lanes”</w:t>
      </w:r>
      <w:r w:rsidR="006C6F09">
        <w:t xml:space="preserve"> </w:t>
      </w:r>
      <w:r>
        <w:t>for</w:t>
      </w:r>
      <w:r w:rsidR="006C6F09">
        <w:t xml:space="preserve"> </w:t>
      </w:r>
      <w:r>
        <w:t>purposes</w:t>
      </w:r>
      <w:r w:rsidR="006C6F09">
        <w:t xml:space="preserve"> </w:t>
      </w:r>
      <w:r>
        <w:t>of</w:t>
      </w:r>
      <w:r w:rsidR="006C6F09">
        <w:t xml:space="preserve"> </w:t>
      </w:r>
      <w:r>
        <w:t>this</w:t>
      </w:r>
      <w:r w:rsidR="006C6F09">
        <w:t xml:space="preserve"> </w:t>
      </w:r>
      <w:r>
        <w:t>requirement.</w:t>
      </w:r>
      <w:r w:rsidR="006C6F09">
        <w:t xml:space="preserve"> </w:t>
      </w:r>
      <w:r>
        <w:t>Also,</w:t>
      </w:r>
      <w:r w:rsidR="006C6F09">
        <w:t xml:space="preserve"> </w:t>
      </w:r>
      <w:r>
        <w:t>none</w:t>
      </w:r>
      <w:r w:rsidR="006C6F09">
        <w:t xml:space="preserve"> </w:t>
      </w:r>
      <w:r>
        <w:t>of</w:t>
      </w:r>
      <w:r w:rsidR="006C6F09">
        <w:t xml:space="preserve"> </w:t>
      </w:r>
      <w:r>
        <w:t>the</w:t>
      </w:r>
      <w:r w:rsidR="006C6F09">
        <w:t xml:space="preserve"> </w:t>
      </w:r>
      <w:r>
        <w:t>following</w:t>
      </w:r>
      <w:r w:rsidR="006C6F09">
        <w:t xml:space="preserve"> </w:t>
      </w:r>
      <w:r>
        <w:t>situations</w:t>
      </w:r>
      <w:r w:rsidR="006C6F09">
        <w:t xml:space="preserve"> </w:t>
      </w:r>
      <w:r>
        <w:t>regarding</w:t>
      </w:r>
      <w:r w:rsidR="006C6F09">
        <w:t xml:space="preserve"> </w:t>
      </w:r>
      <w:r>
        <w:t>bicycle</w:t>
      </w:r>
      <w:r w:rsidR="006C6F09">
        <w:t xml:space="preserve"> </w:t>
      </w:r>
      <w:r>
        <w:t>lanes</w:t>
      </w:r>
      <w:r w:rsidR="006C6F09">
        <w:t xml:space="preserve"> </w:t>
      </w:r>
      <w:r>
        <w:t>are</w:t>
      </w:r>
      <w:r w:rsidR="006C6F09">
        <w:t xml:space="preserve"> </w:t>
      </w:r>
      <w:r>
        <w:t>treated</w:t>
      </w:r>
      <w:r w:rsidR="006C6F09">
        <w:t xml:space="preserve"> </w:t>
      </w:r>
      <w:r>
        <w:t>as</w:t>
      </w:r>
      <w:r w:rsidR="006C6F09">
        <w:t xml:space="preserve"> </w:t>
      </w:r>
      <w:r>
        <w:t>“substantially</w:t>
      </w:r>
      <w:r w:rsidR="006C6F09">
        <w:t xml:space="preserve"> </w:t>
      </w:r>
      <w:r>
        <w:t>changing</w:t>
      </w:r>
      <w:r w:rsidR="006C6F09">
        <w:t xml:space="preserve"> </w:t>
      </w:r>
      <w:r>
        <w:t>the</w:t>
      </w:r>
      <w:r w:rsidR="006C6F09">
        <w:t xml:space="preserve"> </w:t>
      </w:r>
      <w:r>
        <w:t>layout</w:t>
      </w:r>
      <w:r w:rsidR="006C6F09">
        <w:t xml:space="preserve"> </w:t>
      </w:r>
      <w:r>
        <w:t>or</w:t>
      </w:r>
      <w:r w:rsidR="006C6F09">
        <w:t xml:space="preserve"> </w:t>
      </w:r>
      <w:r>
        <w:t>function</w:t>
      </w:r>
      <w:r w:rsidR="006C6F09">
        <w:t xml:space="preserve"> </w:t>
      </w:r>
      <w:r>
        <w:t>of</w:t>
      </w:r>
      <w:r w:rsidR="006C6F09">
        <w:t xml:space="preserve"> </w:t>
      </w:r>
      <w:r>
        <w:t>a</w:t>
      </w:r>
      <w:r w:rsidR="006C6F09">
        <w:t xml:space="preserve"> </w:t>
      </w:r>
      <w:r>
        <w:t>connecting</w:t>
      </w:r>
      <w:r w:rsidR="006C6F09">
        <w:t xml:space="preserve"> </w:t>
      </w:r>
      <w:r>
        <w:t>roadway</w:t>
      </w:r>
      <w:r w:rsidR="006C6F09">
        <w:t xml:space="preserve"> </w:t>
      </w:r>
      <w:r>
        <w:t>or</w:t>
      </w:r>
      <w:r w:rsidR="006C6F09">
        <w:t xml:space="preserve"> </w:t>
      </w:r>
      <w:r>
        <w:t>an</w:t>
      </w:r>
      <w:r w:rsidR="006C6F09">
        <w:t xml:space="preserve"> </w:t>
      </w:r>
      <w:r>
        <w:t>existing</w:t>
      </w:r>
      <w:r w:rsidR="006C6F09">
        <w:t xml:space="preserve"> </w:t>
      </w:r>
      <w:r>
        <w:t>facility</w:t>
      </w:r>
      <w:r w:rsidR="006C6F09">
        <w:t xml:space="preserve"> </w:t>
      </w:r>
      <w:r>
        <w:t>or</w:t>
      </w:r>
      <w:r w:rsidR="006C6F09">
        <w:t xml:space="preserve"> </w:t>
      </w:r>
      <w:r>
        <w:t>facilities:”</w:t>
      </w:r>
    </w:p>
    <w:p w14:paraId="4F2C83AE" w14:textId="07AA3C86" w:rsidR="00457754" w:rsidRPr="002255B4" w:rsidRDefault="00457754" w:rsidP="00457754">
      <w:pPr>
        <w:pStyle w:val="ListBullet"/>
      </w:pPr>
      <w:r w:rsidRPr="002255B4">
        <w:t>striping</w:t>
      </w:r>
      <w:r w:rsidR="006C6F09">
        <w:t xml:space="preserve"> </w:t>
      </w:r>
      <w:r w:rsidRPr="002255B4">
        <w:t>bicycle</w:t>
      </w:r>
      <w:r w:rsidR="006C6F09">
        <w:t xml:space="preserve"> </w:t>
      </w:r>
      <w:r w:rsidRPr="002255B4">
        <w:t>lanes</w:t>
      </w:r>
      <w:r w:rsidR="006C6F09">
        <w:t xml:space="preserve"> </w:t>
      </w:r>
      <w:r w:rsidRPr="002255B4">
        <w:t>when</w:t>
      </w:r>
      <w:r w:rsidR="006C6F09">
        <w:t xml:space="preserve"> </w:t>
      </w:r>
      <w:r w:rsidRPr="002255B4">
        <w:t>the</w:t>
      </w:r>
      <w:r w:rsidR="006C6F09">
        <w:t xml:space="preserve"> </w:t>
      </w:r>
      <w:r w:rsidRPr="002255B4">
        <w:t>pre-existing</w:t>
      </w:r>
      <w:r w:rsidR="006C6F09">
        <w:t xml:space="preserve"> </w:t>
      </w:r>
      <w:r w:rsidRPr="002255B4">
        <w:t>roadway</w:t>
      </w:r>
      <w:r w:rsidR="006C6F09">
        <w:t xml:space="preserve"> </w:t>
      </w:r>
      <w:r w:rsidRPr="002255B4">
        <w:t>already</w:t>
      </w:r>
      <w:r w:rsidR="006C6F09">
        <w:t xml:space="preserve"> </w:t>
      </w:r>
      <w:r w:rsidRPr="002255B4">
        <w:t>accommodated</w:t>
      </w:r>
      <w:r w:rsidR="006C6F09">
        <w:t xml:space="preserve"> </w:t>
      </w:r>
      <w:r w:rsidRPr="002255B4">
        <w:t>bicycles</w:t>
      </w:r>
      <w:r w:rsidR="006C6F09">
        <w:t xml:space="preserve"> </w:t>
      </w:r>
      <w:r w:rsidRPr="002255B4">
        <w:t>(does</w:t>
      </w:r>
      <w:r w:rsidR="006C6F09">
        <w:t xml:space="preserve"> </w:t>
      </w:r>
      <w:r w:rsidRPr="002255B4">
        <w:t>not</w:t>
      </w:r>
      <w:r w:rsidR="006C6F09">
        <w:t xml:space="preserve"> </w:t>
      </w:r>
      <w:r w:rsidRPr="002255B4">
        <w:t>include</w:t>
      </w:r>
      <w:r w:rsidR="006C6F09">
        <w:t xml:space="preserve"> </w:t>
      </w:r>
      <w:r w:rsidRPr="002255B4">
        <w:t>widening</w:t>
      </w:r>
      <w:r w:rsidR="006C6F09">
        <w:t xml:space="preserve"> </w:t>
      </w:r>
      <w:r w:rsidRPr="002255B4">
        <w:t>projects</w:t>
      </w:r>
      <w:proofErr w:type="gramStart"/>
      <w:r w:rsidRPr="002255B4">
        <w:t>);</w:t>
      </w:r>
      <w:proofErr w:type="gramEnd"/>
    </w:p>
    <w:p w14:paraId="79C48A91" w14:textId="4D9BC8F9" w:rsidR="00457754" w:rsidRPr="002255B4" w:rsidRDefault="00457754" w:rsidP="00457754">
      <w:pPr>
        <w:pStyle w:val="ListBullet"/>
      </w:pPr>
      <w:r w:rsidRPr="002255B4">
        <w:t>striping</w:t>
      </w:r>
      <w:r w:rsidR="006C6F09">
        <w:t xml:space="preserve"> </w:t>
      </w:r>
      <w:r w:rsidRPr="002255B4">
        <w:t>one</w:t>
      </w:r>
      <w:r w:rsidR="006C6F09">
        <w:t xml:space="preserve"> </w:t>
      </w:r>
      <w:r w:rsidRPr="002255B4">
        <w:t>or</w:t>
      </w:r>
      <w:r w:rsidR="006C6F09">
        <w:t xml:space="preserve"> </w:t>
      </w:r>
      <w:r w:rsidRPr="002255B4">
        <w:t>more</w:t>
      </w:r>
      <w:r w:rsidR="006C6F09">
        <w:t xml:space="preserve"> </w:t>
      </w:r>
      <w:r w:rsidRPr="002255B4">
        <w:t>non-continuous</w:t>
      </w:r>
      <w:r w:rsidR="006C6F09">
        <w:t xml:space="preserve"> </w:t>
      </w:r>
      <w:r w:rsidRPr="002255B4">
        <w:t>bicycle</w:t>
      </w:r>
      <w:r w:rsidR="006C6F09">
        <w:t xml:space="preserve"> </w:t>
      </w:r>
      <w:r w:rsidRPr="002255B4">
        <w:t>lanes</w:t>
      </w:r>
      <w:r w:rsidR="006C6F09">
        <w:t xml:space="preserve"> </w:t>
      </w:r>
      <w:r w:rsidRPr="002255B4">
        <w:t>approaching</w:t>
      </w:r>
      <w:r w:rsidR="006C6F09">
        <w:t xml:space="preserve"> </w:t>
      </w:r>
      <w:r w:rsidRPr="002255B4">
        <w:t>or</w:t>
      </w:r>
      <w:r w:rsidR="006C6F09">
        <w:t xml:space="preserve"> </w:t>
      </w:r>
      <w:r w:rsidRPr="002255B4">
        <w:t>through</w:t>
      </w:r>
      <w:r w:rsidR="006C6F09">
        <w:t xml:space="preserve"> </w:t>
      </w:r>
      <w:r w:rsidRPr="002255B4">
        <w:t>intersections,</w:t>
      </w:r>
      <w:r w:rsidR="006C6F09">
        <w:t xml:space="preserve"> </w:t>
      </w:r>
      <w:r w:rsidRPr="002255B4">
        <w:t>driveways,</w:t>
      </w:r>
      <w:r w:rsidR="006C6F09">
        <w:t xml:space="preserve"> </w:t>
      </w:r>
      <w:r w:rsidRPr="002255B4">
        <w:t>or</w:t>
      </w:r>
      <w:r w:rsidR="006C6F09">
        <w:t xml:space="preserve"> </w:t>
      </w:r>
      <w:r w:rsidRPr="002255B4">
        <w:t>other</w:t>
      </w:r>
      <w:r w:rsidR="006C6F09">
        <w:t xml:space="preserve"> </w:t>
      </w:r>
      <w:r w:rsidRPr="002255B4">
        <w:t>conflict</w:t>
      </w:r>
      <w:r w:rsidR="006C6F09">
        <w:t xml:space="preserve"> </w:t>
      </w:r>
      <w:r w:rsidRPr="002255B4">
        <w:t>areas;</w:t>
      </w:r>
      <w:r w:rsidR="006C6F09">
        <w:t xml:space="preserve"> </w:t>
      </w:r>
      <w:r w:rsidRPr="002255B4">
        <w:t>or</w:t>
      </w:r>
    </w:p>
    <w:p w14:paraId="0404CD26" w14:textId="36CC0C0A" w:rsidR="00457754" w:rsidRPr="002255B4" w:rsidRDefault="00457754" w:rsidP="00457754">
      <w:pPr>
        <w:pStyle w:val="ListBullet"/>
      </w:pPr>
      <w:r w:rsidRPr="002255B4">
        <w:t>striping</w:t>
      </w:r>
      <w:r w:rsidR="006C6F09">
        <w:t xml:space="preserve"> </w:t>
      </w:r>
      <w:r w:rsidRPr="002255B4">
        <w:t>bicycle</w:t>
      </w:r>
      <w:r w:rsidR="006C6F09">
        <w:t xml:space="preserve"> </w:t>
      </w:r>
      <w:r w:rsidRPr="002255B4">
        <w:t>lanes</w:t>
      </w:r>
      <w:r w:rsidR="006C6F09">
        <w:t xml:space="preserve"> </w:t>
      </w:r>
      <w:r w:rsidRPr="002255B4">
        <w:t>not</w:t>
      </w:r>
      <w:r w:rsidR="006C6F09">
        <w:t xml:space="preserve"> </w:t>
      </w:r>
      <w:proofErr w:type="gramStart"/>
      <w:r w:rsidRPr="002255B4">
        <w:t>along</w:t>
      </w:r>
      <w:proofErr w:type="gramEnd"/>
      <w:r w:rsidRPr="002255B4">
        <w:t>,</w:t>
      </w:r>
      <w:r w:rsidR="006C6F09">
        <w:t xml:space="preserve"> </w:t>
      </w:r>
      <w:r w:rsidRPr="002255B4">
        <w:t>but</w:t>
      </w:r>
      <w:r w:rsidR="006C6F09">
        <w:t xml:space="preserve"> </w:t>
      </w:r>
      <w:r w:rsidRPr="002255B4">
        <w:t>across</w:t>
      </w:r>
      <w:r w:rsidR="006C6F09">
        <w:t xml:space="preserve"> </w:t>
      </w:r>
      <w:r w:rsidRPr="002255B4">
        <w:t>a</w:t>
      </w:r>
      <w:r w:rsidR="006C6F09">
        <w:t xml:space="preserve"> </w:t>
      </w:r>
      <w:r w:rsidRPr="002255B4">
        <w:t>roadway</w:t>
      </w:r>
      <w:r w:rsidR="006C6F09">
        <w:t xml:space="preserve"> </w:t>
      </w:r>
      <w:r w:rsidRPr="002255B4">
        <w:t>at</w:t>
      </w:r>
      <w:r w:rsidR="006C6F09">
        <w:t xml:space="preserve"> </w:t>
      </w:r>
      <w:r w:rsidRPr="002255B4">
        <w:t>an</w:t>
      </w:r>
      <w:r w:rsidR="006C6F09">
        <w:t xml:space="preserve"> </w:t>
      </w:r>
      <w:r w:rsidRPr="002255B4">
        <w:t>intersection</w:t>
      </w:r>
      <w:r w:rsidR="006C6F09">
        <w:t xml:space="preserve"> </w:t>
      </w:r>
      <w:r w:rsidRPr="002255B4">
        <w:t>to</w:t>
      </w:r>
      <w:r w:rsidR="006C6F09">
        <w:t xml:space="preserve"> </w:t>
      </w:r>
      <w:r w:rsidRPr="002255B4">
        <w:t>allow</w:t>
      </w:r>
      <w:r w:rsidR="006C6F09">
        <w:t xml:space="preserve"> </w:t>
      </w:r>
      <w:r w:rsidRPr="002255B4">
        <w:t>the</w:t>
      </w:r>
      <w:r w:rsidR="006C6F09">
        <w:t xml:space="preserve"> </w:t>
      </w:r>
      <w:r w:rsidRPr="002255B4">
        <w:t>continuation</w:t>
      </w:r>
      <w:r w:rsidR="006C6F09">
        <w:t xml:space="preserve"> </w:t>
      </w:r>
      <w:r w:rsidRPr="002255B4">
        <w:t>of</w:t>
      </w:r>
      <w:r w:rsidR="006C6F09">
        <w:t xml:space="preserve"> </w:t>
      </w:r>
      <w:r w:rsidRPr="002255B4">
        <w:t>planned</w:t>
      </w:r>
      <w:r w:rsidR="006C6F09">
        <w:t xml:space="preserve"> </w:t>
      </w:r>
      <w:r w:rsidRPr="002255B4">
        <w:t>or</w:t>
      </w:r>
      <w:r w:rsidR="006C6F09">
        <w:t xml:space="preserve"> </w:t>
      </w:r>
      <w:r w:rsidRPr="002255B4">
        <w:t>existing</w:t>
      </w:r>
      <w:r w:rsidR="006C6F09">
        <w:t xml:space="preserve"> </w:t>
      </w:r>
      <w:r w:rsidRPr="002255B4">
        <w:t>bicycle</w:t>
      </w:r>
      <w:r w:rsidR="006C6F09">
        <w:t xml:space="preserve"> </w:t>
      </w:r>
      <w:r w:rsidRPr="002255B4">
        <w:t>lanes</w:t>
      </w:r>
      <w:r w:rsidR="006C6F09">
        <w:t xml:space="preserve"> </w:t>
      </w:r>
      <w:r w:rsidRPr="002255B4">
        <w:t>on</w:t>
      </w:r>
      <w:r w:rsidR="006C6F09">
        <w:t xml:space="preserve"> </w:t>
      </w:r>
      <w:r w:rsidRPr="002255B4">
        <w:t>crossing</w:t>
      </w:r>
      <w:r w:rsidR="006C6F09">
        <w:t xml:space="preserve"> </w:t>
      </w:r>
      <w:r w:rsidRPr="002255B4">
        <w:t>local</w:t>
      </w:r>
      <w:r w:rsidR="006C6F09">
        <w:t xml:space="preserve"> </w:t>
      </w:r>
      <w:r w:rsidRPr="002255B4">
        <w:t>streets</w:t>
      </w:r>
      <w:r w:rsidR="006C6F09">
        <w:t xml:space="preserve"> </w:t>
      </w:r>
      <w:r w:rsidRPr="002255B4">
        <w:t>or</w:t>
      </w:r>
      <w:r w:rsidR="006C6F09">
        <w:t xml:space="preserve"> </w:t>
      </w:r>
      <w:r w:rsidRPr="002255B4">
        <w:t>other</w:t>
      </w:r>
      <w:r w:rsidR="006C6F09">
        <w:t xml:space="preserve"> </w:t>
      </w:r>
      <w:r w:rsidRPr="002255B4">
        <w:t>bicycle</w:t>
      </w:r>
      <w:r w:rsidR="006C6F09">
        <w:t xml:space="preserve"> </w:t>
      </w:r>
      <w:r w:rsidRPr="002255B4">
        <w:t>facilities.</w:t>
      </w:r>
    </w:p>
    <w:p w14:paraId="473ED0A5" w14:textId="72DA6476" w:rsidR="00457754" w:rsidRDefault="00457754" w:rsidP="00457754">
      <w:r>
        <w:t>Finally,</w:t>
      </w:r>
      <w:r w:rsidR="006C6F09">
        <w:t xml:space="preserve"> </w:t>
      </w:r>
      <w:r>
        <w:t>no</w:t>
      </w:r>
      <w:r w:rsidR="006C6F09">
        <w:t xml:space="preserve"> </w:t>
      </w:r>
      <w:r>
        <w:t>additional</w:t>
      </w:r>
      <w:r w:rsidR="006C6F09">
        <w:t xml:space="preserve"> </w:t>
      </w:r>
      <w:r>
        <w:t>hearing</w:t>
      </w:r>
      <w:r w:rsidR="006C6F09">
        <w:t xml:space="preserve"> </w:t>
      </w:r>
      <w:r>
        <w:t>under</w:t>
      </w:r>
      <w:r w:rsidR="006C6F09">
        <w:t xml:space="preserve"> </w:t>
      </w:r>
      <w:r>
        <w:t>TxDOT’s</w:t>
      </w:r>
      <w:r w:rsidR="006C6F09">
        <w:t xml:space="preserve"> </w:t>
      </w:r>
      <w:r>
        <w:t>Chapter</w:t>
      </w:r>
      <w:r w:rsidR="006C6F09">
        <w:t xml:space="preserve"> </w:t>
      </w:r>
      <w:r>
        <w:t>2</w:t>
      </w:r>
      <w:r w:rsidR="006C6F09">
        <w:t xml:space="preserve"> </w:t>
      </w:r>
      <w:r>
        <w:t>environmental</w:t>
      </w:r>
      <w:r w:rsidR="006C6F09">
        <w:t xml:space="preserve"> </w:t>
      </w:r>
      <w:r>
        <w:t>review</w:t>
      </w:r>
      <w:r w:rsidR="006C6F09">
        <w:t xml:space="preserve"> </w:t>
      </w:r>
      <w:r>
        <w:t>rules</w:t>
      </w:r>
      <w:r w:rsidR="006C6F09">
        <w:t xml:space="preserve"> </w:t>
      </w:r>
      <w:r>
        <w:t>is</w:t>
      </w:r>
      <w:r w:rsidR="006C6F09">
        <w:t xml:space="preserve"> </w:t>
      </w:r>
      <w:r>
        <w:t>triggered</w:t>
      </w:r>
      <w:r w:rsidR="006C6F09">
        <w:t xml:space="preserve"> </w:t>
      </w:r>
      <w:r>
        <w:t>by</w:t>
      </w:r>
      <w:r w:rsidR="006C6F09">
        <w:t xml:space="preserve"> </w:t>
      </w:r>
      <w:r>
        <w:t>the</w:t>
      </w:r>
      <w:r w:rsidR="006C6F09">
        <w:t xml:space="preserve"> </w:t>
      </w:r>
      <w:r>
        <w:t>addition</w:t>
      </w:r>
      <w:r w:rsidR="006C6F09">
        <w:t xml:space="preserve"> </w:t>
      </w:r>
      <w:r>
        <w:t>of</w:t>
      </w:r>
      <w:r w:rsidR="006C6F09">
        <w:t xml:space="preserve"> </w:t>
      </w:r>
      <w:r>
        <w:t>bicycle</w:t>
      </w:r>
      <w:r w:rsidR="006C6F09">
        <w:t xml:space="preserve"> </w:t>
      </w:r>
      <w:r>
        <w:t>lanes</w:t>
      </w:r>
      <w:r w:rsidR="006C6F09">
        <w:t xml:space="preserve"> </w:t>
      </w:r>
      <w:r>
        <w:t>if</w:t>
      </w:r>
      <w:r w:rsidR="006C6F09">
        <w:t xml:space="preserve"> </w:t>
      </w:r>
      <w:r>
        <w:t>the</w:t>
      </w:r>
      <w:r w:rsidR="006C6F09">
        <w:t xml:space="preserve"> </w:t>
      </w:r>
      <w:r>
        <w:t>project</w:t>
      </w:r>
      <w:r w:rsidR="006C6F09">
        <w:t xml:space="preserve"> </w:t>
      </w:r>
      <w:r>
        <w:t>was</w:t>
      </w:r>
      <w:r w:rsidR="006C6F09">
        <w:t xml:space="preserve"> </w:t>
      </w:r>
      <w:r>
        <w:t>addressed</w:t>
      </w:r>
      <w:r w:rsidR="006C6F09">
        <w:t xml:space="preserve"> </w:t>
      </w:r>
      <w:r>
        <w:t>in</w:t>
      </w:r>
      <w:r w:rsidR="006C6F09">
        <w:t xml:space="preserve"> </w:t>
      </w:r>
      <w:r>
        <w:t>a</w:t>
      </w:r>
      <w:r w:rsidR="006C6F09">
        <w:t xml:space="preserve"> </w:t>
      </w:r>
      <w:r>
        <w:t>local</w:t>
      </w:r>
      <w:r w:rsidR="006C6F09">
        <w:t xml:space="preserve"> </w:t>
      </w:r>
      <w:r>
        <w:t>hearing</w:t>
      </w:r>
      <w:r w:rsidR="006C6F09">
        <w:t xml:space="preserve"> </w:t>
      </w:r>
      <w:r>
        <w:t>held</w:t>
      </w:r>
      <w:r w:rsidR="006C6F09">
        <w:t xml:space="preserve"> </w:t>
      </w:r>
      <w:r>
        <w:t>under</w:t>
      </w:r>
      <w:r w:rsidR="006C6F09">
        <w:t xml:space="preserve"> </w:t>
      </w:r>
      <w:r w:rsidRPr="00B11E2F">
        <w:t>43</w:t>
      </w:r>
      <w:r w:rsidR="006C6F09">
        <w:t xml:space="preserve"> </w:t>
      </w:r>
      <w:r w:rsidRPr="00B11E2F">
        <w:t>TAC</w:t>
      </w:r>
      <w:r w:rsidR="006C6F09">
        <w:t xml:space="preserve"> </w:t>
      </w:r>
      <w:r w:rsidRPr="00B11E2F">
        <w:t>25.55</w:t>
      </w:r>
      <w:r>
        <w:t>,</w:t>
      </w:r>
      <w:r w:rsidR="006C6F09">
        <w:t xml:space="preserve"> </w:t>
      </w:r>
      <w:r>
        <w:t>“Comment</w:t>
      </w:r>
      <w:r w:rsidR="006C6F09">
        <w:t xml:space="preserve"> </w:t>
      </w:r>
      <w:r>
        <w:t>Solicitation</w:t>
      </w:r>
      <w:r w:rsidR="006C6F09">
        <w:t xml:space="preserve"> </w:t>
      </w:r>
      <w:r>
        <w:t>on</w:t>
      </w:r>
      <w:r w:rsidR="006C6F09">
        <w:t xml:space="preserve"> </w:t>
      </w:r>
      <w:r>
        <w:t>Bicycle</w:t>
      </w:r>
      <w:r w:rsidR="006C6F09">
        <w:t xml:space="preserve"> </w:t>
      </w:r>
      <w:r>
        <w:t>Road</w:t>
      </w:r>
      <w:r w:rsidR="006C6F09">
        <w:t xml:space="preserve"> </w:t>
      </w:r>
      <w:r>
        <w:t>Use.”</w:t>
      </w:r>
      <w:r w:rsidR="006C6F09">
        <w:t xml:space="preserve"> </w:t>
      </w:r>
      <w:r>
        <w:t>For</w:t>
      </w:r>
      <w:r w:rsidR="006C6F09">
        <w:t xml:space="preserve"> </w:t>
      </w:r>
      <w:r>
        <w:t>any</w:t>
      </w:r>
      <w:r w:rsidR="006C6F09">
        <w:t xml:space="preserve"> </w:t>
      </w:r>
      <w:r>
        <w:t>such</w:t>
      </w:r>
      <w:r w:rsidR="006C6F09">
        <w:t xml:space="preserve"> </w:t>
      </w:r>
      <w:r>
        <w:t>project,</w:t>
      </w:r>
      <w:r w:rsidR="006C6F09">
        <w:t xml:space="preserve"> </w:t>
      </w:r>
      <w:r>
        <w:t>simply</w:t>
      </w:r>
      <w:r w:rsidR="006C6F09">
        <w:t xml:space="preserve"> </w:t>
      </w:r>
      <w:r>
        <w:t>add</w:t>
      </w:r>
      <w:r w:rsidR="006C6F09">
        <w:t xml:space="preserve"> </w:t>
      </w:r>
      <w:r>
        <w:t>a</w:t>
      </w:r>
      <w:r w:rsidR="006C6F09">
        <w:t xml:space="preserve"> </w:t>
      </w:r>
      <w:r>
        <w:t>statement</w:t>
      </w:r>
      <w:r w:rsidR="006C6F09">
        <w:t xml:space="preserve"> </w:t>
      </w:r>
      <w:r>
        <w:t>in</w:t>
      </w:r>
      <w:r w:rsidR="006C6F09">
        <w:t xml:space="preserve"> </w:t>
      </w:r>
      <w:r>
        <w:t>the</w:t>
      </w:r>
      <w:r w:rsidR="006C6F09">
        <w:t xml:space="preserve"> </w:t>
      </w:r>
      <w:r>
        <w:t>“Comments”</w:t>
      </w:r>
      <w:r w:rsidR="006C6F09">
        <w:t xml:space="preserve"> </w:t>
      </w:r>
      <w:r>
        <w:t>field</w:t>
      </w:r>
      <w:r w:rsidR="006C6F09">
        <w:t xml:space="preserve"> </w:t>
      </w:r>
      <w:r>
        <w:t>of</w:t>
      </w:r>
      <w:r w:rsidR="006C6F09">
        <w:t xml:space="preserve"> </w:t>
      </w:r>
      <w:r>
        <w:t>the</w:t>
      </w:r>
      <w:r w:rsidR="006C6F09">
        <w:t xml:space="preserve"> </w:t>
      </w:r>
      <w:r>
        <w:t>“Perform</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r>
        <w:t>(OPH)</w:t>
      </w:r>
      <w:r w:rsidR="006C6F09">
        <w:t xml:space="preserve"> </w:t>
      </w:r>
      <w:r>
        <w:t>or</w:t>
      </w:r>
      <w:r w:rsidR="006C6F09">
        <w:t xml:space="preserve"> </w:t>
      </w:r>
      <w:r>
        <w:t>Public</w:t>
      </w:r>
      <w:r w:rsidR="006C6F09">
        <w:t xml:space="preserve"> </w:t>
      </w:r>
      <w:r>
        <w:t>Hearing</w:t>
      </w:r>
      <w:r w:rsidR="006C6F09">
        <w:t xml:space="preserve"> </w:t>
      </w:r>
      <w:r>
        <w:t>(PH)”</w:t>
      </w:r>
      <w:r w:rsidR="006C6F09">
        <w:t xml:space="preserve"> </w:t>
      </w:r>
      <w:r>
        <w:t>Activity</w:t>
      </w:r>
      <w:r w:rsidR="006C6F09">
        <w:t xml:space="preserve"> </w:t>
      </w:r>
      <w:r>
        <w:t>in</w:t>
      </w:r>
      <w:r w:rsidR="006C6F09">
        <w:t xml:space="preserve"> </w:t>
      </w:r>
      <w:r>
        <w:t>ECOS</w:t>
      </w:r>
      <w:r w:rsidR="006C6F09">
        <w:t xml:space="preserve"> </w:t>
      </w:r>
      <w:r>
        <w:t>indicating</w:t>
      </w:r>
      <w:r w:rsidR="006C6F09">
        <w:t xml:space="preserve"> </w:t>
      </w:r>
      <w:r>
        <w:t>that</w:t>
      </w:r>
      <w:r w:rsidR="006C6F09">
        <w:t xml:space="preserve"> </w:t>
      </w:r>
      <w:r>
        <w:t>the</w:t>
      </w:r>
      <w:r w:rsidR="006C6F09">
        <w:t xml:space="preserve"> </w:t>
      </w:r>
      <w:r>
        <w:t>project</w:t>
      </w:r>
      <w:r w:rsidR="006C6F09">
        <w:t xml:space="preserve"> </w:t>
      </w:r>
      <w:r>
        <w:t>was</w:t>
      </w:r>
      <w:r w:rsidR="006C6F09">
        <w:t xml:space="preserve"> </w:t>
      </w:r>
      <w:r>
        <w:t>addressed</w:t>
      </w:r>
      <w:r w:rsidR="006C6F09">
        <w:t xml:space="preserve"> </w:t>
      </w:r>
      <w:r>
        <w:t>in</w:t>
      </w:r>
      <w:r w:rsidR="006C6F09">
        <w:t xml:space="preserve"> </w:t>
      </w:r>
      <w:r>
        <w:t>a</w:t>
      </w:r>
      <w:r w:rsidR="006C6F09">
        <w:t xml:space="preserve"> </w:t>
      </w:r>
      <w:r>
        <w:t>local</w:t>
      </w:r>
      <w:r w:rsidR="006C6F09">
        <w:t xml:space="preserve"> </w:t>
      </w:r>
      <w:r>
        <w:t>hearing</w:t>
      </w:r>
      <w:r w:rsidR="006C6F09">
        <w:t xml:space="preserve"> </w:t>
      </w:r>
      <w:r>
        <w:t>held</w:t>
      </w:r>
      <w:r w:rsidR="006C6F09">
        <w:t xml:space="preserve"> </w:t>
      </w:r>
      <w:r>
        <w:t>under</w:t>
      </w:r>
      <w:r w:rsidR="006C6F09">
        <w:t xml:space="preserve"> </w:t>
      </w:r>
      <w:hyperlink r:id="rId54" w:history="1">
        <w:r w:rsidRPr="00332D95">
          <w:rPr>
            <w:rStyle w:val="Hyperlink"/>
          </w:rPr>
          <w:t>43</w:t>
        </w:r>
        <w:r w:rsidR="006C6F09">
          <w:rPr>
            <w:rStyle w:val="Hyperlink"/>
          </w:rPr>
          <w:t xml:space="preserve"> </w:t>
        </w:r>
        <w:r w:rsidRPr="00332D95">
          <w:rPr>
            <w:rStyle w:val="Hyperlink"/>
          </w:rPr>
          <w:t>TAC</w:t>
        </w:r>
        <w:r w:rsidR="006C6F09">
          <w:rPr>
            <w:rStyle w:val="Hyperlink"/>
          </w:rPr>
          <w:t xml:space="preserve"> </w:t>
        </w:r>
        <w:r w:rsidRPr="00332D95">
          <w:rPr>
            <w:rStyle w:val="Hyperlink"/>
          </w:rPr>
          <w:t>25.55</w:t>
        </w:r>
      </w:hyperlink>
      <w:r w:rsidRPr="00332D95">
        <w:t>,</w:t>
      </w:r>
      <w:r w:rsidR="006C6F09">
        <w:t xml:space="preserve"> </w:t>
      </w:r>
      <w:r>
        <w:t>and</w:t>
      </w:r>
      <w:r w:rsidR="006C6F09">
        <w:t xml:space="preserve"> </w:t>
      </w:r>
      <w:r>
        <w:t>the</w:t>
      </w:r>
      <w:r w:rsidR="006C6F09">
        <w:t xml:space="preserve"> </w:t>
      </w:r>
      <w:r>
        <w:t>date</w:t>
      </w:r>
      <w:r w:rsidR="006C6F09">
        <w:t xml:space="preserve"> </w:t>
      </w:r>
      <w:r>
        <w:t>of</w:t>
      </w:r>
      <w:r w:rsidR="006C6F09">
        <w:t xml:space="preserve"> </w:t>
      </w:r>
      <w:r>
        <w:t>that</w:t>
      </w:r>
      <w:r w:rsidR="006C6F09">
        <w:t xml:space="preserve"> </w:t>
      </w:r>
      <w:r>
        <w:t>local</w:t>
      </w:r>
      <w:r w:rsidR="006C6F09">
        <w:t xml:space="preserve"> </w:t>
      </w:r>
      <w:r>
        <w:t>hearing.</w:t>
      </w:r>
      <w:r w:rsidR="006C6F09">
        <w:t xml:space="preserve"> </w:t>
      </w:r>
      <w:r>
        <w:t>There</w:t>
      </w:r>
      <w:r w:rsidR="006C6F09">
        <w:t xml:space="preserve"> </w:t>
      </w:r>
      <w:r>
        <w:t>is</w:t>
      </w:r>
      <w:r w:rsidR="006C6F09">
        <w:t xml:space="preserve"> </w:t>
      </w:r>
      <w:r>
        <w:t>no</w:t>
      </w:r>
      <w:r w:rsidR="006C6F09">
        <w:t xml:space="preserve"> </w:t>
      </w:r>
      <w:r>
        <w:t>need</w:t>
      </w:r>
      <w:r w:rsidR="006C6F09">
        <w:t xml:space="preserve"> </w:t>
      </w:r>
      <w:r>
        <w:t>to</w:t>
      </w:r>
      <w:r w:rsidR="006C6F09">
        <w:t xml:space="preserve"> </w:t>
      </w:r>
      <w:r>
        <w:t>prepare</w:t>
      </w:r>
      <w:r w:rsidR="006C6F09">
        <w:t xml:space="preserve"> </w:t>
      </w:r>
      <w:r>
        <w:t>or</w:t>
      </w:r>
      <w:r w:rsidR="006C6F09">
        <w:t xml:space="preserve"> </w:t>
      </w:r>
      <w:r>
        <w:t>upload</w:t>
      </w:r>
      <w:r w:rsidR="006C6F09">
        <w:t xml:space="preserve"> </w:t>
      </w:r>
      <w:r>
        <w:t>documentation</w:t>
      </w:r>
      <w:r w:rsidR="006C6F09">
        <w:t xml:space="preserve"> </w:t>
      </w:r>
      <w:r>
        <w:t>of</w:t>
      </w:r>
      <w:r w:rsidR="006C6F09">
        <w:t xml:space="preserve"> </w:t>
      </w:r>
      <w:r>
        <w:t>the</w:t>
      </w:r>
      <w:r w:rsidR="006C6F09">
        <w:t xml:space="preserve"> </w:t>
      </w:r>
      <w:r>
        <w:t>public</w:t>
      </w:r>
      <w:r w:rsidR="006C6F09">
        <w:t xml:space="preserve"> </w:t>
      </w:r>
      <w:r>
        <w:t>hearing</w:t>
      </w:r>
      <w:r w:rsidR="006C6F09">
        <w:t xml:space="preserve"> </w:t>
      </w:r>
      <w:r>
        <w:t>in</w:t>
      </w:r>
      <w:r w:rsidR="006C6F09">
        <w:t xml:space="preserve"> </w:t>
      </w:r>
      <w:r>
        <w:t>this</w:t>
      </w:r>
      <w:r w:rsidR="006C6F09">
        <w:t xml:space="preserve"> </w:t>
      </w:r>
      <w:r>
        <w:t>instance</w:t>
      </w:r>
      <w:r w:rsidR="006C6F09">
        <w:t xml:space="preserve"> </w:t>
      </w:r>
      <w:r>
        <w:t>because</w:t>
      </w:r>
      <w:r w:rsidR="006C6F09">
        <w:t xml:space="preserve"> </w:t>
      </w:r>
      <w:r>
        <w:t>the</w:t>
      </w:r>
      <w:r w:rsidR="006C6F09">
        <w:t xml:space="preserve"> </w:t>
      </w:r>
      <w:r>
        <w:t>requirements</w:t>
      </w:r>
      <w:r w:rsidR="006C6F09">
        <w:t xml:space="preserve"> </w:t>
      </w:r>
      <w:r>
        <w:t>of</w:t>
      </w:r>
      <w:r w:rsidR="006C6F09">
        <w:t xml:space="preserve"> </w:t>
      </w:r>
      <w:r>
        <w:t>this</w:t>
      </w:r>
      <w:r w:rsidR="006C6F09">
        <w:t xml:space="preserve"> </w:t>
      </w:r>
      <w:r>
        <w:t>Handbook</w:t>
      </w:r>
      <w:r w:rsidR="006C6F09">
        <w:t xml:space="preserve"> </w:t>
      </w:r>
      <w:r>
        <w:t>do</w:t>
      </w:r>
      <w:r w:rsidR="006C6F09">
        <w:t xml:space="preserve"> </w:t>
      </w:r>
      <w:r>
        <w:t>not</w:t>
      </w:r>
      <w:r w:rsidR="006C6F09">
        <w:t xml:space="preserve"> </w:t>
      </w:r>
      <w:r>
        <w:t>apply</w:t>
      </w:r>
      <w:r w:rsidR="006C6F09">
        <w:t xml:space="preserve"> </w:t>
      </w:r>
      <w:r>
        <w:t>to</w:t>
      </w:r>
      <w:r w:rsidR="006C6F09">
        <w:t xml:space="preserve"> </w:t>
      </w:r>
      <w:r>
        <w:t>a</w:t>
      </w:r>
      <w:r w:rsidR="006C6F09">
        <w:t xml:space="preserve"> </w:t>
      </w:r>
      <w:r>
        <w:t>local</w:t>
      </w:r>
      <w:r w:rsidR="006C6F09">
        <w:t xml:space="preserve"> </w:t>
      </w:r>
      <w:r>
        <w:t>hearing</w:t>
      </w:r>
      <w:r w:rsidR="006C6F09">
        <w:t xml:space="preserve"> </w:t>
      </w:r>
      <w:r>
        <w:t>held</w:t>
      </w:r>
      <w:r w:rsidR="006C6F09">
        <w:t xml:space="preserve"> </w:t>
      </w:r>
      <w:r>
        <w:t>under</w:t>
      </w:r>
      <w:r w:rsidR="006C6F09">
        <w:t xml:space="preserve"> </w:t>
      </w:r>
      <w:r w:rsidRPr="00263E76">
        <w:rPr>
          <w:i/>
          <w:iCs/>
        </w:rPr>
        <w:t>43</w:t>
      </w:r>
      <w:r w:rsidR="006C6F09">
        <w:rPr>
          <w:i/>
          <w:iCs/>
        </w:rPr>
        <w:t xml:space="preserve"> </w:t>
      </w:r>
      <w:r w:rsidRPr="00263E76">
        <w:rPr>
          <w:i/>
          <w:iCs/>
        </w:rPr>
        <w:t>TAC</w:t>
      </w:r>
      <w:r w:rsidR="006C6F09">
        <w:rPr>
          <w:i/>
          <w:iCs/>
        </w:rPr>
        <w:t xml:space="preserve"> </w:t>
      </w:r>
      <w:r w:rsidRPr="00263E76">
        <w:rPr>
          <w:i/>
          <w:iCs/>
        </w:rPr>
        <w:t>25.55</w:t>
      </w:r>
      <w:r>
        <w:t>.</w:t>
      </w:r>
    </w:p>
    <w:p w14:paraId="4FD7195D" w14:textId="03FDCF05" w:rsidR="00457754" w:rsidRPr="005C2C82" w:rsidRDefault="00457754" w:rsidP="005C2C82">
      <w:pPr>
        <w:pStyle w:val="Heading3"/>
      </w:pPr>
      <w:bookmarkStart w:id="65" w:name="_Ref219790904"/>
      <w:bookmarkStart w:id="66" w:name="_Toc224026219"/>
      <w:r w:rsidRPr="005C2C82">
        <w:t>6.1</w:t>
      </w:r>
      <w:r w:rsidR="006C6F09" w:rsidRPr="005C2C82">
        <w:t xml:space="preserve"> </w:t>
      </w:r>
      <w:r w:rsidRPr="005C2C82">
        <w:t>Notification</w:t>
      </w:r>
      <w:bookmarkEnd w:id="65"/>
      <w:bookmarkEnd w:id="66"/>
      <w:r w:rsidR="006C6F09" w:rsidRPr="005C2C82">
        <w:t xml:space="preserve"> </w:t>
      </w:r>
    </w:p>
    <w:p w14:paraId="09F4F34F" w14:textId="5EF66713" w:rsidR="00457754" w:rsidRDefault="00457754" w:rsidP="00457754">
      <w:pPr>
        <w:spacing w:after="0"/>
      </w:pPr>
      <w:r>
        <w:t>The</w:t>
      </w:r>
      <w:r w:rsidR="006C6F09">
        <w:t xml:space="preserve"> </w:t>
      </w:r>
      <w:r>
        <w:t>project</w:t>
      </w:r>
      <w:r w:rsidR="006C6F09">
        <w:t xml:space="preserve"> </w:t>
      </w:r>
      <w:r>
        <w:t>sponsor</w:t>
      </w:r>
      <w:r w:rsidR="006C6F09">
        <w:t xml:space="preserve"> </w:t>
      </w:r>
      <w:r>
        <w:t>is</w:t>
      </w:r>
      <w:r w:rsidR="006C6F09">
        <w:t xml:space="preserve"> </w:t>
      </w:r>
      <w:r>
        <w:t>responsible</w:t>
      </w:r>
      <w:r w:rsidR="006C6F09">
        <w:t xml:space="preserve"> </w:t>
      </w:r>
      <w:r>
        <w:t>for</w:t>
      </w:r>
      <w:r w:rsidR="006C6F09">
        <w:t xml:space="preserve"> </w:t>
      </w:r>
      <w:r>
        <w:t>preparing</w:t>
      </w:r>
      <w:r w:rsidR="006C6F09">
        <w:t xml:space="preserve"> </w:t>
      </w:r>
      <w:r>
        <w:t>and</w:t>
      </w:r>
      <w:r w:rsidR="006C6F09">
        <w:t xml:space="preserve"> </w:t>
      </w:r>
      <w:r>
        <w:t>providing</w:t>
      </w:r>
      <w:r w:rsidR="006C6F09">
        <w:t xml:space="preserve"> </w:t>
      </w:r>
      <w:r>
        <w:t>notices</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One</w:t>
      </w:r>
      <w:r w:rsidR="006C6F09">
        <w:t xml:space="preserve"> </w:t>
      </w:r>
      <w:r>
        <w:t>notice</w:t>
      </w:r>
      <w:r w:rsidR="006C6F09">
        <w:t xml:space="preserve"> </w:t>
      </w:r>
      <w:r>
        <w:t>must</w:t>
      </w:r>
      <w:r w:rsidR="006C6F09">
        <w:t xml:space="preserve"> </w:t>
      </w:r>
      <w:r>
        <w:t>be</w:t>
      </w:r>
      <w:r w:rsidR="006C6F09">
        <w:t xml:space="preserve"> </w:t>
      </w:r>
      <w:r>
        <w:t>published</w:t>
      </w:r>
      <w:r w:rsidR="006C6F09">
        <w:t xml:space="preserve"> </w:t>
      </w:r>
      <w:r>
        <w:t>in</w:t>
      </w:r>
      <w:r w:rsidR="006C6F09">
        <w:t xml:space="preserve"> </w:t>
      </w:r>
      <w:r>
        <w:t>a</w:t>
      </w:r>
      <w:r w:rsidR="006C6F09">
        <w:t xml:space="preserve"> </w:t>
      </w:r>
      <w:r>
        <w:t>local</w:t>
      </w:r>
      <w:r w:rsidR="006C6F09">
        <w:t xml:space="preserve"> </w:t>
      </w:r>
      <w:r>
        <w:t>newspaper</w:t>
      </w:r>
      <w:r w:rsidR="006C6F09">
        <w:t xml:space="preserve"> </w:t>
      </w:r>
      <w:r>
        <w:t>having</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The</w:t>
      </w:r>
      <w:r w:rsidR="006C6F09">
        <w:t xml:space="preserve"> </w:t>
      </w:r>
      <w:r>
        <w:t>notice</w:t>
      </w:r>
      <w:r w:rsidR="006C6F09">
        <w:t xml:space="preserve"> </w:t>
      </w:r>
      <w:r>
        <w:t>can</w:t>
      </w:r>
      <w:r w:rsidR="006C6F09">
        <w:t xml:space="preserve"> </w:t>
      </w:r>
      <w:r>
        <w:t>be</w:t>
      </w:r>
      <w:r w:rsidR="006C6F09">
        <w:t xml:space="preserve"> </w:t>
      </w:r>
      <w:r>
        <w:lastRenderedPageBreak/>
        <w:t>published</w:t>
      </w:r>
      <w:r w:rsidR="006C6F09">
        <w:t xml:space="preserve"> </w:t>
      </w:r>
      <w:r>
        <w:t>in</w:t>
      </w:r>
      <w:r w:rsidR="006C6F09">
        <w:t xml:space="preserve"> </w:t>
      </w:r>
      <w:r>
        <w:t>any</w:t>
      </w:r>
      <w:r w:rsidR="006C6F09">
        <w:t xml:space="preserve"> </w:t>
      </w:r>
      <w:r>
        <w:t>section</w:t>
      </w:r>
      <w:r w:rsidR="006C6F09">
        <w:t xml:space="preserve"> </w:t>
      </w:r>
      <w:r>
        <w:t>of</w:t>
      </w:r>
      <w:r w:rsidR="006C6F09">
        <w:t xml:space="preserve"> </w:t>
      </w:r>
      <w:r>
        <w:t>the</w:t>
      </w:r>
      <w:r w:rsidR="006C6F09">
        <w:t xml:space="preserve"> </w:t>
      </w:r>
      <w:r>
        <w:t>newspaper</w:t>
      </w:r>
      <w:r w:rsidR="006C6F09">
        <w:t xml:space="preserve"> </w:t>
      </w:r>
      <w:r>
        <w:t>and</w:t>
      </w:r>
      <w:r w:rsidR="006C6F09">
        <w:t xml:space="preserve"> </w:t>
      </w:r>
      <w:r>
        <w:t>in</w:t>
      </w:r>
      <w:r w:rsidR="006C6F09">
        <w:t xml:space="preserve"> </w:t>
      </w:r>
      <w:r>
        <w:t>any</w:t>
      </w:r>
      <w:r w:rsidR="006C6F09">
        <w:t xml:space="preserve"> </w:t>
      </w:r>
      <w:r>
        <w:t>format,</w:t>
      </w:r>
      <w:r w:rsidR="006C6F09">
        <w:t xml:space="preserve"> </w:t>
      </w:r>
      <w:r>
        <w:t>although</w:t>
      </w:r>
      <w:r w:rsidR="006C6F09">
        <w:t xml:space="preserve"> </w:t>
      </w:r>
      <w:r>
        <w:t>it</w:t>
      </w:r>
      <w:r w:rsidR="006C6F09">
        <w:t xml:space="preserve"> </w:t>
      </w:r>
      <w:r>
        <w:t>is</w:t>
      </w:r>
      <w:r w:rsidR="006C6F09">
        <w:t xml:space="preserve"> </w:t>
      </w:r>
      <w:r>
        <w:t>recommended</w:t>
      </w:r>
      <w:r w:rsidR="006C6F09">
        <w:t xml:space="preserve"> </w:t>
      </w:r>
      <w:r>
        <w:t>that</w:t>
      </w:r>
      <w:r w:rsidR="006C6F09">
        <w:t xml:space="preserve"> </w:t>
      </w:r>
      <w:r>
        <w:t>the</w:t>
      </w:r>
      <w:r w:rsidR="006C6F09">
        <w:t xml:space="preserve"> </w:t>
      </w:r>
      <w:r>
        <w:t>notice</w:t>
      </w:r>
      <w:r w:rsidR="006C6F09">
        <w:t xml:space="preserve"> </w:t>
      </w:r>
      <w:r w:rsidR="00002435">
        <w:t>is</w:t>
      </w:r>
      <w:r w:rsidR="006C6F09">
        <w:t xml:space="preserve"> </w:t>
      </w:r>
      <w:r w:rsidR="00002435">
        <w:t>not</w:t>
      </w:r>
      <w:r w:rsidR="006C6F09">
        <w:t xml:space="preserve"> </w:t>
      </w:r>
      <w:r>
        <w:t>published</w:t>
      </w:r>
      <w:r w:rsidR="006C6F09">
        <w:t xml:space="preserve"> </w:t>
      </w:r>
      <w:r>
        <w:t>in</w:t>
      </w:r>
      <w:r w:rsidR="006C6F09">
        <w:t xml:space="preserve"> </w:t>
      </w:r>
      <w:r>
        <w:t>the</w:t>
      </w:r>
      <w:r w:rsidR="006C6F09">
        <w:t xml:space="preserve"> </w:t>
      </w:r>
      <w:r>
        <w:t>legal</w:t>
      </w:r>
      <w:r w:rsidR="006C6F09">
        <w:t xml:space="preserve"> </w:t>
      </w:r>
      <w:r>
        <w:t>notices</w:t>
      </w:r>
      <w:r w:rsidR="006C6F09">
        <w:t xml:space="preserve"> </w:t>
      </w:r>
      <w:r>
        <w:t>section.</w:t>
      </w:r>
      <w:r w:rsidR="006C6F09">
        <w:t xml:space="preserve"> </w:t>
      </w:r>
      <w:r>
        <w:t>If</w:t>
      </w:r>
      <w:r w:rsidR="006C6F09">
        <w:t xml:space="preserve"> </w:t>
      </w:r>
      <w:r>
        <w:t>there</w:t>
      </w:r>
      <w:r w:rsidR="006C6F09">
        <w:t xml:space="preserve"> </w:t>
      </w:r>
      <w:r>
        <w:t>is</w:t>
      </w:r>
      <w:r w:rsidR="006C6F09">
        <w:t xml:space="preserve"> </w:t>
      </w:r>
      <w:r>
        <w:t>no</w:t>
      </w:r>
      <w:r w:rsidR="006C6F09">
        <w:t xml:space="preserve"> </w:t>
      </w:r>
      <w:r>
        <w:t>local</w:t>
      </w:r>
      <w:r w:rsidR="006C6F09">
        <w:t xml:space="preserve"> </w:t>
      </w:r>
      <w:r>
        <w:t>newspaper</w:t>
      </w:r>
      <w:r w:rsidR="006C6F09">
        <w:t xml:space="preserve"> </w:t>
      </w:r>
      <w:r>
        <w:t>in</w:t>
      </w:r>
      <w:r w:rsidR="006C6F09">
        <w:t xml:space="preserve"> </w:t>
      </w:r>
      <w:r>
        <w:t>the</w:t>
      </w:r>
      <w:r w:rsidR="006C6F09">
        <w:t xml:space="preserve"> </w:t>
      </w:r>
      <w:r>
        <w:t>vicinity</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the</w:t>
      </w:r>
      <w:r w:rsidR="006C6F09">
        <w:t xml:space="preserve"> </w:t>
      </w:r>
      <w:r>
        <w:t>project</w:t>
      </w:r>
      <w:r w:rsidR="006C6F09">
        <w:t xml:space="preserve"> </w:t>
      </w:r>
      <w:r>
        <w:t>sponsor</w:t>
      </w:r>
      <w:r w:rsidR="006C6F09">
        <w:t xml:space="preserve"> </w:t>
      </w:r>
      <w:r>
        <w:t>publishes</w:t>
      </w:r>
      <w:r w:rsidR="006C6F09">
        <w:t xml:space="preserve"> </w:t>
      </w:r>
      <w:r>
        <w:t>notice</w:t>
      </w:r>
      <w:r w:rsidR="006C6F09">
        <w:t xml:space="preserve"> </w:t>
      </w:r>
      <w:r>
        <w:t>in</w:t>
      </w:r>
      <w:r w:rsidR="006C6F09">
        <w:t xml:space="preserve"> </w:t>
      </w:r>
      <w:r>
        <w:t>a</w:t>
      </w:r>
      <w:r w:rsidR="006C6F09">
        <w:t xml:space="preserve"> </w:t>
      </w:r>
      <w:r>
        <w:t>newspaper</w:t>
      </w:r>
      <w:r w:rsidR="006C6F09">
        <w:t xml:space="preserve"> </w:t>
      </w:r>
      <w:r>
        <w:t>having</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in</w:t>
      </w:r>
      <w:r w:rsidR="006C6F09">
        <w:t xml:space="preserve"> </w:t>
      </w:r>
      <w:r>
        <w:t>a</w:t>
      </w:r>
      <w:r w:rsidR="006C6F09">
        <w:t xml:space="preserve"> </w:t>
      </w:r>
      <w:r>
        <w:t>remote</w:t>
      </w:r>
      <w:r w:rsidR="006C6F09">
        <w:t xml:space="preserve"> </w:t>
      </w:r>
      <w:r>
        <w:t>area</w:t>
      </w:r>
      <w:r w:rsidR="006C6F09">
        <w:t xml:space="preserve"> </w:t>
      </w:r>
      <w:r>
        <w:t>with</w:t>
      </w:r>
      <w:r w:rsidR="006C6F09">
        <w:t xml:space="preserve"> </w:t>
      </w:r>
      <w:r>
        <w:t>no</w:t>
      </w:r>
      <w:r w:rsidR="006C6F09">
        <w:t xml:space="preserve"> </w:t>
      </w:r>
      <w:r>
        <w:t>newspapers</w:t>
      </w:r>
      <w:r w:rsidR="006C6F09">
        <w:t xml:space="preserve"> </w:t>
      </w:r>
      <w:r>
        <w:t>in</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or</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in</w:t>
      </w:r>
      <w:r w:rsidR="006C6F09">
        <w:t xml:space="preserve"> </w:t>
      </w:r>
      <w:r>
        <w:t>a</w:t>
      </w:r>
      <w:r w:rsidR="006C6F09">
        <w:t xml:space="preserve"> </w:t>
      </w:r>
      <w:r>
        <w:t>county</w:t>
      </w:r>
      <w:r w:rsidR="006C6F09">
        <w:t xml:space="preserve"> </w:t>
      </w:r>
      <w:r>
        <w:t>with</w:t>
      </w:r>
      <w:r w:rsidR="006C6F09">
        <w:t xml:space="preserve"> </w:t>
      </w:r>
      <w:r>
        <w:t>a</w:t>
      </w:r>
      <w:r w:rsidR="006C6F09">
        <w:t xml:space="preserve"> </w:t>
      </w:r>
      <w:r>
        <w:t>population</w:t>
      </w:r>
      <w:r w:rsidR="006C6F09">
        <w:t xml:space="preserve"> </w:t>
      </w:r>
      <w:r>
        <w:t>of</w:t>
      </w:r>
      <w:r w:rsidR="006C6F09">
        <w:t xml:space="preserve"> </w:t>
      </w:r>
      <w:r>
        <w:t>at</w:t>
      </w:r>
      <w:r w:rsidR="006C6F09">
        <w:t xml:space="preserve"> </w:t>
      </w:r>
      <w:r>
        <w:t>least</w:t>
      </w:r>
      <w:r w:rsidR="006C6F09">
        <w:t xml:space="preserve"> </w:t>
      </w:r>
      <w:r>
        <w:t>30,000</w:t>
      </w:r>
      <w:r w:rsidR="006C6F09">
        <w:t xml:space="preserve"> </w:t>
      </w:r>
      <w:r>
        <w:t>and</w:t>
      </w:r>
      <w:r w:rsidR="006C6F09">
        <w:t xml:space="preserve"> </w:t>
      </w:r>
      <w:r>
        <w:t>not</w:t>
      </w:r>
      <w:r w:rsidR="006C6F09">
        <w:t xml:space="preserve"> </w:t>
      </w:r>
      <w:r>
        <w:t>more</w:t>
      </w:r>
      <w:r w:rsidR="006C6F09">
        <w:t xml:space="preserve"> </w:t>
      </w:r>
      <w:r>
        <w:t>than</w:t>
      </w:r>
      <w:r w:rsidR="006C6F09">
        <w:t xml:space="preserve"> </w:t>
      </w:r>
      <w:r>
        <w:t>42,000</w:t>
      </w:r>
      <w:r w:rsidR="006C6F09">
        <w:t xml:space="preserve"> </w:t>
      </w:r>
      <w:r>
        <w:t>that</w:t>
      </w:r>
      <w:r w:rsidR="006C6F09">
        <w:t xml:space="preserve"> </w:t>
      </w:r>
      <w:r>
        <w:t>borders</w:t>
      </w:r>
      <w:r w:rsidR="006C6F09">
        <w:t xml:space="preserve"> </w:t>
      </w:r>
      <w:r>
        <w:t>the</w:t>
      </w:r>
      <w:r w:rsidR="006C6F09">
        <w:t xml:space="preserve"> </w:t>
      </w:r>
      <w:r>
        <w:t>Red</w:t>
      </w:r>
      <w:r w:rsidR="006C6F09">
        <w:t xml:space="preserve"> </w:t>
      </w:r>
      <w:r>
        <w:t>River</w:t>
      </w:r>
      <w:r w:rsidR="006C6F09">
        <w:t xml:space="preserve"> </w:t>
      </w:r>
      <w:r>
        <w:t>(currently</w:t>
      </w:r>
      <w:r w:rsidR="006C6F09">
        <w:t xml:space="preserve"> </w:t>
      </w:r>
      <w:r>
        <w:t>only</w:t>
      </w:r>
      <w:r w:rsidR="006C6F09">
        <w:t xml:space="preserve"> </w:t>
      </w:r>
      <w:r>
        <w:t>Fannin</w:t>
      </w:r>
      <w:r w:rsidR="006C6F09">
        <w:t xml:space="preserve"> </w:t>
      </w:r>
      <w:r>
        <w:t>County</w:t>
      </w:r>
      <w:r w:rsidR="006C6F09">
        <w:t xml:space="preserve"> </w:t>
      </w:r>
      <w:r>
        <w:t>meets</w:t>
      </w:r>
      <w:r w:rsidR="006C6F09">
        <w:t xml:space="preserve"> </w:t>
      </w:r>
      <w:r>
        <w:t>this</w:t>
      </w:r>
      <w:r w:rsidR="006C6F09">
        <w:t xml:space="preserve"> </w:t>
      </w:r>
      <w:r>
        <w:t>definition),</w:t>
      </w:r>
      <w:r w:rsidR="006C6F09">
        <w:t xml:space="preserve"> </w:t>
      </w:r>
      <w:r>
        <w:t>then</w:t>
      </w:r>
      <w:r w:rsidR="006C6F09">
        <w:t xml:space="preserve"> </w:t>
      </w:r>
      <w:r>
        <w:t>the</w:t>
      </w:r>
      <w:r w:rsidR="006C6F09">
        <w:t xml:space="preserve"> </w:t>
      </w:r>
      <w:r>
        <w:t>notice</w:t>
      </w:r>
      <w:r w:rsidR="006C6F09">
        <w:t xml:space="preserve"> </w:t>
      </w:r>
      <w:r>
        <w:t>may</w:t>
      </w:r>
      <w:r w:rsidR="006C6F09">
        <w:t xml:space="preserve"> </w:t>
      </w:r>
      <w:r>
        <w:t>be</w:t>
      </w:r>
      <w:r w:rsidR="006C6F09">
        <w:t xml:space="preserve"> </w:t>
      </w:r>
      <w:r>
        <w:t>published</w:t>
      </w:r>
      <w:r w:rsidR="006C6F09">
        <w:t xml:space="preserve"> </w:t>
      </w:r>
      <w:r>
        <w:t>in</w:t>
      </w:r>
      <w:r w:rsidR="006C6F09">
        <w:t xml:space="preserve"> </w:t>
      </w:r>
      <w:r>
        <w:t>a</w:t>
      </w:r>
      <w:r w:rsidR="006C6F09">
        <w:t xml:space="preserve"> </w:t>
      </w:r>
      <w:r>
        <w:t>digital</w:t>
      </w:r>
      <w:r w:rsidR="006C6F09">
        <w:t xml:space="preserve"> </w:t>
      </w:r>
      <w:r>
        <w:t>newspaper</w:t>
      </w:r>
      <w:r w:rsidR="006C6F09">
        <w:t xml:space="preserve"> </w:t>
      </w:r>
      <w:r>
        <w:t>that</w:t>
      </w:r>
      <w:r w:rsidR="006C6F09">
        <w:t xml:space="preserve"> </w:t>
      </w:r>
      <w:r>
        <w:t>meets</w:t>
      </w:r>
      <w:r w:rsidR="006C6F09">
        <w:t xml:space="preserve"> </w:t>
      </w:r>
      <w:r>
        <w:t>certain</w:t>
      </w:r>
      <w:r w:rsidR="006C6F09">
        <w:t xml:space="preserve"> </w:t>
      </w:r>
      <w:r>
        <w:t>requirements</w:t>
      </w:r>
      <w:r w:rsidR="006C6F09">
        <w:t xml:space="preserve"> </w:t>
      </w:r>
      <w:r>
        <w:t>–</w:t>
      </w:r>
      <w:r w:rsidR="006C6F09">
        <w:t xml:space="preserve"> </w:t>
      </w:r>
      <w:r>
        <w:t>see</w:t>
      </w:r>
      <w:r w:rsidR="006C6F09">
        <w:t xml:space="preserve"> </w:t>
      </w:r>
      <w:r w:rsidRPr="00B11E2F">
        <w:t>Texas</w:t>
      </w:r>
      <w:r w:rsidR="006C6F09">
        <w:t xml:space="preserve"> </w:t>
      </w:r>
      <w:r w:rsidRPr="00B11E2F">
        <w:t>Government</w:t>
      </w:r>
      <w:r w:rsidR="006C6F09">
        <w:t xml:space="preserve"> </w:t>
      </w:r>
      <w:r w:rsidRPr="00B11E2F">
        <w:t>Code</w:t>
      </w:r>
      <w:r w:rsidR="006C6F09">
        <w:rPr>
          <w:i/>
          <w:iCs/>
        </w:rPr>
        <w:t xml:space="preserve"> </w:t>
      </w:r>
      <w:r>
        <w:t>2051.0441(b-1).</w:t>
      </w:r>
    </w:p>
    <w:p w14:paraId="1526CE1B" w14:textId="1198F589" w:rsidR="00457754" w:rsidRDefault="00457754" w:rsidP="00457754">
      <w:r>
        <w:t>In</w:t>
      </w:r>
      <w:r w:rsidR="006C6F09">
        <w:t xml:space="preserve"> </w:t>
      </w:r>
      <w:r>
        <w:t>addition,</w:t>
      </w:r>
      <w:r w:rsidR="006C6F09">
        <w:t xml:space="preserve"> </w:t>
      </w:r>
      <w:r>
        <w:t>the</w:t>
      </w:r>
      <w:r w:rsidR="006C6F09">
        <w:t xml:space="preserve"> </w:t>
      </w:r>
      <w:r>
        <w:t>project</w:t>
      </w:r>
      <w:r w:rsidR="006C6F09">
        <w:t xml:space="preserve"> </w:t>
      </w:r>
      <w:r>
        <w:t>sponsor</w:t>
      </w:r>
      <w:r w:rsidR="006C6F09">
        <w:t xml:space="preserve"> </w:t>
      </w:r>
      <w:r>
        <w:t>selects</w:t>
      </w:r>
      <w:r w:rsidR="006C6F09">
        <w:t xml:space="preserve"> </w:t>
      </w:r>
      <w:r>
        <w:t>a</w:t>
      </w:r>
      <w:r w:rsidR="006C6F09">
        <w:t xml:space="preserve"> </w:t>
      </w:r>
      <w:r>
        <w:t>minimum</w:t>
      </w:r>
      <w:r w:rsidR="006C6F09">
        <w:t xml:space="preserve"> </w:t>
      </w:r>
      <w:r>
        <w:t>of</w:t>
      </w:r>
      <w:r w:rsidR="006C6F09">
        <w:t xml:space="preserve"> </w:t>
      </w:r>
      <w:r>
        <w:t>one</w:t>
      </w:r>
      <w:r w:rsidR="006C6F09">
        <w:t xml:space="preserve"> </w:t>
      </w:r>
      <w:r>
        <w:t>additional</w:t>
      </w:r>
      <w:r w:rsidR="006C6F09">
        <w:t xml:space="preserve"> </w:t>
      </w:r>
      <w:r>
        <w:t>outreach</w:t>
      </w:r>
      <w:r w:rsidR="006C6F09">
        <w:t xml:space="preserve"> </w:t>
      </w:r>
      <w:r>
        <w:t>method</w:t>
      </w:r>
      <w:r w:rsidR="006C6F09">
        <w:t xml:space="preserve"> </w:t>
      </w:r>
      <w:r>
        <w:t>to</w:t>
      </w:r>
      <w:r w:rsidR="006C6F09">
        <w:t xml:space="preserve"> </w:t>
      </w:r>
      <w:r>
        <w:t>inform</w:t>
      </w:r>
      <w:r w:rsidR="006C6F09">
        <w:t xml:space="preserve"> </w:t>
      </w:r>
      <w:r>
        <w:t>the</w:t>
      </w:r>
      <w:r w:rsidR="006C6F09">
        <w:t xml:space="preserve"> </w:t>
      </w:r>
      <w:r>
        <w:t>public</w:t>
      </w:r>
      <w:r w:rsidR="006C6F09">
        <w:t xml:space="preserve"> </w:t>
      </w:r>
      <w:r>
        <w:t>of</w:t>
      </w:r>
      <w:r w:rsidR="006C6F09">
        <w:t xml:space="preserve"> </w:t>
      </w:r>
      <w:r>
        <w:t>a</w:t>
      </w:r>
      <w:r w:rsidR="006C6F09">
        <w:t xml:space="preserve"> </w:t>
      </w:r>
      <w:r>
        <w:t>public</w:t>
      </w:r>
      <w:r w:rsidR="006C6F09">
        <w:t xml:space="preserve"> </w:t>
      </w:r>
      <w:r>
        <w:t>hearing.</w:t>
      </w:r>
      <w:r w:rsidR="006C6F09">
        <w:t xml:space="preserve"> </w:t>
      </w:r>
      <w:r>
        <w:t>Additional</w:t>
      </w:r>
      <w:r w:rsidR="006C6F09">
        <w:t xml:space="preserve"> </w:t>
      </w:r>
      <w:r>
        <w:t>outreach</w:t>
      </w:r>
      <w:r w:rsidR="006C6F09">
        <w:t xml:space="preserve"> </w:t>
      </w:r>
      <w:r>
        <w:t>methods</w:t>
      </w:r>
      <w:r w:rsidR="006C6F09">
        <w:t xml:space="preserve"> </w:t>
      </w:r>
      <w:r>
        <w:t>can</w:t>
      </w:r>
      <w:r w:rsidR="006C6F09">
        <w:t xml:space="preserve"> </w:t>
      </w:r>
      <w:r>
        <w:t>include,</w:t>
      </w:r>
      <w:r w:rsidR="006C6F09">
        <w:t xml:space="preserve"> </w:t>
      </w:r>
      <w:r>
        <w:t>but</w:t>
      </w:r>
      <w:r w:rsidR="006C6F09">
        <w:t xml:space="preserve"> </w:t>
      </w:r>
      <w:r>
        <w:t>are</w:t>
      </w:r>
      <w:r w:rsidR="006C6F09">
        <w:t xml:space="preserve"> </w:t>
      </w:r>
      <w:r>
        <w:t>not</w:t>
      </w:r>
      <w:r w:rsidR="006C6F09">
        <w:t xml:space="preserve"> </w:t>
      </w:r>
      <w:r>
        <w:t>limited</w:t>
      </w:r>
      <w:r w:rsidR="006C6F09">
        <w:t xml:space="preserve"> </w:t>
      </w:r>
      <w:r>
        <w:t>to,</w:t>
      </w:r>
      <w:r w:rsidR="006C6F09">
        <w:t xml:space="preserve"> </w:t>
      </w:r>
      <w:r>
        <w:t>posting</w:t>
      </w:r>
      <w:r w:rsidR="006C6F09">
        <w:t xml:space="preserve"> </w:t>
      </w:r>
      <w:r>
        <w:t>information</w:t>
      </w:r>
      <w:r w:rsidR="006C6F09">
        <w:t xml:space="preserve"> </w:t>
      </w:r>
      <w:r>
        <w:t>on</w:t>
      </w:r>
      <w:r w:rsidR="006C6F09">
        <w:t xml:space="preserve"> </w:t>
      </w:r>
      <w:r>
        <w:t>project</w:t>
      </w:r>
      <w:r w:rsidR="006C6F09">
        <w:t xml:space="preserve"> </w:t>
      </w:r>
      <w:r>
        <w:t>specific</w:t>
      </w:r>
      <w:r w:rsidR="006C6F09">
        <w:t xml:space="preserve"> </w:t>
      </w:r>
      <w:r>
        <w:t>website,</w:t>
      </w:r>
      <w:r w:rsidR="006C6F09">
        <w:t xml:space="preserve"> </w:t>
      </w:r>
      <w:r>
        <w:t>email</w:t>
      </w:r>
      <w:r w:rsidR="006C6F09">
        <w:t xml:space="preserve"> </w:t>
      </w:r>
      <w:r>
        <w:t>blast</w:t>
      </w:r>
      <w:r w:rsidR="006C6F09">
        <w:t xml:space="preserve"> </w:t>
      </w:r>
      <w:r>
        <w:t>to</w:t>
      </w:r>
      <w:r w:rsidR="006C6F09">
        <w:t xml:space="preserve"> </w:t>
      </w:r>
      <w:r>
        <w:t>stakeholder</w:t>
      </w:r>
      <w:r w:rsidR="006C6F09">
        <w:t xml:space="preserve"> </w:t>
      </w:r>
      <w:r>
        <w:t>list,</w:t>
      </w:r>
      <w:r w:rsidR="006C6F09">
        <w:t xml:space="preserve"> </w:t>
      </w:r>
      <w:r>
        <w:t>publishing</w:t>
      </w:r>
      <w:r w:rsidR="006C6F09">
        <w:t xml:space="preserve"> </w:t>
      </w:r>
      <w:r>
        <w:t>an</w:t>
      </w:r>
      <w:r w:rsidR="006C6F09">
        <w:t xml:space="preserve"> </w:t>
      </w:r>
      <w:r>
        <w:t>additional</w:t>
      </w:r>
      <w:r w:rsidR="006C6F09">
        <w:t xml:space="preserve"> </w:t>
      </w:r>
      <w:r>
        <w:t>notice</w:t>
      </w:r>
      <w:r w:rsidR="006C6F09">
        <w:t xml:space="preserve"> </w:t>
      </w:r>
      <w:r>
        <w:t>in</w:t>
      </w:r>
      <w:r w:rsidR="006C6F09">
        <w:t xml:space="preserve"> </w:t>
      </w:r>
      <w:r>
        <w:t>the</w:t>
      </w:r>
      <w:r w:rsidR="006C6F09">
        <w:t xml:space="preserve"> </w:t>
      </w:r>
      <w:r>
        <w:t>same</w:t>
      </w:r>
      <w:r w:rsidR="006C6F09">
        <w:t xml:space="preserve"> </w:t>
      </w:r>
      <w:r>
        <w:t>newspaper</w:t>
      </w:r>
      <w:r w:rsidR="006C6F09">
        <w:t xml:space="preserve"> </w:t>
      </w:r>
      <w:r>
        <w:t>or</w:t>
      </w:r>
      <w:r w:rsidR="006C6F09">
        <w:t xml:space="preserve"> </w:t>
      </w:r>
      <w:r>
        <w:t>online</w:t>
      </w:r>
      <w:r w:rsidR="006C6F09">
        <w:t xml:space="preserve"> </w:t>
      </w:r>
      <w:r>
        <w:t>media</w:t>
      </w:r>
      <w:r w:rsidR="006C6F09">
        <w:t xml:space="preserve"> </w:t>
      </w:r>
      <w:r>
        <w:t>as</w:t>
      </w:r>
      <w:r w:rsidR="006C6F09">
        <w:t xml:space="preserve"> </w:t>
      </w:r>
      <w:r>
        <w:t>the</w:t>
      </w:r>
      <w:r w:rsidR="006C6F09">
        <w:t xml:space="preserve"> </w:t>
      </w:r>
      <w:r>
        <w:t>first</w:t>
      </w:r>
      <w:r w:rsidR="006C6F09">
        <w:t xml:space="preserve"> </w:t>
      </w:r>
      <w:r>
        <w:t>publication,</w:t>
      </w:r>
      <w:r w:rsidR="006C6F09">
        <w:t xml:space="preserve"> </w:t>
      </w:r>
      <w:r>
        <w:t>providing</w:t>
      </w:r>
      <w:r w:rsidR="006C6F09">
        <w:t xml:space="preserve"> </w:t>
      </w:r>
      <w:r>
        <w:t>notices</w:t>
      </w:r>
      <w:r w:rsidR="006C6F09">
        <w:t xml:space="preserve"> </w:t>
      </w:r>
      <w:r>
        <w:t>to</w:t>
      </w:r>
      <w:r w:rsidR="006C6F09">
        <w:t xml:space="preserve"> </w:t>
      </w:r>
      <w:r>
        <w:t>local</w:t>
      </w:r>
      <w:r w:rsidR="006C6F09">
        <w:t xml:space="preserve"> </w:t>
      </w:r>
      <w:r>
        <w:t>community</w:t>
      </w:r>
      <w:r w:rsidR="006C6F09">
        <w:t xml:space="preserve"> </w:t>
      </w:r>
      <w:r>
        <w:t>groups,</w:t>
      </w:r>
      <w:r w:rsidR="006C6F09">
        <w:t xml:space="preserve"> </w:t>
      </w:r>
      <w:r>
        <w:t>neighborhood</w:t>
      </w:r>
      <w:r w:rsidR="006C6F09">
        <w:t xml:space="preserve"> </w:t>
      </w:r>
      <w:r>
        <w:t>associations,</w:t>
      </w:r>
      <w:r w:rsidR="006C6F09">
        <w:t xml:space="preserve"> </w:t>
      </w:r>
      <w:r>
        <w:t>schools,</w:t>
      </w:r>
      <w:r w:rsidR="006C6F09">
        <w:t xml:space="preserve"> </w:t>
      </w:r>
      <w:r>
        <w:t>and</w:t>
      </w:r>
      <w:r w:rsidR="006C6F09">
        <w:t xml:space="preserve"> </w:t>
      </w:r>
      <w:r>
        <w:t>other</w:t>
      </w:r>
      <w:r w:rsidR="006C6F09">
        <w:t xml:space="preserve"> </w:t>
      </w:r>
      <w:r>
        <w:t>locations</w:t>
      </w:r>
      <w:r w:rsidR="006C6F09">
        <w:t xml:space="preserve"> </w:t>
      </w:r>
      <w:r>
        <w:t>within</w:t>
      </w:r>
      <w:r w:rsidR="006C6F09">
        <w:t xml:space="preserve"> </w:t>
      </w:r>
      <w:r>
        <w:t>the</w:t>
      </w:r>
      <w:r w:rsidR="006C6F09">
        <w:t xml:space="preserve"> </w:t>
      </w:r>
      <w:r>
        <w:t>project</w:t>
      </w:r>
      <w:r w:rsidR="006C6F09">
        <w:t xml:space="preserve"> </w:t>
      </w:r>
      <w:r>
        <w:t>area</w:t>
      </w:r>
      <w:r w:rsidR="006C6F09">
        <w:t xml:space="preserve"> </w:t>
      </w:r>
      <w:r>
        <w:t>where</w:t>
      </w:r>
      <w:r w:rsidR="006C6F09">
        <w:t xml:space="preserve"> </w:t>
      </w:r>
      <w:r>
        <w:t>the</w:t>
      </w:r>
      <w:r w:rsidR="006C6F09">
        <w:t xml:space="preserve"> </w:t>
      </w:r>
      <w:r>
        <w:t>community</w:t>
      </w:r>
      <w:r w:rsidR="006C6F09">
        <w:t xml:space="preserve"> </w:t>
      </w:r>
      <w:r>
        <w:t>might</w:t>
      </w:r>
      <w:r w:rsidR="006C6F09">
        <w:t xml:space="preserve"> </w:t>
      </w:r>
      <w:r>
        <w:t>congregate,</w:t>
      </w:r>
      <w:r w:rsidR="006C6F09">
        <w:t xml:space="preserve"> </w:t>
      </w:r>
      <w:r>
        <w:t>social</w:t>
      </w:r>
      <w:r w:rsidR="006C6F09">
        <w:t xml:space="preserve"> </w:t>
      </w:r>
      <w:r>
        <w:t>media,</w:t>
      </w:r>
      <w:r w:rsidR="006C6F09">
        <w:t xml:space="preserve"> </w:t>
      </w:r>
      <w:r>
        <w:t>or</w:t>
      </w:r>
      <w:r w:rsidR="006C6F09">
        <w:t xml:space="preserve"> </w:t>
      </w:r>
      <w:r>
        <w:t>using</w:t>
      </w:r>
      <w:r w:rsidR="006C6F09">
        <w:t xml:space="preserve"> </w:t>
      </w:r>
      <w:r>
        <w:t>changeable</w:t>
      </w:r>
      <w:r w:rsidR="006C6F09">
        <w:t xml:space="preserve"> </w:t>
      </w:r>
      <w:r>
        <w:t>message</w:t>
      </w:r>
      <w:r w:rsidR="006C6F09">
        <w:t xml:space="preserve"> </w:t>
      </w:r>
      <w:r>
        <w:t>signs.</w:t>
      </w:r>
      <w:r w:rsidR="006C6F09">
        <w:t xml:space="preserve"> </w:t>
      </w:r>
      <w:r>
        <w:t>Strategies</w:t>
      </w:r>
      <w:r w:rsidR="006C6F09">
        <w:t xml:space="preserve"> </w:t>
      </w:r>
      <w:r>
        <w:t>to</w:t>
      </w:r>
      <w:r w:rsidR="006C6F09">
        <w:t xml:space="preserve"> </w:t>
      </w:r>
      <w:r>
        <w:t>address</w:t>
      </w:r>
      <w:r w:rsidR="006C6F09">
        <w:t xml:space="preserve"> </w:t>
      </w:r>
      <w:r>
        <w:t>LEP</w:t>
      </w:r>
      <w:r w:rsidR="006C6F09">
        <w:t xml:space="preserve"> </w:t>
      </w:r>
      <w:r>
        <w:t>populations</w:t>
      </w:r>
      <w:r w:rsidR="006C6F09">
        <w:t xml:space="preserve"> </w:t>
      </w:r>
      <w:r>
        <w:t>must</w:t>
      </w:r>
      <w:r w:rsidR="006C6F09">
        <w:t xml:space="preserve"> </w:t>
      </w:r>
      <w:r>
        <w:t>be</w:t>
      </w:r>
      <w:r w:rsidR="006C6F09">
        <w:t xml:space="preserve"> </w:t>
      </w:r>
      <w:r>
        <w:t>developed</w:t>
      </w:r>
      <w:r w:rsidR="006C6F09">
        <w:t xml:space="preserve"> </w:t>
      </w:r>
      <w:r>
        <w:t>and</w:t>
      </w:r>
      <w:r w:rsidR="006C6F09">
        <w:t xml:space="preserve"> </w:t>
      </w:r>
      <w:r>
        <w:t>implemented</w:t>
      </w:r>
      <w:r w:rsidR="006C6F09">
        <w:t xml:space="preserve"> </w:t>
      </w:r>
      <w:r>
        <w:t>where</w:t>
      </w:r>
      <w:r w:rsidR="006C6F09">
        <w:t xml:space="preserve"> </w:t>
      </w:r>
      <w:r>
        <w:t>populations</w:t>
      </w:r>
      <w:r w:rsidR="006C6F09">
        <w:t xml:space="preserve"> </w:t>
      </w:r>
      <w:r>
        <w:t>are</w:t>
      </w:r>
      <w:r w:rsidR="006C6F09">
        <w:t xml:space="preserve"> </w:t>
      </w:r>
      <w:r>
        <w:t>identified</w:t>
      </w:r>
      <w:r w:rsidR="006C6F09">
        <w:t xml:space="preserve"> </w:t>
      </w:r>
      <w:r>
        <w:t>in</w:t>
      </w:r>
      <w:r w:rsidR="006C6F09">
        <w:t xml:space="preserve"> </w:t>
      </w:r>
      <w:r>
        <w:t>the</w:t>
      </w:r>
      <w:r w:rsidR="006C6F09">
        <w:t xml:space="preserve"> </w:t>
      </w:r>
      <w:r>
        <w:t>project</w:t>
      </w:r>
      <w:r w:rsidR="006C6F09">
        <w:t xml:space="preserve"> </w:t>
      </w:r>
      <w:r>
        <w:t>area.</w:t>
      </w:r>
      <w:r w:rsidR="006C6F09">
        <w:t xml:space="preserve"> </w:t>
      </w:r>
      <w:r>
        <w:t>Project</w:t>
      </w:r>
      <w:r w:rsidR="006C6F09">
        <w:t xml:space="preserve"> </w:t>
      </w:r>
      <w:r>
        <w:t>sponsors</w:t>
      </w:r>
      <w:r w:rsidR="006C6F09">
        <w:t xml:space="preserve"> </w:t>
      </w:r>
      <w:r>
        <w:t>are</w:t>
      </w:r>
      <w:r w:rsidR="006C6F09">
        <w:t xml:space="preserve"> </w:t>
      </w:r>
      <w:r>
        <w:t>encouraged</w:t>
      </w:r>
      <w:r w:rsidR="006C6F09">
        <w:t xml:space="preserve"> </w:t>
      </w:r>
      <w:r>
        <w:t>to</w:t>
      </w:r>
      <w:r w:rsidR="006C6F09">
        <w:t xml:space="preserve"> </w:t>
      </w:r>
      <w:r>
        <w:t>work</w:t>
      </w:r>
      <w:r w:rsidR="006C6F09">
        <w:t xml:space="preserve"> </w:t>
      </w:r>
      <w:r>
        <w:t>with</w:t>
      </w:r>
      <w:r w:rsidR="006C6F09">
        <w:t xml:space="preserve"> </w:t>
      </w:r>
      <w:r>
        <w:t>TPP’s</w:t>
      </w:r>
      <w:r w:rsidR="006C6F09">
        <w:t xml:space="preserve"> </w:t>
      </w:r>
      <w:r>
        <w:t>PI</w:t>
      </w:r>
      <w:r w:rsidR="006C6F09">
        <w:t xml:space="preserve"> </w:t>
      </w:r>
      <w:r>
        <w:t>Section</w:t>
      </w:r>
      <w:r w:rsidR="006C6F09">
        <w:t xml:space="preserve"> </w:t>
      </w:r>
      <w:r>
        <w:t>in</w:t>
      </w:r>
      <w:r w:rsidR="006C6F09">
        <w:t xml:space="preserve"> </w:t>
      </w:r>
      <w:r>
        <w:t>identifying</w:t>
      </w:r>
      <w:r w:rsidR="006C6F09">
        <w:t xml:space="preserve"> </w:t>
      </w:r>
      <w:r>
        <w:t>additional</w:t>
      </w:r>
      <w:r w:rsidR="006C6F09">
        <w:t xml:space="preserve"> </w:t>
      </w:r>
      <w:r>
        <w:t>outreach</w:t>
      </w:r>
      <w:r w:rsidR="006C6F09">
        <w:t xml:space="preserve"> </w:t>
      </w:r>
      <w:r>
        <w:t>methods</w:t>
      </w:r>
      <w:r w:rsidR="006C6F09">
        <w:t xml:space="preserve"> </w:t>
      </w:r>
      <w:r>
        <w:t>(see</w:t>
      </w:r>
      <w:r w:rsidR="006C6F09">
        <w:t xml:space="preserve"> </w:t>
      </w:r>
      <w:r>
        <w:t>Section</w:t>
      </w:r>
      <w:r w:rsidR="006C6F09">
        <w:t xml:space="preserve"> </w:t>
      </w:r>
      <w:r w:rsidRPr="007F2709">
        <w:rPr>
          <w:i/>
          <w:iCs/>
          <w:u w:val="single"/>
        </w:rPr>
        <w:fldChar w:fldCharType="begin"/>
      </w:r>
      <w:r w:rsidRPr="007F2709">
        <w:rPr>
          <w:i/>
          <w:iCs/>
          <w:u w:val="single"/>
        </w:rPr>
        <w:instrText xml:space="preserve"> REF _Ref219790773 \h </w:instrText>
      </w:r>
      <w:r>
        <w:rPr>
          <w:i/>
          <w:iCs/>
          <w:u w:val="single"/>
        </w:rPr>
        <w:instrText xml:space="preserve"> \* MERGEFORMAT </w:instrText>
      </w:r>
      <w:r w:rsidRPr="007F2709">
        <w:rPr>
          <w:i/>
          <w:iCs/>
          <w:u w:val="single"/>
        </w:rPr>
      </w:r>
      <w:r w:rsidRPr="007F2709">
        <w:rPr>
          <w:i/>
          <w:iCs/>
          <w:u w:val="single"/>
        </w:rPr>
        <w:fldChar w:fldCharType="separate"/>
      </w:r>
      <w:r w:rsidRPr="007F2709">
        <w:rPr>
          <w:i/>
          <w:iCs/>
          <w:color w:val="0056A9"/>
          <w:u w:val="single"/>
        </w:rPr>
        <w:t>1.2.3</w:t>
      </w:r>
      <w:r w:rsidRPr="007F2709">
        <w:rPr>
          <w:i/>
          <w:iCs/>
          <w:u w:val="single"/>
        </w:rPr>
        <w:fldChar w:fldCharType="end"/>
      </w:r>
      <w:r w:rsidR="006C6F09">
        <w:t xml:space="preserve"> </w:t>
      </w:r>
      <w:r>
        <w:t>of</w:t>
      </w:r>
      <w:r w:rsidR="006C6F09">
        <w:t xml:space="preserve"> </w:t>
      </w:r>
      <w:r>
        <w:t>this</w:t>
      </w:r>
      <w:r w:rsidR="006C6F09">
        <w:t xml:space="preserve"> </w:t>
      </w:r>
      <w:r>
        <w:t>Handbook).</w:t>
      </w:r>
      <w:r w:rsidR="006C6F09">
        <w:t xml:space="preserve"> </w:t>
      </w:r>
      <w:r>
        <w:t>Notices</w:t>
      </w:r>
      <w:r w:rsidR="006C6F09">
        <w:t xml:space="preserve"> </w:t>
      </w:r>
      <w:r>
        <w:t>must</w:t>
      </w:r>
      <w:r w:rsidR="006C6F09">
        <w:t xml:space="preserve"> </w:t>
      </w:r>
      <w:r>
        <w:t>be</w:t>
      </w:r>
      <w:r w:rsidR="006C6F09">
        <w:t xml:space="preserve"> </w:t>
      </w:r>
      <w:r>
        <w:t>provided</w:t>
      </w:r>
      <w:r w:rsidR="006C6F09">
        <w:t xml:space="preserve"> </w:t>
      </w:r>
      <w:r>
        <w:t>in</w:t>
      </w:r>
      <w:r w:rsidR="006C6F09">
        <w:t xml:space="preserve"> </w:t>
      </w:r>
      <w:r>
        <w:t>English</w:t>
      </w:r>
      <w:r w:rsidR="006C6F09">
        <w:t xml:space="preserve"> </w:t>
      </w:r>
      <w:r>
        <w:t>and</w:t>
      </w:r>
      <w:r w:rsidR="006C6F09">
        <w:t xml:space="preserve"> </w:t>
      </w:r>
      <w:r>
        <w:t>any</w:t>
      </w:r>
      <w:r w:rsidR="006C6F09">
        <w:t xml:space="preserve"> </w:t>
      </w:r>
      <w:r>
        <w:t>other</w:t>
      </w:r>
      <w:r w:rsidR="006C6F09">
        <w:t xml:space="preserve"> </w:t>
      </w:r>
      <w:r>
        <w:t>language</w:t>
      </w:r>
      <w:r w:rsidR="006C6F09">
        <w:t xml:space="preserve"> </w:t>
      </w:r>
      <w:r>
        <w:t>identified</w:t>
      </w:r>
      <w:r w:rsidR="006C6F09">
        <w:t xml:space="preserve"> </w:t>
      </w:r>
      <w:r>
        <w:t>as</w:t>
      </w:r>
      <w:r w:rsidR="006C6F09">
        <w:t xml:space="preserve"> </w:t>
      </w:r>
      <w:r>
        <w:t>commonly</w:t>
      </w:r>
      <w:r w:rsidR="006C6F09">
        <w:t xml:space="preserve"> </w:t>
      </w:r>
      <w:r>
        <w:t>spoken</w:t>
      </w:r>
      <w:r w:rsidR="006C6F09">
        <w:t xml:space="preserve"> </w:t>
      </w:r>
      <w:r>
        <w:t>in</w:t>
      </w:r>
      <w:r w:rsidR="006C6F09">
        <w:t xml:space="preserve"> </w:t>
      </w:r>
      <w:r>
        <w:t>the</w:t>
      </w:r>
      <w:r w:rsidR="006C6F09">
        <w:t xml:space="preserve"> </w:t>
      </w:r>
      <w:r>
        <w:t>project</w:t>
      </w:r>
      <w:r w:rsidR="006C6F09">
        <w:t xml:space="preserve"> </w:t>
      </w:r>
      <w:r>
        <w:t>area.</w:t>
      </w:r>
      <w:r w:rsidR="006C6F09">
        <w:t xml:space="preserve"> </w:t>
      </w:r>
      <w:r>
        <w:t>TPP’s</w:t>
      </w:r>
      <w:r w:rsidR="006C6F09">
        <w:t xml:space="preserve"> </w:t>
      </w:r>
      <w:r>
        <w:t>PI</w:t>
      </w:r>
      <w:r w:rsidR="006C6F09">
        <w:t xml:space="preserve"> </w:t>
      </w:r>
      <w:r>
        <w:t>Section</w:t>
      </w:r>
      <w:r w:rsidR="006C6F09">
        <w:t xml:space="preserve"> </w:t>
      </w:r>
      <w:r>
        <w:t>is</w:t>
      </w:r>
      <w:r w:rsidR="006C6F09">
        <w:t xml:space="preserve"> </w:t>
      </w:r>
      <w:r>
        <w:t>available</w:t>
      </w:r>
      <w:r w:rsidR="006C6F09">
        <w:t xml:space="preserve"> </w:t>
      </w:r>
      <w:r>
        <w:t>to</w:t>
      </w:r>
      <w:r w:rsidR="006C6F09">
        <w:t xml:space="preserve"> </w:t>
      </w:r>
      <w:r>
        <w:t>assist</w:t>
      </w:r>
      <w:r w:rsidR="006C6F09">
        <w:t xml:space="preserve"> </w:t>
      </w:r>
      <w:r>
        <w:t>with</w:t>
      </w:r>
      <w:r w:rsidR="006C6F09">
        <w:t xml:space="preserve"> </w:t>
      </w:r>
      <w:r>
        <w:t>this</w:t>
      </w:r>
      <w:r w:rsidR="006C6F09">
        <w:t xml:space="preserve"> </w:t>
      </w:r>
      <w:r>
        <w:t>requirement.</w:t>
      </w:r>
    </w:p>
    <w:p w14:paraId="0CBDA253" w14:textId="66512F66" w:rsidR="00457754" w:rsidRDefault="00457754" w:rsidP="00457754">
      <w:r>
        <w:t>The</w:t>
      </w:r>
      <w:r w:rsidR="006C6F09">
        <w:t xml:space="preserve"> </w:t>
      </w:r>
      <w:r>
        <w:t>project</w:t>
      </w:r>
      <w:r w:rsidR="006C6F09">
        <w:t xml:space="preserve"> </w:t>
      </w:r>
      <w:r>
        <w:t>sponsor</w:t>
      </w:r>
      <w:r w:rsidR="006C6F09">
        <w:t xml:space="preserve"> </w:t>
      </w:r>
      <w:r>
        <w:t>must</w:t>
      </w:r>
      <w:r w:rsidR="006C6F09">
        <w:t xml:space="preserve"> </w:t>
      </w:r>
      <w:r>
        <w:t>mail</w:t>
      </w:r>
      <w:r w:rsidR="006C6F09">
        <w:t xml:space="preserve"> </w:t>
      </w:r>
      <w:r>
        <w:t>(non-certified)</w:t>
      </w:r>
      <w:r w:rsidR="006C6F09">
        <w:t xml:space="preserve"> </w:t>
      </w:r>
      <w:r>
        <w:t>or</w:t>
      </w:r>
      <w:r w:rsidR="006C6F09">
        <w:t xml:space="preserve"> </w:t>
      </w:r>
      <w:r>
        <w:t>email</w:t>
      </w:r>
      <w:r w:rsidR="006C6F09">
        <w:t xml:space="preserve"> </w:t>
      </w:r>
      <w:r>
        <w:t>notice</w:t>
      </w:r>
      <w:r w:rsidR="006C6F09">
        <w:t xml:space="preserve"> </w:t>
      </w:r>
      <w:r>
        <w:t>of</w:t>
      </w:r>
      <w:r w:rsidR="006C6F09">
        <w:t xml:space="preserve"> </w:t>
      </w:r>
      <w:r>
        <w:t>the</w:t>
      </w:r>
      <w:r w:rsidR="006C6F09">
        <w:t xml:space="preserve"> </w:t>
      </w:r>
      <w:r>
        <w:t>public</w:t>
      </w:r>
      <w:r w:rsidR="006C6F09">
        <w:t xml:space="preserve"> </w:t>
      </w:r>
      <w:r>
        <w:t>hearing</w:t>
      </w:r>
      <w:r w:rsidR="006C6F09">
        <w:t xml:space="preserve"> </w:t>
      </w:r>
      <w:r>
        <w:t>to</w:t>
      </w:r>
      <w:r w:rsidR="006C6F09">
        <w:t xml:space="preserve"> </w:t>
      </w:r>
      <w:r>
        <w:t>landowners</w:t>
      </w:r>
      <w:r w:rsidR="006C6F09">
        <w:t xml:space="preserve"> </w:t>
      </w:r>
      <w:r>
        <w:t>abutting</w:t>
      </w:r>
      <w:r w:rsidR="006C6F09">
        <w:t xml:space="preserve"> </w:t>
      </w:r>
      <w:r>
        <w:t>the</w:t>
      </w:r>
      <w:r w:rsidR="006C6F09">
        <w:t xml:space="preserve"> </w:t>
      </w:r>
      <w:r>
        <w:t>roadway</w:t>
      </w:r>
      <w:r w:rsidR="006C6F09">
        <w:t xml:space="preserve"> </w:t>
      </w:r>
      <w:r>
        <w:t>within</w:t>
      </w:r>
      <w:r w:rsidR="006C6F09">
        <w:t xml:space="preserve"> </w:t>
      </w:r>
      <w:r>
        <w:t>the</w:t>
      </w:r>
      <w:r w:rsidR="006C6F09">
        <w:t xml:space="preserve"> </w:t>
      </w:r>
      <w:r>
        <w:t>proposed</w:t>
      </w:r>
      <w:r w:rsidR="006C6F09">
        <w:t xml:space="preserve"> </w:t>
      </w:r>
      <w:r>
        <w:t>project</w:t>
      </w:r>
      <w:r w:rsidR="006C6F09">
        <w:t xml:space="preserve"> </w:t>
      </w:r>
      <w:r>
        <w:t>limits,</w:t>
      </w:r>
      <w:r w:rsidR="006C6F09">
        <w:t xml:space="preserve"> </w:t>
      </w:r>
      <w:r>
        <w:t>as</w:t>
      </w:r>
      <w:r w:rsidR="006C6F09">
        <w:t xml:space="preserve"> </w:t>
      </w:r>
      <w:r>
        <w:t>identified</w:t>
      </w:r>
      <w:r w:rsidR="006C6F09">
        <w:t xml:space="preserve"> </w:t>
      </w:r>
      <w:r>
        <w:t>by</w:t>
      </w:r>
      <w:r w:rsidR="006C6F09">
        <w:t xml:space="preserve"> </w:t>
      </w:r>
      <w:r>
        <w:t>tax</w:t>
      </w:r>
      <w:r w:rsidR="006C6F09">
        <w:t xml:space="preserve"> </w:t>
      </w:r>
      <w:r>
        <w:t>rolls</w:t>
      </w:r>
      <w:r w:rsidR="006C6F09">
        <w:t xml:space="preserve"> </w:t>
      </w:r>
      <w:r>
        <w:t>or</w:t>
      </w:r>
      <w:r w:rsidR="006C6F09">
        <w:t xml:space="preserve"> </w:t>
      </w:r>
      <w:r>
        <w:t>other</w:t>
      </w:r>
      <w:r w:rsidR="006C6F09">
        <w:t xml:space="preserve"> </w:t>
      </w:r>
      <w:r>
        <w:t>reliable</w:t>
      </w:r>
      <w:r w:rsidR="006C6F09">
        <w:t xml:space="preserve"> </w:t>
      </w:r>
      <w:r>
        <w:t>land</w:t>
      </w:r>
      <w:r w:rsidR="006C6F09">
        <w:t xml:space="preserve"> </w:t>
      </w:r>
      <w:r>
        <w:t>ownership</w:t>
      </w:r>
      <w:r w:rsidR="006C6F09">
        <w:t xml:space="preserve"> </w:t>
      </w:r>
      <w:r>
        <w:t>records;</w:t>
      </w:r>
      <w:r w:rsidR="006C6F09">
        <w:t xml:space="preserve"> </w:t>
      </w:r>
      <w:r>
        <w:t>affected</w:t>
      </w:r>
      <w:r w:rsidR="006C6F09">
        <w:t xml:space="preserve"> </w:t>
      </w:r>
      <w:r>
        <w:t>local</w:t>
      </w:r>
      <w:r w:rsidR="006C6F09">
        <w:t xml:space="preserve"> </w:t>
      </w:r>
      <w:r>
        <w:t>governments</w:t>
      </w:r>
      <w:r w:rsidR="006C6F09">
        <w:t xml:space="preserve"> </w:t>
      </w:r>
      <w:r>
        <w:t>and</w:t>
      </w:r>
      <w:r w:rsidR="006C6F09">
        <w:t xml:space="preserve"> </w:t>
      </w:r>
      <w:r>
        <w:t>public</w:t>
      </w:r>
      <w:r w:rsidR="006C6F09">
        <w:t xml:space="preserve"> </w:t>
      </w:r>
      <w:r>
        <w:t>officials;</w:t>
      </w:r>
      <w:r w:rsidR="006C6F09">
        <w:t xml:space="preserve"> </w:t>
      </w:r>
      <w:r>
        <w:t>and</w:t>
      </w:r>
      <w:r w:rsidR="006C6F09">
        <w:t xml:space="preserve"> </w:t>
      </w:r>
      <w:r>
        <w:t>to</w:t>
      </w:r>
      <w:r w:rsidR="006C6F09">
        <w:t xml:space="preserve"> </w:t>
      </w:r>
      <w:r>
        <w:t>any</w:t>
      </w:r>
      <w:r w:rsidR="006C6F09">
        <w:t xml:space="preserve"> </w:t>
      </w:r>
      <w:r>
        <w:t>public</w:t>
      </w:r>
      <w:r w:rsidR="006C6F09">
        <w:t xml:space="preserve"> </w:t>
      </w:r>
      <w:r>
        <w:t>official,</w:t>
      </w:r>
      <w:r w:rsidR="006C6F09">
        <w:t xml:space="preserve"> </w:t>
      </w:r>
      <w:r>
        <w:t>individual,</w:t>
      </w:r>
      <w:r w:rsidR="006C6F09">
        <w:t xml:space="preserve"> </w:t>
      </w:r>
      <w:r>
        <w:t>or</w:t>
      </w:r>
      <w:r w:rsidR="006C6F09">
        <w:t xml:space="preserve"> </w:t>
      </w:r>
      <w:r>
        <w:t>affected</w:t>
      </w:r>
      <w:r w:rsidR="006C6F09">
        <w:t xml:space="preserve"> </w:t>
      </w:r>
      <w:r>
        <w:t>interest</w:t>
      </w:r>
      <w:r w:rsidR="006C6F09">
        <w:t xml:space="preserve"> </w:t>
      </w:r>
      <w:r>
        <w:t>group</w:t>
      </w:r>
      <w:r w:rsidR="006C6F09">
        <w:t xml:space="preserve"> </w:t>
      </w:r>
      <w:r>
        <w:t>that</w:t>
      </w:r>
      <w:r w:rsidR="006C6F09">
        <w:t xml:space="preserve"> </w:t>
      </w:r>
      <w:r>
        <w:t>has</w:t>
      </w:r>
      <w:r w:rsidR="006C6F09">
        <w:t xml:space="preserve"> </w:t>
      </w:r>
      <w:r>
        <w:t>expressed</w:t>
      </w:r>
      <w:r w:rsidR="006C6F09">
        <w:t xml:space="preserve"> </w:t>
      </w:r>
      <w:r>
        <w:t>interest</w:t>
      </w:r>
      <w:r w:rsidR="006C6F09">
        <w:t xml:space="preserve"> </w:t>
      </w:r>
      <w:r>
        <w:t>in</w:t>
      </w:r>
      <w:r w:rsidR="006C6F09">
        <w:t xml:space="preserve"> </w:t>
      </w:r>
      <w:r>
        <w:t>the</w:t>
      </w:r>
      <w:r w:rsidR="006C6F09">
        <w:t xml:space="preserve"> </w:t>
      </w:r>
      <w:r>
        <w:t>project,</w:t>
      </w:r>
      <w:r w:rsidR="006C6F09">
        <w:t xml:space="preserve"> </w:t>
      </w:r>
      <w:r>
        <w:t>including</w:t>
      </w:r>
      <w:r w:rsidR="006C6F09">
        <w:t xml:space="preserve"> </w:t>
      </w:r>
      <w:r>
        <w:t>any</w:t>
      </w:r>
      <w:r w:rsidR="006C6F09">
        <w:t xml:space="preserve"> </w:t>
      </w:r>
      <w:r>
        <w:t>Section</w:t>
      </w:r>
      <w:r w:rsidR="006C6F09">
        <w:t xml:space="preserve"> </w:t>
      </w:r>
      <w:r>
        <w:t>106</w:t>
      </w:r>
      <w:r w:rsidR="006C6F09">
        <w:t xml:space="preserve"> </w:t>
      </w:r>
      <w:r>
        <w:t>consulting</w:t>
      </w:r>
      <w:r w:rsidR="006C6F09">
        <w:t xml:space="preserve"> </w:t>
      </w:r>
      <w:r>
        <w:t>parties.</w:t>
      </w:r>
      <w:r w:rsidR="006C6F09">
        <w:t xml:space="preserve"> </w:t>
      </w:r>
      <w:r>
        <w:t>Mailing</w:t>
      </w:r>
      <w:r w:rsidR="006C6F09">
        <w:t xml:space="preserve"> </w:t>
      </w:r>
      <w:r>
        <w:t>the</w:t>
      </w:r>
      <w:r w:rsidR="006C6F09">
        <w:t xml:space="preserve"> </w:t>
      </w:r>
      <w:r>
        <w:t>notice</w:t>
      </w:r>
      <w:r w:rsidR="006C6F09">
        <w:t xml:space="preserve"> </w:t>
      </w:r>
      <w:r>
        <w:t>to</w:t>
      </w:r>
      <w:r w:rsidR="006C6F09">
        <w:t xml:space="preserve"> </w:t>
      </w:r>
      <w:r>
        <w:lastRenderedPageBreak/>
        <w:t>the</w:t>
      </w:r>
      <w:r w:rsidR="006C6F09">
        <w:t xml:space="preserve"> </w:t>
      </w:r>
      <w:r>
        <w:t>address</w:t>
      </w:r>
      <w:r w:rsidR="006C6F09">
        <w:t xml:space="preserve"> </w:t>
      </w:r>
      <w:r>
        <w:t>listed</w:t>
      </w:r>
      <w:r w:rsidR="006C6F09">
        <w:t xml:space="preserve"> </w:t>
      </w:r>
      <w:r>
        <w:t>for</w:t>
      </w:r>
      <w:r w:rsidR="006C6F09">
        <w:t xml:space="preserve"> </w:t>
      </w:r>
      <w:r>
        <w:t>the</w:t>
      </w:r>
      <w:r w:rsidR="006C6F09">
        <w:t xml:space="preserve"> </w:t>
      </w:r>
      <w:r>
        <w:t>property</w:t>
      </w:r>
      <w:r w:rsidR="006C6F09">
        <w:t xml:space="preserve"> </w:t>
      </w:r>
      <w:r>
        <w:t>owner</w:t>
      </w:r>
      <w:r w:rsidR="006C6F09">
        <w:t xml:space="preserve"> </w:t>
      </w:r>
      <w:r>
        <w:t>in</w:t>
      </w:r>
      <w:r w:rsidR="006C6F09">
        <w:t xml:space="preserve"> </w:t>
      </w:r>
      <w:r>
        <w:t>county</w:t>
      </w:r>
      <w:r w:rsidR="006C6F09">
        <w:t xml:space="preserve"> </w:t>
      </w:r>
      <w:r>
        <w:t>or</w:t>
      </w:r>
      <w:r w:rsidR="006C6F09">
        <w:t xml:space="preserve"> </w:t>
      </w:r>
      <w:r>
        <w:t>city</w:t>
      </w:r>
      <w:r w:rsidR="006C6F09">
        <w:t xml:space="preserve"> </w:t>
      </w:r>
      <w:r>
        <w:t>records</w:t>
      </w:r>
      <w:r w:rsidR="006C6F09">
        <w:t xml:space="preserve"> </w:t>
      </w:r>
      <w:r>
        <w:t>is</w:t>
      </w:r>
      <w:r w:rsidR="006C6F09">
        <w:t xml:space="preserve"> </w:t>
      </w:r>
      <w:r>
        <w:t>sufficient.</w:t>
      </w:r>
      <w:r w:rsidR="006C6F09">
        <w:t xml:space="preserve"> </w:t>
      </w:r>
      <w:r>
        <w:t>If</w:t>
      </w:r>
      <w:r w:rsidR="006C6F09">
        <w:t xml:space="preserve"> </w:t>
      </w:r>
      <w:r>
        <w:t>email</w:t>
      </w:r>
      <w:r w:rsidR="006C6F09">
        <w:t xml:space="preserve"> </w:t>
      </w:r>
      <w:r>
        <w:t>is</w:t>
      </w:r>
      <w:r w:rsidR="006C6F09">
        <w:t xml:space="preserve"> </w:t>
      </w:r>
      <w:r>
        <w:t>used,</w:t>
      </w:r>
      <w:r w:rsidR="006C6F09">
        <w:t xml:space="preserve"> </w:t>
      </w:r>
      <w:r>
        <w:t>make</w:t>
      </w:r>
      <w:r w:rsidR="006C6F09">
        <w:t xml:space="preserve"> </w:t>
      </w:r>
      <w:r>
        <w:t>sure</w:t>
      </w:r>
      <w:r w:rsidR="006C6F09">
        <w:t xml:space="preserve"> </w:t>
      </w:r>
      <w:r>
        <w:t>that</w:t>
      </w:r>
      <w:r w:rsidR="006C6F09">
        <w:t xml:space="preserve"> </w:t>
      </w:r>
      <w:r>
        <w:t>recipients</w:t>
      </w:r>
      <w:r w:rsidR="006C6F09">
        <w:t xml:space="preserve"> </w:t>
      </w:r>
      <w:r>
        <w:t>cannot</w:t>
      </w:r>
      <w:r w:rsidR="006C6F09">
        <w:t xml:space="preserve"> </w:t>
      </w:r>
      <w:r>
        <w:t>view</w:t>
      </w:r>
      <w:r w:rsidR="006C6F09">
        <w:t xml:space="preserve"> </w:t>
      </w:r>
      <w:r>
        <w:t>other</w:t>
      </w:r>
      <w:r w:rsidR="006C6F09">
        <w:t xml:space="preserve"> </w:t>
      </w:r>
      <w:r>
        <w:t>recipients’</w:t>
      </w:r>
      <w:r w:rsidR="006C6F09">
        <w:t xml:space="preserve"> </w:t>
      </w:r>
      <w:r>
        <w:t>email</w:t>
      </w:r>
      <w:r w:rsidR="006C6F09">
        <w:t xml:space="preserve"> </w:t>
      </w:r>
      <w:r>
        <w:t>addresses,</w:t>
      </w:r>
      <w:r w:rsidR="006C6F09">
        <w:t xml:space="preserve"> </w:t>
      </w:r>
      <w:r>
        <w:t>as</w:t>
      </w:r>
      <w:r w:rsidR="006C6F09">
        <w:t xml:space="preserve"> </w:t>
      </w:r>
      <w:r>
        <w:t>email</w:t>
      </w:r>
      <w:r w:rsidR="006C6F09">
        <w:t xml:space="preserve"> </w:t>
      </w:r>
      <w:r>
        <w:t>addresses</w:t>
      </w:r>
      <w:r w:rsidR="006C6F09">
        <w:t xml:space="preserve"> </w:t>
      </w:r>
      <w:r>
        <w:t>of</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must</w:t>
      </w:r>
      <w:r w:rsidR="006C6F09">
        <w:t xml:space="preserve"> </w:t>
      </w:r>
      <w:r>
        <w:t>be</w:t>
      </w:r>
      <w:r w:rsidR="006C6F09">
        <w:t xml:space="preserve"> </w:t>
      </w:r>
      <w:r>
        <w:t>withheld</w:t>
      </w:r>
      <w:r w:rsidR="006C6F09">
        <w:t xml:space="preserve"> </w:t>
      </w:r>
      <w:r>
        <w:t>from</w:t>
      </w:r>
      <w:r w:rsidR="006C6F09">
        <w:t xml:space="preserve"> </w:t>
      </w:r>
      <w:r>
        <w:t>public</w:t>
      </w:r>
      <w:r w:rsidR="006C6F09">
        <w:t xml:space="preserve"> </w:t>
      </w:r>
      <w:r>
        <w:t>disclosure</w:t>
      </w:r>
      <w:r w:rsidR="006C6F09">
        <w:t xml:space="preserve"> </w:t>
      </w:r>
      <w:r>
        <w:t>in</w:t>
      </w:r>
      <w:r w:rsidR="006C6F09">
        <w:t xml:space="preserve"> </w:t>
      </w:r>
      <w:r>
        <w:t>accordance</w:t>
      </w:r>
      <w:r w:rsidR="006C6F09">
        <w:t xml:space="preserve"> </w:t>
      </w:r>
      <w:r>
        <w:t>with</w:t>
      </w:r>
      <w:r w:rsidR="006C6F09">
        <w:t xml:space="preserve"> </w:t>
      </w:r>
      <w:hyperlink r:id="rId55" w:history="1">
        <w:r w:rsidRPr="001E30A8">
          <w:rPr>
            <w:rStyle w:val="Hyperlink"/>
          </w:rPr>
          <w:t>Texas</w:t>
        </w:r>
        <w:r w:rsidR="006C6F09">
          <w:rPr>
            <w:rStyle w:val="Hyperlink"/>
          </w:rPr>
          <w:t xml:space="preserve"> </w:t>
        </w:r>
        <w:r w:rsidRPr="001E30A8">
          <w:rPr>
            <w:rStyle w:val="Hyperlink"/>
          </w:rPr>
          <w:t>Government</w:t>
        </w:r>
        <w:r w:rsidR="006C6F09">
          <w:rPr>
            <w:rStyle w:val="Hyperlink"/>
          </w:rPr>
          <w:t xml:space="preserve"> </w:t>
        </w:r>
        <w:r w:rsidRPr="001E30A8">
          <w:rPr>
            <w:rStyle w:val="Hyperlink"/>
          </w:rPr>
          <w:t>Code</w:t>
        </w:r>
        <w:r w:rsidR="006C6F09">
          <w:rPr>
            <w:rStyle w:val="Hyperlink"/>
          </w:rPr>
          <w:t xml:space="preserve"> </w:t>
        </w:r>
        <w:r w:rsidRPr="001E30A8">
          <w:rPr>
            <w:rStyle w:val="Hyperlink"/>
          </w:rPr>
          <w:t>552.137(a)</w:t>
        </w:r>
      </w:hyperlink>
      <w:r w:rsidRPr="001E30A8">
        <w:t>.</w:t>
      </w:r>
    </w:p>
    <w:p w14:paraId="62090CB0" w14:textId="1F7B246E" w:rsidR="00457754" w:rsidRDefault="00457754" w:rsidP="00457754">
      <w:r>
        <w:t>In</w:t>
      </w:r>
      <w:r w:rsidR="006C6F09">
        <w:t xml:space="preserve"> </w:t>
      </w:r>
      <w:r>
        <w:t>addition,</w:t>
      </w:r>
      <w:r w:rsidR="006C6F09">
        <w:t xml:space="preserve"> </w:t>
      </w:r>
      <w:r>
        <w:t>the</w:t>
      </w:r>
      <w:r w:rsidR="006C6F09">
        <w:t xml:space="preserve"> </w:t>
      </w:r>
      <w:r>
        <w:t>public</w:t>
      </w:r>
      <w:r w:rsidR="006C6F09">
        <w:t xml:space="preserve"> </w:t>
      </w:r>
      <w:r>
        <w:t>hearing</w:t>
      </w:r>
      <w:r w:rsidR="006C6F09">
        <w:t xml:space="preserve"> </w:t>
      </w:r>
      <w:r>
        <w:t>notice</w:t>
      </w:r>
      <w:r w:rsidR="006C6F09">
        <w:t xml:space="preserve"> </w:t>
      </w:r>
      <w:r>
        <w:t>must</w:t>
      </w:r>
      <w:r w:rsidR="006C6F09">
        <w:t xml:space="preserve"> </w:t>
      </w:r>
      <w:r>
        <w:t>also</w:t>
      </w:r>
      <w:r w:rsidR="006C6F09">
        <w:t xml:space="preserve"> </w:t>
      </w:r>
      <w:r>
        <w:t>be</w:t>
      </w:r>
      <w:r w:rsidR="006C6F09">
        <w:t xml:space="preserve"> </w:t>
      </w:r>
      <w:r>
        <w:t>posted</w:t>
      </w:r>
      <w:r w:rsidR="006C6F09">
        <w:t xml:space="preserve"> </w:t>
      </w:r>
      <w:r>
        <w:t>on</w:t>
      </w:r>
      <w:r w:rsidR="006C6F09">
        <w:t xml:space="preserve"> </w:t>
      </w:r>
      <w:r>
        <w:t>the</w:t>
      </w:r>
      <w:r w:rsidR="006C6F09">
        <w:t xml:space="preserve"> </w:t>
      </w:r>
      <w:r>
        <w:t>“Hearings,</w:t>
      </w:r>
      <w:r w:rsidR="006C6F09">
        <w:t xml:space="preserve"> </w:t>
      </w:r>
      <w:r>
        <w:t>meetings</w:t>
      </w:r>
      <w:r w:rsidR="006C6F09">
        <w:t xml:space="preserve"> </w:t>
      </w:r>
      <w:r>
        <w:t>and</w:t>
      </w:r>
      <w:r w:rsidR="006C6F09">
        <w:t xml:space="preserve"> </w:t>
      </w:r>
      <w:r>
        <w:t>notices</w:t>
      </w:r>
      <w:r w:rsidR="006C6F09">
        <w:t xml:space="preserve"> </w:t>
      </w:r>
      <w:r>
        <w:t>schedule”</w:t>
      </w:r>
      <w:r w:rsidR="006C6F09">
        <w:t xml:space="preserve"> </w:t>
      </w:r>
      <w:r>
        <w:t>web</w:t>
      </w:r>
      <w:r w:rsidR="006C6F09">
        <w:t xml:space="preserve"> </w:t>
      </w:r>
      <w:r>
        <w:t>page</w:t>
      </w:r>
      <w:r w:rsidR="006C6F09">
        <w:t xml:space="preserve"> </w:t>
      </w:r>
      <w:r>
        <w:t>on</w:t>
      </w:r>
      <w:r w:rsidR="006C6F09">
        <w:t xml:space="preserve"> </w:t>
      </w:r>
      <w:r>
        <w:t>txdot.gov.</w:t>
      </w:r>
    </w:p>
    <w:p w14:paraId="1038A12B" w14:textId="706770B7" w:rsidR="00457754" w:rsidRDefault="00457754" w:rsidP="00457754">
      <w:r>
        <w:t>The</w:t>
      </w:r>
      <w:r w:rsidR="006C6F09">
        <w:t xml:space="preserve"> </w:t>
      </w:r>
      <w:r>
        <w:t>public</w:t>
      </w:r>
      <w:r w:rsidR="006C6F09">
        <w:t xml:space="preserve"> </w:t>
      </w:r>
      <w:r>
        <w:t>hearing</w:t>
      </w:r>
      <w:r w:rsidR="006C6F09">
        <w:t xml:space="preserve"> </w:t>
      </w:r>
      <w:r>
        <w:t>notice</w:t>
      </w:r>
      <w:r w:rsidR="006C6F09">
        <w:t xml:space="preserve"> </w:t>
      </w:r>
      <w:r>
        <w:t>must</w:t>
      </w:r>
      <w:r w:rsidR="006C6F09">
        <w:t xml:space="preserve"> </w:t>
      </w:r>
      <w:r>
        <w:t>be</w:t>
      </w:r>
      <w:r w:rsidR="006C6F09">
        <w:t xml:space="preserve"> </w:t>
      </w:r>
      <w:r>
        <w:t>provided</w:t>
      </w:r>
      <w:r w:rsidR="006C6F09">
        <w:t xml:space="preserve"> </w:t>
      </w:r>
      <w:r>
        <w:t>and</w:t>
      </w:r>
      <w:r w:rsidR="006C6F09">
        <w:t xml:space="preserve"> </w:t>
      </w:r>
      <w:r>
        <w:t>published</w:t>
      </w:r>
      <w:r w:rsidR="006C6F09">
        <w:t xml:space="preserve"> </w:t>
      </w:r>
      <w:r>
        <w:t>as</w:t>
      </w:r>
      <w:r w:rsidR="006C6F09">
        <w:t xml:space="preserve"> </w:t>
      </w:r>
      <w:r>
        <w:t>described</w:t>
      </w:r>
      <w:r w:rsidR="006C6F09">
        <w:t xml:space="preserve"> </w:t>
      </w:r>
      <w:r>
        <w:t>above</w:t>
      </w:r>
      <w:r w:rsidR="006C6F09">
        <w:t xml:space="preserve"> </w:t>
      </w:r>
      <w:r>
        <w:t>at</w:t>
      </w:r>
      <w:r w:rsidR="006C6F09">
        <w:t xml:space="preserve"> </w:t>
      </w:r>
      <w:r>
        <w:t>least</w:t>
      </w:r>
      <w:r w:rsidR="006C6F09">
        <w:t xml:space="preserve"> </w:t>
      </w:r>
      <w:r>
        <w:t>15</w:t>
      </w:r>
      <w:r w:rsidR="006C6F09">
        <w:t xml:space="preserve"> </w:t>
      </w:r>
      <w:r>
        <w:t>calendar</w:t>
      </w:r>
      <w:r w:rsidR="006C6F09">
        <w:t xml:space="preserve"> </w:t>
      </w:r>
      <w:r>
        <w:t>days</w:t>
      </w:r>
      <w:r w:rsidR="006C6F09">
        <w:t xml:space="preserve"> </w:t>
      </w:r>
      <w:r>
        <w:t>before</w:t>
      </w:r>
      <w:r w:rsidR="006C6F09">
        <w:t xml:space="preserve"> </w:t>
      </w:r>
      <w:r>
        <w:t>the</w:t>
      </w:r>
      <w:r w:rsidR="006C6F09">
        <w:t xml:space="preserve"> </w:t>
      </w:r>
      <w:r>
        <w:t>public</w:t>
      </w:r>
      <w:r w:rsidR="006C6F09">
        <w:t xml:space="preserve"> </w:t>
      </w:r>
      <w:r>
        <w:t>hearing.</w:t>
      </w:r>
      <w:r w:rsidR="006C6F09">
        <w:t xml:space="preserve"> </w:t>
      </w:r>
      <w:r>
        <w:t>If</w:t>
      </w:r>
      <w:r w:rsidR="006C6F09">
        <w:t xml:space="preserve"> </w:t>
      </w:r>
      <w:r>
        <w:t>the</w:t>
      </w:r>
      <w:r w:rsidR="006C6F09">
        <w:t xml:space="preserve"> </w:t>
      </w:r>
      <w:r>
        <w:t>notice</w:t>
      </w:r>
      <w:r w:rsidR="006C6F09">
        <w:t xml:space="preserve"> </w:t>
      </w:r>
      <w:r>
        <w:t>is</w:t>
      </w:r>
      <w:r w:rsidR="006C6F09">
        <w:t xml:space="preserve"> </w:t>
      </w:r>
      <w:r>
        <w:t>sent</w:t>
      </w:r>
      <w:r w:rsidR="006C6F09">
        <w:t xml:space="preserve"> </w:t>
      </w:r>
      <w:r>
        <w:t>by</w:t>
      </w:r>
      <w:r w:rsidR="006C6F09">
        <w:t xml:space="preserve"> </w:t>
      </w:r>
      <w:r>
        <w:t>mail,</w:t>
      </w:r>
      <w:r w:rsidR="006C6F09">
        <w:t xml:space="preserve"> </w:t>
      </w:r>
      <w:r>
        <w:t>it</w:t>
      </w:r>
      <w:r w:rsidR="006C6F09">
        <w:t xml:space="preserve"> </w:t>
      </w:r>
      <w:proofErr w:type="gramStart"/>
      <w:r>
        <w:t>is</w:t>
      </w:r>
      <w:r w:rsidR="006C6F09">
        <w:t xml:space="preserve"> </w:t>
      </w:r>
      <w:r>
        <w:t>considered</w:t>
      </w:r>
      <w:r w:rsidR="006C6F09">
        <w:t xml:space="preserve"> </w:t>
      </w:r>
      <w:r>
        <w:t>to</w:t>
      </w:r>
      <w:r w:rsidR="006C6F09">
        <w:t xml:space="preserve"> </w:t>
      </w:r>
      <w:r>
        <w:t>be</w:t>
      </w:r>
      <w:proofErr w:type="gramEnd"/>
      <w:r w:rsidR="006C6F09">
        <w:t xml:space="preserve"> </w:t>
      </w:r>
      <w:r>
        <w:t>provided</w:t>
      </w:r>
      <w:r w:rsidR="006C6F09">
        <w:t xml:space="preserve"> </w:t>
      </w:r>
      <w:r>
        <w:t>on</w:t>
      </w:r>
      <w:r w:rsidR="006C6F09">
        <w:t xml:space="preserve"> </w:t>
      </w:r>
      <w:r>
        <w:t>the</w:t>
      </w:r>
      <w:r w:rsidR="006C6F09">
        <w:t xml:space="preserve"> </w:t>
      </w:r>
      <w:r>
        <w:t>third</w:t>
      </w:r>
      <w:r w:rsidR="006C6F09">
        <w:t xml:space="preserve"> </w:t>
      </w:r>
      <w:r>
        <w:t>day</w:t>
      </w:r>
      <w:r w:rsidR="006C6F09">
        <w:t xml:space="preserve"> </w:t>
      </w:r>
      <w:r>
        <w:t>after</w:t>
      </w:r>
      <w:r w:rsidR="006C6F09">
        <w:t xml:space="preserve"> </w:t>
      </w:r>
      <w:r>
        <w:t>the</w:t>
      </w:r>
      <w:r w:rsidR="006C6F09">
        <w:t xml:space="preserve"> </w:t>
      </w:r>
      <w:r>
        <w:t>date</w:t>
      </w:r>
      <w:r w:rsidR="006C6F09">
        <w:t xml:space="preserve"> </w:t>
      </w:r>
      <w:r>
        <w:t>of</w:t>
      </w:r>
      <w:r w:rsidR="006C6F09">
        <w:t xml:space="preserve"> </w:t>
      </w:r>
      <w:r>
        <w:t>mailing.</w:t>
      </w:r>
      <w:r w:rsidR="006C6F09">
        <w:t xml:space="preserve"> </w:t>
      </w:r>
      <w:r>
        <w:t>Additionally,</w:t>
      </w:r>
      <w:r w:rsidR="006C6F09">
        <w:t xml:space="preserve"> </w:t>
      </w:r>
      <w:r>
        <w:t>the</w:t>
      </w:r>
      <w:r w:rsidR="006C6F09">
        <w:t xml:space="preserve"> </w:t>
      </w:r>
      <w:r>
        <w:t>project</w:t>
      </w:r>
      <w:r w:rsidR="006C6F09">
        <w:t xml:space="preserve"> </w:t>
      </w:r>
      <w:r>
        <w:t>sponsor</w:t>
      </w:r>
      <w:r w:rsidR="006C6F09">
        <w:t xml:space="preserve"> </w:t>
      </w:r>
      <w:r>
        <w:t>shall</w:t>
      </w:r>
      <w:r w:rsidR="006C6F09">
        <w:t xml:space="preserve"> </w:t>
      </w:r>
      <w:r>
        <w:t>make</w:t>
      </w:r>
      <w:r w:rsidR="006C6F09">
        <w:t xml:space="preserve"> </w:t>
      </w:r>
      <w:r>
        <w:t>the</w:t>
      </w:r>
      <w:r w:rsidR="006C6F09">
        <w:t xml:space="preserve"> </w:t>
      </w:r>
      <w:r>
        <w:t>maps,</w:t>
      </w:r>
      <w:r w:rsidR="006C6F09">
        <w:t xml:space="preserve"> </w:t>
      </w:r>
      <w:r>
        <w:t>drawings,</w:t>
      </w:r>
      <w:r w:rsidR="006C6F09">
        <w:t xml:space="preserve"> </w:t>
      </w:r>
      <w:r>
        <w:t>environmental</w:t>
      </w:r>
      <w:r w:rsidR="006C6F09">
        <w:t xml:space="preserve"> </w:t>
      </w:r>
      <w:r>
        <w:t>reports,</w:t>
      </w:r>
      <w:r w:rsidR="006C6F09">
        <w:t xml:space="preserve"> </w:t>
      </w:r>
      <w:r>
        <w:t>and</w:t>
      </w:r>
      <w:r w:rsidR="006C6F09">
        <w:t xml:space="preserve"> </w:t>
      </w:r>
      <w:r>
        <w:t>documents</w:t>
      </w:r>
      <w:r w:rsidR="006C6F09">
        <w:t xml:space="preserve"> </w:t>
      </w:r>
      <w:r>
        <w:t>concerning</w:t>
      </w:r>
      <w:r w:rsidR="006C6F09">
        <w:t xml:space="preserve"> </w:t>
      </w:r>
      <w:r>
        <w:t>the</w:t>
      </w:r>
      <w:r w:rsidR="006C6F09">
        <w:t xml:space="preserve"> </w:t>
      </w:r>
      <w:r>
        <w:t>project</w:t>
      </w:r>
      <w:r w:rsidR="006C6F09">
        <w:t xml:space="preserve"> </w:t>
      </w:r>
      <w:r>
        <w:t>available</w:t>
      </w:r>
      <w:r w:rsidR="006C6F09">
        <w:t xml:space="preserve"> </w:t>
      </w:r>
      <w:r>
        <w:t>to</w:t>
      </w:r>
      <w:r w:rsidR="006C6F09">
        <w:t xml:space="preserve"> </w:t>
      </w:r>
      <w:r>
        <w:t>the</w:t>
      </w:r>
      <w:r w:rsidR="006C6F09">
        <w:t xml:space="preserve"> </w:t>
      </w:r>
      <w:r>
        <w:t>public</w:t>
      </w:r>
      <w:r w:rsidR="006C6F09">
        <w:t xml:space="preserve"> </w:t>
      </w:r>
      <w:r>
        <w:t>for</w:t>
      </w:r>
      <w:r w:rsidR="006C6F09">
        <w:t xml:space="preserve"> </w:t>
      </w:r>
      <w:r>
        <w:t>not</w:t>
      </w:r>
      <w:r w:rsidR="006C6F09">
        <w:t xml:space="preserve"> </w:t>
      </w:r>
      <w:r>
        <w:t>less</w:t>
      </w:r>
      <w:r w:rsidR="006C6F09">
        <w:t xml:space="preserve"> </w:t>
      </w:r>
      <w:r>
        <w:t>than</w:t>
      </w:r>
      <w:r w:rsidR="006C6F09">
        <w:t xml:space="preserve"> </w:t>
      </w:r>
      <w:r>
        <w:t>the</w:t>
      </w:r>
      <w:r w:rsidR="006C6F09">
        <w:t xml:space="preserve"> </w:t>
      </w:r>
      <w:r>
        <w:t>15</w:t>
      </w:r>
      <w:r w:rsidR="006C6F09">
        <w:t xml:space="preserve"> </w:t>
      </w:r>
      <w:r>
        <w:t>consecutive</w:t>
      </w:r>
      <w:r w:rsidR="006C6F09">
        <w:t xml:space="preserve"> </w:t>
      </w:r>
      <w:r>
        <w:t>days</w:t>
      </w:r>
      <w:r w:rsidR="006C6F09">
        <w:t xml:space="preserve"> </w:t>
      </w:r>
      <w:r>
        <w:t>before</w:t>
      </w:r>
      <w:r w:rsidR="006C6F09">
        <w:t xml:space="preserve"> </w:t>
      </w:r>
      <w:r>
        <w:t>the</w:t>
      </w:r>
      <w:r w:rsidR="006C6F09">
        <w:t xml:space="preserve"> </w:t>
      </w:r>
      <w:r>
        <w:t>public</w:t>
      </w:r>
      <w:r w:rsidR="006C6F09">
        <w:t xml:space="preserve"> </w:t>
      </w:r>
      <w:r>
        <w:t>hearing.</w:t>
      </w:r>
    </w:p>
    <w:p w14:paraId="678BB14E" w14:textId="5487F348" w:rsidR="00457754" w:rsidRDefault="00457754" w:rsidP="00457754">
      <w:pPr>
        <w:spacing w:before="240"/>
      </w:pPr>
      <w:r>
        <w:t>A</w:t>
      </w:r>
      <w:r w:rsidR="006C6F09">
        <w:t xml:space="preserve"> </w:t>
      </w:r>
      <w:r>
        <w:t>project</w:t>
      </w:r>
      <w:r w:rsidR="006C6F09">
        <w:t xml:space="preserve"> </w:t>
      </w:r>
      <w:r>
        <w:t>that</w:t>
      </w:r>
      <w:r w:rsidR="006C6F09">
        <w:t xml:space="preserve"> </w:t>
      </w:r>
      <w:r>
        <w:t>requires</w:t>
      </w:r>
      <w:r w:rsidR="006C6F09">
        <w:t xml:space="preserve"> </w:t>
      </w:r>
      <w:r>
        <w:t>the</w:t>
      </w:r>
      <w:r w:rsidR="006C6F09">
        <w:t xml:space="preserve"> </w:t>
      </w:r>
      <w:r>
        <w:t>acquisition</w:t>
      </w:r>
      <w:r w:rsidR="006C6F09">
        <w:t xml:space="preserve"> </w:t>
      </w:r>
      <w:r>
        <w:t>of</w:t>
      </w:r>
      <w:r w:rsidR="006C6F09">
        <w:t xml:space="preserve"> </w:t>
      </w:r>
      <w:r>
        <w:t>public</w:t>
      </w:r>
      <w:r w:rsidR="006C6F09">
        <w:t xml:space="preserve"> </w:t>
      </w:r>
      <w:r>
        <w:t>land</w:t>
      </w:r>
      <w:r w:rsidR="006C6F09">
        <w:t xml:space="preserve"> </w:t>
      </w:r>
      <w:r>
        <w:t>designated</w:t>
      </w:r>
      <w:r w:rsidR="006C6F09">
        <w:t xml:space="preserve"> </w:t>
      </w:r>
      <w:r>
        <w:t>as</w:t>
      </w:r>
      <w:r w:rsidR="006C6F09">
        <w:t xml:space="preserve"> </w:t>
      </w:r>
      <w:r>
        <w:t>a</w:t>
      </w:r>
      <w:r w:rsidR="006C6F09">
        <w:t xml:space="preserve"> </w:t>
      </w:r>
      <w:r>
        <w:t>park,</w:t>
      </w:r>
      <w:r w:rsidR="006C6F09">
        <w:t xml:space="preserve"> </w:t>
      </w:r>
      <w:r>
        <w:t>recreation</w:t>
      </w:r>
      <w:r w:rsidR="006C6F09">
        <w:t xml:space="preserve"> </w:t>
      </w:r>
      <w:r>
        <w:t>area,</w:t>
      </w:r>
      <w:r w:rsidR="006C6F09">
        <w:t xml:space="preserve"> </w:t>
      </w:r>
      <w:r>
        <w:t>wildlife</w:t>
      </w:r>
      <w:r w:rsidR="006C6F09">
        <w:t xml:space="preserve"> </w:t>
      </w:r>
      <w:r>
        <w:t>refuge,</w:t>
      </w:r>
      <w:r w:rsidR="006C6F09">
        <w:t xml:space="preserve"> </w:t>
      </w:r>
      <w:r>
        <w:t>historic</w:t>
      </w:r>
      <w:r w:rsidR="006C6F09">
        <w:t xml:space="preserve"> </w:t>
      </w:r>
      <w:r>
        <w:t>site,</w:t>
      </w:r>
      <w:r w:rsidR="006C6F09">
        <w:t xml:space="preserve"> </w:t>
      </w:r>
      <w:r>
        <w:t>or</w:t>
      </w:r>
      <w:r w:rsidR="006C6F09">
        <w:t xml:space="preserve"> </w:t>
      </w:r>
      <w:r>
        <w:t>scientific</w:t>
      </w:r>
      <w:r w:rsidR="006C6F09">
        <w:t xml:space="preserve"> </w:t>
      </w:r>
      <w:r>
        <w:t>area</w:t>
      </w:r>
      <w:r w:rsidR="006C6F09">
        <w:t xml:space="preserve"> </w:t>
      </w:r>
      <w:r>
        <w:t>under</w:t>
      </w:r>
      <w:r w:rsidR="006C6F09">
        <w:t xml:space="preserve"> </w:t>
      </w:r>
      <w:r>
        <w:t>Chapter</w:t>
      </w:r>
      <w:r w:rsidR="006C6F09">
        <w:t xml:space="preserve"> </w:t>
      </w:r>
      <w:r>
        <w:t>26</w:t>
      </w:r>
      <w:r w:rsidR="006C6F09">
        <w:t xml:space="preserve"> </w:t>
      </w:r>
      <w:r>
        <w:t>of</w:t>
      </w:r>
      <w:r w:rsidR="006C6F09">
        <w:t xml:space="preserve"> </w:t>
      </w:r>
      <w:r>
        <w:t>the</w:t>
      </w:r>
      <w:r w:rsidR="006C6F09">
        <w:t xml:space="preserve"> </w:t>
      </w:r>
      <w:r>
        <w:t>Texas</w:t>
      </w:r>
      <w:r w:rsidR="006C6F09">
        <w:t xml:space="preserve"> </w:t>
      </w:r>
      <w:r>
        <w:t>PWC</w:t>
      </w:r>
      <w:r w:rsidR="006C6F09">
        <w:t xml:space="preserve"> </w:t>
      </w:r>
      <w:r>
        <w:t>has</w:t>
      </w:r>
      <w:r w:rsidR="006C6F09">
        <w:t xml:space="preserve"> </w:t>
      </w:r>
      <w:r>
        <w:t>special</w:t>
      </w:r>
      <w:r w:rsidR="006C6F09">
        <w:t xml:space="preserve"> </w:t>
      </w:r>
      <w:r>
        <w:t>advertising</w:t>
      </w:r>
      <w:r w:rsidR="006C6F09">
        <w:t xml:space="preserve"> </w:t>
      </w:r>
      <w:r>
        <w:t>requirements</w:t>
      </w:r>
      <w:r w:rsidR="006C6F09">
        <w:t xml:space="preserve"> </w:t>
      </w:r>
      <w:r>
        <w:t>(</w:t>
      </w:r>
      <w:hyperlink r:id="rId56" w:history="1">
        <w:r w:rsidRPr="004D0217">
          <w:rPr>
            <w:rStyle w:val="Hyperlink"/>
          </w:rPr>
          <w:t>Title</w:t>
        </w:r>
        <w:r w:rsidR="006C6F09">
          <w:rPr>
            <w:rStyle w:val="Hyperlink"/>
          </w:rPr>
          <w:t xml:space="preserve"> </w:t>
        </w:r>
        <w:r w:rsidRPr="004D0217">
          <w:rPr>
            <w:rStyle w:val="Hyperlink"/>
          </w:rPr>
          <w:t>3</w:t>
        </w:r>
        <w:r w:rsidR="006C6F09">
          <w:rPr>
            <w:rStyle w:val="Hyperlink"/>
          </w:rPr>
          <w:t xml:space="preserve"> </w:t>
        </w:r>
        <w:r w:rsidRPr="004D0217">
          <w:rPr>
            <w:rStyle w:val="Hyperlink"/>
          </w:rPr>
          <w:t>Parks</w:t>
        </w:r>
        <w:r w:rsidR="006C6F09">
          <w:rPr>
            <w:rStyle w:val="Hyperlink"/>
          </w:rPr>
          <w:t xml:space="preserve"> </w:t>
        </w:r>
        <w:r w:rsidRPr="004D0217">
          <w:rPr>
            <w:rStyle w:val="Hyperlink"/>
          </w:rPr>
          <w:t>and</w:t>
        </w:r>
        <w:r w:rsidR="006C6F09">
          <w:rPr>
            <w:rStyle w:val="Hyperlink"/>
          </w:rPr>
          <w:t xml:space="preserve"> </w:t>
        </w:r>
        <w:r w:rsidRPr="004D0217">
          <w:rPr>
            <w:rStyle w:val="Hyperlink"/>
          </w:rPr>
          <w:t>Wildlife</w:t>
        </w:r>
        <w:r w:rsidR="006C6F09">
          <w:rPr>
            <w:rStyle w:val="Hyperlink"/>
          </w:rPr>
          <w:t xml:space="preserve"> </w:t>
        </w:r>
        <w:r w:rsidRPr="004D0217">
          <w:rPr>
            <w:rStyle w:val="Hyperlink"/>
          </w:rPr>
          <w:t>Code</w:t>
        </w:r>
        <w:r w:rsidR="006C6F09">
          <w:rPr>
            <w:rStyle w:val="Hyperlink"/>
          </w:rPr>
          <w:t xml:space="preserve"> </w:t>
        </w:r>
        <w:r w:rsidRPr="004D0217">
          <w:rPr>
            <w:rStyle w:val="Hyperlink"/>
          </w:rPr>
          <w:t>Chapter</w:t>
        </w:r>
        <w:r w:rsidR="006C6F09">
          <w:rPr>
            <w:rStyle w:val="Hyperlink"/>
          </w:rPr>
          <w:t xml:space="preserve"> </w:t>
        </w:r>
        <w:r w:rsidRPr="004D0217">
          <w:rPr>
            <w:rStyle w:val="Hyperlink"/>
          </w:rPr>
          <w:t>26.002</w:t>
        </w:r>
      </w:hyperlink>
      <w:r>
        <w:t>),</w:t>
      </w:r>
      <w:r w:rsidR="006C6F09">
        <w:t xml:space="preserve"> </w:t>
      </w:r>
      <w:r>
        <w:t>which</w:t>
      </w:r>
      <w:r w:rsidR="006C6F09">
        <w:t xml:space="preserve"> </w:t>
      </w:r>
      <w:r>
        <w:t>include</w:t>
      </w:r>
      <w:r w:rsidR="006C6F09">
        <w:t xml:space="preserve"> </w:t>
      </w:r>
      <w:r>
        <w:t>the</w:t>
      </w:r>
      <w:r w:rsidR="006C6F09">
        <w:t xml:space="preserve"> </w:t>
      </w:r>
      <w:r>
        <w:t>following.</w:t>
      </w:r>
    </w:p>
    <w:p w14:paraId="751DF07F" w14:textId="0E7A617E" w:rsidR="00457754" w:rsidRPr="002255B4" w:rsidRDefault="00457754" w:rsidP="00457754">
      <w:pPr>
        <w:pStyle w:val="ListBullet"/>
      </w:pPr>
      <w:r w:rsidRPr="002255B4">
        <w:t>The</w:t>
      </w:r>
      <w:r w:rsidR="006C6F09">
        <w:t xml:space="preserve"> </w:t>
      </w:r>
      <w:r w:rsidRPr="002255B4">
        <w:t>notice</w:t>
      </w:r>
      <w:r w:rsidR="006C6F09">
        <w:t xml:space="preserve"> </w:t>
      </w:r>
      <w:r w:rsidRPr="002255B4">
        <w:t>must</w:t>
      </w:r>
      <w:r w:rsidR="006C6F09">
        <w:t xml:space="preserve"> </w:t>
      </w:r>
      <w:r w:rsidRPr="002255B4">
        <w:t>be</w:t>
      </w:r>
      <w:r w:rsidR="006C6F09">
        <w:t xml:space="preserve"> </w:t>
      </w:r>
      <w:r w:rsidRPr="002255B4">
        <w:t>published</w:t>
      </w:r>
      <w:r w:rsidR="006C6F09">
        <w:t xml:space="preserve"> </w:t>
      </w:r>
      <w:r w:rsidRPr="002255B4">
        <w:t>in</w:t>
      </w:r>
      <w:r w:rsidR="006C6F09">
        <w:t xml:space="preserve"> </w:t>
      </w:r>
      <w:r w:rsidRPr="002255B4">
        <w:t>a</w:t>
      </w:r>
      <w:r w:rsidR="006C6F09">
        <w:t xml:space="preserve"> </w:t>
      </w:r>
      <w:r w:rsidRPr="002255B4">
        <w:t>newspaper</w:t>
      </w:r>
      <w:r w:rsidR="006C6F09">
        <w:t xml:space="preserve"> </w:t>
      </w:r>
      <w:r w:rsidRPr="002255B4">
        <w:t>of</w:t>
      </w:r>
      <w:r w:rsidR="006C6F09">
        <w:t xml:space="preserve"> </w:t>
      </w:r>
      <w:r w:rsidRPr="002255B4">
        <w:t>general</w:t>
      </w:r>
      <w:r w:rsidR="006C6F09">
        <w:t xml:space="preserve"> </w:t>
      </w:r>
      <w:r w:rsidRPr="002255B4">
        <w:t>circulation</w:t>
      </w:r>
      <w:r w:rsidR="006C6F09">
        <w:t xml:space="preserve"> </w:t>
      </w:r>
      <w:r w:rsidRPr="002255B4">
        <w:t>that</w:t>
      </w:r>
      <w:r w:rsidR="006C6F09">
        <w:t xml:space="preserve"> </w:t>
      </w:r>
      <w:r w:rsidRPr="002255B4">
        <w:t>is</w:t>
      </w:r>
      <w:r w:rsidR="006C6F09">
        <w:t xml:space="preserve"> </w:t>
      </w:r>
      <w:r w:rsidRPr="002255B4">
        <w:t>published</w:t>
      </w:r>
      <w:r w:rsidR="006C6F09">
        <w:t xml:space="preserve"> </w:t>
      </w:r>
      <w:r w:rsidRPr="002255B4">
        <w:t>at</w:t>
      </w:r>
      <w:r w:rsidR="006C6F09">
        <w:t xml:space="preserve"> </w:t>
      </w:r>
      <w:r w:rsidRPr="002255B4">
        <w:t>least</w:t>
      </w:r>
      <w:r w:rsidR="006C6F09">
        <w:t xml:space="preserve"> </w:t>
      </w:r>
      <w:r w:rsidRPr="002255B4">
        <w:t>six</w:t>
      </w:r>
      <w:r w:rsidR="006C6F09">
        <w:t xml:space="preserve"> </w:t>
      </w:r>
      <w:r w:rsidRPr="002255B4">
        <w:t>days</w:t>
      </w:r>
      <w:r w:rsidR="006C6F09">
        <w:t xml:space="preserve"> </w:t>
      </w:r>
      <w:r w:rsidRPr="002255B4">
        <w:t>a</w:t>
      </w:r>
      <w:r w:rsidR="006C6F09">
        <w:t xml:space="preserve"> </w:t>
      </w:r>
      <w:r w:rsidRPr="002255B4">
        <w:t>week</w:t>
      </w:r>
      <w:r w:rsidR="006C6F09">
        <w:t xml:space="preserve"> </w:t>
      </w:r>
      <w:r w:rsidRPr="002255B4">
        <w:t>in</w:t>
      </w:r>
      <w:r w:rsidR="006C6F09">
        <w:t xml:space="preserve"> </w:t>
      </w:r>
      <w:r w:rsidRPr="002255B4">
        <w:t>the</w:t>
      </w:r>
      <w:r w:rsidR="006C6F09">
        <w:t xml:space="preserve"> </w:t>
      </w:r>
      <w:proofErr w:type="gramStart"/>
      <w:r w:rsidRPr="002255B4">
        <w:t>county</w:t>
      </w:r>
      <w:proofErr w:type="gramEnd"/>
      <w:r w:rsidR="006C6F09">
        <w:t xml:space="preserve"> </w:t>
      </w:r>
      <w:r w:rsidRPr="002255B4">
        <w:t>where</w:t>
      </w:r>
      <w:r w:rsidR="006C6F09">
        <w:t xml:space="preserve"> </w:t>
      </w:r>
      <w:r w:rsidRPr="002255B4">
        <w:t>the</w:t>
      </w:r>
      <w:r w:rsidR="006C6F09">
        <w:t xml:space="preserve"> </w:t>
      </w:r>
      <w:r w:rsidRPr="002255B4">
        <w:t>land</w:t>
      </w:r>
      <w:r w:rsidR="006C6F09">
        <w:t xml:space="preserve"> </w:t>
      </w:r>
      <w:r w:rsidRPr="002255B4">
        <w:t>proposed</w:t>
      </w:r>
      <w:r w:rsidR="006C6F09">
        <w:t xml:space="preserve"> </w:t>
      </w:r>
      <w:r w:rsidRPr="002255B4">
        <w:t>to</w:t>
      </w:r>
      <w:r w:rsidR="006C6F09">
        <w:t xml:space="preserve"> </w:t>
      </w:r>
      <w:r w:rsidRPr="002255B4">
        <w:t>be</w:t>
      </w:r>
      <w:r w:rsidR="006C6F09">
        <w:t xml:space="preserve"> </w:t>
      </w:r>
      <w:r w:rsidRPr="002255B4">
        <w:t>used</w:t>
      </w:r>
      <w:r w:rsidR="006C6F09">
        <w:t xml:space="preserve"> </w:t>
      </w:r>
      <w:r w:rsidRPr="002255B4">
        <w:t>or</w:t>
      </w:r>
      <w:r w:rsidR="006C6F09">
        <w:t xml:space="preserve"> </w:t>
      </w:r>
      <w:r w:rsidRPr="002255B4">
        <w:t>taken</w:t>
      </w:r>
      <w:r w:rsidR="006C6F09">
        <w:t xml:space="preserve"> </w:t>
      </w:r>
      <w:r w:rsidRPr="002255B4">
        <w:t>is</w:t>
      </w:r>
      <w:r w:rsidR="006C6F09">
        <w:t xml:space="preserve"> </w:t>
      </w:r>
      <w:r w:rsidRPr="002255B4">
        <w:t>located.</w:t>
      </w:r>
      <w:r w:rsidR="006C6F09">
        <w:t xml:space="preserve"> </w:t>
      </w:r>
      <w:r w:rsidRPr="002255B4">
        <w:t>The</w:t>
      </w:r>
      <w:r w:rsidR="006C6F09">
        <w:t xml:space="preserve"> </w:t>
      </w:r>
      <w:r w:rsidRPr="002255B4">
        <w:t>notice</w:t>
      </w:r>
      <w:r w:rsidR="006C6F09">
        <w:t xml:space="preserve"> </w:t>
      </w:r>
      <w:r w:rsidRPr="002255B4">
        <w:t>must</w:t>
      </w:r>
      <w:r w:rsidR="006C6F09">
        <w:t xml:space="preserve"> </w:t>
      </w:r>
      <w:r w:rsidRPr="002255B4">
        <w:t>be</w:t>
      </w:r>
      <w:r w:rsidR="006C6F09">
        <w:t xml:space="preserve"> </w:t>
      </w:r>
      <w:r w:rsidRPr="002255B4">
        <w:t>published</w:t>
      </w:r>
      <w:r w:rsidR="006C6F09">
        <w:t xml:space="preserve"> </w:t>
      </w:r>
      <w:r w:rsidRPr="002255B4">
        <w:t>for</w:t>
      </w:r>
      <w:r w:rsidR="006C6F09">
        <w:t xml:space="preserve"> </w:t>
      </w:r>
      <w:r w:rsidRPr="002255B4">
        <w:t>three</w:t>
      </w:r>
      <w:r w:rsidR="006C6F09">
        <w:t xml:space="preserve"> </w:t>
      </w:r>
      <w:r w:rsidRPr="002255B4">
        <w:t>consecutive</w:t>
      </w:r>
      <w:r w:rsidR="006C6F09">
        <w:t xml:space="preserve"> </w:t>
      </w:r>
      <w:r w:rsidRPr="002255B4">
        <w:t>weeks,</w:t>
      </w:r>
      <w:r w:rsidR="006C6F09">
        <w:t xml:space="preserve"> </w:t>
      </w:r>
      <w:r w:rsidRPr="002255B4">
        <w:t>with</w:t>
      </w:r>
      <w:r w:rsidR="006C6F09">
        <w:t xml:space="preserve"> </w:t>
      </w:r>
      <w:r w:rsidRPr="002255B4">
        <w:t>the</w:t>
      </w:r>
      <w:r w:rsidR="006C6F09">
        <w:t xml:space="preserve"> </w:t>
      </w:r>
      <w:r w:rsidRPr="002255B4">
        <w:t>last</w:t>
      </w:r>
      <w:r w:rsidR="006C6F09">
        <w:t xml:space="preserve"> </w:t>
      </w:r>
      <w:r w:rsidRPr="002255B4">
        <w:t>publication</w:t>
      </w:r>
      <w:r w:rsidR="006C6F09">
        <w:t xml:space="preserve"> </w:t>
      </w:r>
      <w:r w:rsidRPr="002255B4">
        <w:t>not</w:t>
      </w:r>
      <w:r w:rsidR="006C6F09">
        <w:t xml:space="preserve"> </w:t>
      </w:r>
      <w:r w:rsidRPr="002255B4">
        <w:t>less</w:t>
      </w:r>
      <w:r w:rsidR="006C6F09">
        <w:t xml:space="preserve"> </w:t>
      </w:r>
      <w:r w:rsidRPr="002255B4">
        <w:t>than</w:t>
      </w:r>
      <w:r w:rsidR="006C6F09">
        <w:t xml:space="preserve"> </w:t>
      </w:r>
      <w:r w:rsidRPr="002255B4">
        <w:t>one</w:t>
      </w:r>
      <w:r w:rsidR="006C6F09">
        <w:t xml:space="preserve"> </w:t>
      </w:r>
      <w:r w:rsidRPr="002255B4">
        <w:t>week</w:t>
      </w:r>
      <w:r w:rsidR="006C6F09">
        <w:t xml:space="preserve"> </w:t>
      </w:r>
      <w:r w:rsidRPr="002255B4">
        <w:t>or</w:t>
      </w:r>
      <w:r w:rsidR="006C6F09">
        <w:t xml:space="preserve"> </w:t>
      </w:r>
      <w:r w:rsidRPr="002255B4">
        <w:t>more</w:t>
      </w:r>
      <w:r w:rsidR="006C6F09">
        <w:t xml:space="preserve"> </w:t>
      </w:r>
      <w:r w:rsidRPr="002255B4">
        <w:t>than</w:t>
      </w:r>
      <w:r w:rsidR="006C6F09">
        <w:t xml:space="preserve"> </w:t>
      </w:r>
      <w:r w:rsidRPr="002255B4">
        <w:t>two</w:t>
      </w:r>
      <w:r w:rsidR="006C6F09">
        <w:t xml:space="preserve"> </w:t>
      </w:r>
      <w:r w:rsidRPr="002255B4">
        <w:t>weeks</w:t>
      </w:r>
      <w:r w:rsidR="006C6F09">
        <w:t xml:space="preserve"> </w:t>
      </w:r>
      <w:r w:rsidRPr="002255B4">
        <w:t>before</w:t>
      </w:r>
      <w:r w:rsidR="006C6F09">
        <w:t xml:space="preserve"> </w:t>
      </w:r>
      <w:r w:rsidRPr="002255B4">
        <w:t>the</w:t>
      </w:r>
      <w:r w:rsidR="006C6F09">
        <w:t xml:space="preserve"> </w:t>
      </w:r>
      <w:r w:rsidRPr="002255B4">
        <w:t>hearing</w:t>
      </w:r>
      <w:r w:rsidR="006C6F09">
        <w:t xml:space="preserve"> </w:t>
      </w:r>
      <w:r w:rsidRPr="002255B4">
        <w:t>date.</w:t>
      </w:r>
      <w:r w:rsidR="006C6F09">
        <w:t xml:space="preserve"> </w:t>
      </w:r>
      <w:r w:rsidRPr="002255B4">
        <w:t>If</w:t>
      </w:r>
      <w:r w:rsidR="006C6F09">
        <w:t xml:space="preserve"> </w:t>
      </w:r>
      <w:r w:rsidRPr="002255B4">
        <w:t>the</w:t>
      </w:r>
      <w:r w:rsidR="006C6F09">
        <w:t xml:space="preserve"> </w:t>
      </w:r>
      <w:r w:rsidRPr="002255B4">
        <w:t>project</w:t>
      </w:r>
      <w:r w:rsidR="006C6F09">
        <w:t xml:space="preserve"> </w:t>
      </w:r>
      <w:r w:rsidRPr="002255B4">
        <w:t>is</w:t>
      </w:r>
      <w:r w:rsidR="006C6F09">
        <w:t xml:space="preserve"> </w:t>
      </w:r>
      <w:r w:rsidRPr="002255B4">
        <w:t>in</w:t>
      </w:r>
      <w:r w:rsidR="006C6F09">
        <w:t xml:space="preserve"> </w:t>
      </w:r>
      <w:r w:rsidRPr="002255B4">
        <w:t>a</w:t>
      </w:r>
      <w:r w:rsidR="006C6F09">
        <w:t xml:space="preserve"> </w:t>
      </w:r>
      <w:r w:rsidRPr="002255B4">
        <w:t>remote</w:t>
      </w:r>
      <w:r w:rsidR="006C6F09">
        <w:t xml:space="preserve"> </w:t>
      </w:r>
      <w:r w:rsidRPr="002255B4">
        <w:t>area</w:t>
      </w:r>
      <w:r w:rsidR="006C6F09">
        <w:t xml:space="preserve"> </w:t>
      </w:r>
      <w:r w:rsidRPr="002255B4">
        <w:t>with</w:t>
      </w:r>
      <w:r w:rsidR="006C6F09">
        <w:t xml:space="preserve"> </w:t>
      </w:r>
      <w:r w:rsidRPr="002255B4">
        <w:t>no</w:t>
      </w:r>
      <w:r w:rsidR="006C6F09">
        <w:t xml:space="preserve"> </w:t>
      </w:r>
      <w:r w:rsidRPr="002255B4">
        <w:t>newspapers</w:t>
      </w:r>
      <w:r w:rsidR="006C6F09">
        <w:t xml:space="preserve"> </w:t>
      </w:r>
      <w:r w:rsidRPr="002255B4">
        <w:t>in</w:t>
      </w:r>
      <w:r w:rsidR="006C6F09">
        <w:t xml:space="preserve"> </w:t>
      </w:r>
      <w:r w:rsidRPr="002255B4">
        <w:t>general</w:t>
      </w:r>
      <w:r w:rsidR="006C6F09">
        <w:t xml:space="preserve"> </w:t>
      </w:r>
      <w:r w:rsidRPr="002255B4">
        <w:t>circulation</w:t>
      </w:r>
      <w:r w:rsidR="006C6F09">
        <w:t xml:space="preserve"> </w:t>
      </w:r>
      <w:r w:rsidRPr="002255B4">
        <w:t>in</w:t>
      </w:r>
      <w:r w:rsidR="006C6F09">
        <w:t xml:space="preserve"> </w:t>
      </w:r>
      <w:r w:rsidRPr="002255B4">
        <w:t>the</w:t>
      </w:r>
      <w:r w:rsidR="006C6F09">
        <w:t xml:space="preserve"> </w:t>
      </w:r>
      <w:r w:rsidRPr="002255B4">
        <w:t>area</w:t>
      </w:r>
      <w:r w:rsidR="006C6F09">
        <w:t xml:space="preserve"> </w:t>
      </w:r>
      <w:r w:rsidRPr="002255B4">
        <w:t>affected</w:t>
      </w:r>
      <w:r w:rsidR="006C6F09">
        <w:t xml:space="preserve"> </w:t>
      </w:r>
      <w:r w:rsidRPr="002255B4">
        <w:t>by</w:t>
      </w:r>
      <w:r w:rsidR="006C6F09">
        <w:t xml:space="preserve"> </w:t>
      </w:r>
      <w:r w:rsidRPr="002255B4">
        <w:t>the</w:t>
      </w:r>
      <w:r w:rsidR="006C6F09">
        <w:t xml:space="preserve"> </w:t>
      </w:r>
      <w:r w:rsidRPr="002255B4">
        <w:t>project,</w:t>
      </w:r>
      <w:r w:rsidR="006C6F09">
        <w:t xml:space="preserve"> </w:t>
      </w:r>
      <w:r w:rsidRPr="002255B4">
        <w:t>or</w:t>
      </w:r>
      <w:r w:rsidR="006C6F09">
        <w:t xml:space="preserve"> </w:t>
      </w:r>
      <w:r w:rsidRPr="002255B4">
        <w:t>if</w:t>
      </w:r>
      <w:r w:rsidR="006C6F09">
        <w:t xml:space="preserve"> </w:t>
      </w:r>
      <w:r w:rsidRPr="002255B4">
        <w:t>the</w:t>
      </w:r>
      <w:r w:rsidR="006C6F09">
        <w:t xml:space="preserve"> </w:t>
      </w:r>
      <w:r w:rsidRPr="002255B4">
        <w:t>project</w:t>
      </w:r>
      <w:r w:rsidR="006C6F09">
        <w:t xml:space="preserve"> </w:t>
      </w:r>
      <w:r w:rsidRPr="002255B4">
        <w:t>is</w:t>
      </w:r>
      <w:r w:rsidR="006C6F09">
        <w:t xml:space="preserve"> </w:t>
      </w:r>
      <w:r w:rsidRPr="002255B4">
        <w:t>in</w:t>
      </w:r>
      <w:r w:rsidR="006C6F09">
        <w:t xml:space="preserve"> </w:t>
      </w:r>
      <w:r w:rsidRPr="002255B4">
        <w:t>a</w:t>
      </w:r>
      <w:r w:rsidR="006C6F09">
        <w:t xml:space="preserve"> </w:t>
      </w:r>
      <w:r w:rsidRPr="002255B4">
        <w:t>county</w:t>
      </w:r>
      <w:r w:rsidR="006C6F09">
        <w:t xml:space="preserve"> </w:t>
      </w:r>
      <w:r w:rsidRPr="002255B4">
        <w:t>with</w:t>
      </w:r>
      <w:r w:rsidR="006C6F09">
        <w:t xml:space="preserve"> </w:t>
      </w:r>
      <w:r w:rsidRPr="002255B4">
        <w:t>a</w:t>
      </w:r>
      <w:r w:rsidR="006C6F09">
        <w:t xml:space="preserve"> </w:t>
      </w:r>
      <w:r w:rsidRPr="002255B4">
        <w:t>population</w:t>
      </w:r>
      <w:r w:rsidR="006C6F09">
        <w:t xml:space="preserve"> </w:t>
      </w:r>
      <w:r w:rsidRPr="002255B4">
        <w:t>of</w:t>
      </w:r>
      <w:r w:rsidR="006C6F09">
        <w:t xml:space="preserve"> </w:t>
      </w:r>
      <w:r w:rsidRPr="002255B4">
        <w:t>at</w:t>
      </w:r>
      <w:r w:rsidR="006C6F09">
        <w:t xml:space="preserve"> </w:t>
      </w:r>
      <w:r w:rsidRPr="002255B4">
        <w:t>least</w:t>
      </w:r>
      <w:r w:rsidR="006C6F09">
        <w:t xml:space="preserve"> </w:t>
      </w:r>
      <w:r w:rsidRPr="002255B4">
        <w:t>30,000</w:t>
      </w:r>
      <w:r w:rsidR="006C6F09">
        <w:t xml:space="preserve"> </w:t>
      </w:r>
      <w:r w:rsidRPr="002255B4">
        <w:t>and</w:t>
      </w:r>
      <w:r w:rsidR="006C6F09">
        <w:t xml:space="preserve"> </w:t>
      </w:r>
      <w:r w:rsidRPr="002255B4">
        <w:t>not</w:t>
      </w:r>
      <w:r w:rsidR="006C6F09">
        <w:t xml:space="preserve"> </w:t>
      </w:r>
      <w:r w:rsidRPr="002255B4">
        <w:t>more</w:t>
      </w:r>
      <w:r w:rsidR="006C6F09">
        <w:t xml:space="preserve"> </w:t>
      </w:r>
      <w:r w:rsidRPr="002255B4">
        <w:t>than</w:t>
      </w:r>
      <w:r w:rsidR="006C6F09">
        <w:t xml:space="preserve"> </w:t>
      </w:r>
      <w:r w:rsidRPr="002255B4">
        <w:t>42,000</w:t>
      </w:r>
      <w:r w:rsidR="006C6F09">
        <w:t xml:space="preserve"> </w:t>
      </w:r>
      <w:r w:rsidRPr="002255B4">
        <w:t>that</w:t>
      </w:r>
      <w:r w:rsidR="006C6F09">
        <w:t xml:space="preserve"> </w:t>
      </w:r>
      <w:r w:rsidRPr="002255B4">
        <w:t>borders</w:t>
      </w:r>
      <w:r w:rsidR="006C6F09">
        <w:t xml:space="preserve"> </w:t>
      </w:r>
      <w:r w:rsidRPr="002255B4">
        <w:t>the</w:t>
      </w:r>
      <w:r w:rsidR="006C6F09">
        <w:t xml:space="preserve"> </w:t>
      </w:r>
      <w:r w:rsidRPr="002255B4">
        <w:t>Red</w:t>
      </w:r>
      <w:r w:rsidR="006C6F09">
        <w:t xml:space="preserve"> </w:t>
      </w:r>
      <w:r w:rsidRPr="002255B4">
        <w:t>River</w:t>
      </w:r>
      <w:r w:rsidR="006C6F09">
        <w:t xml:space="preserve"> </w:t>
      </w:r>
      <w:r w:rsidRPr="002255B4">
        <w:t>(currently</w:t>
      </w:r>
      <w:r w:rsidR="006C6F09">
        <w:t xml:space="preserve"> </w:t>
      </w:r>
      <w:r w:rsidRPr="002255B4">
        <w:t>only</w:t>
      </w:r>
      <w:r w:rsidR="006C6F09">
        <w:t xml:space="preserve"> </w:t>
      </w:r>
      <w:r w:rsidRPr="002255B4">
        <w:t>Fannin</w:t>
      </w:r>
      <w:r w:rsidR="006C6F09">
        <w:t xml:space="preserve"> </w:t>
      </w:r>
      <w:r w:rsidRPr="002255B4">
        <w:t>County</w:t>
      </w:r>
      <w:r w:rsidR="006C6F09">
        <w:t xml:space="preserve"> </w:t>
      </w:r>
      <w:r w:rsidRPr="002255B4">
        <w:t>meets</w:t>
      </w:r>
      <w:r w:rsidR="006C6F09">
        <w:t xml:space="preserve"> </w:t>
      </w:r>
      <w:r w:rsidRPr="002255B4">
        <w:t>this</w:t>
      </w:r>
      <w:r w:rsidR="006C6F09">
        <w:t xml:space="preserve"> </w:t>
      </w:r>
      <w:r w:rsidRPr="002255B4">
        <w:t>definition),</w:t>
      </w:r>
      <w:r w:rsidR="006C6F09">
        <w:t xml:space="preserve"> </w:t>
      </w:r>
      <w:r w:rsidRPr="002255B4">
        <w:t>then</w:t>
      </w:r>
      <w:r w:rsidR="006C6F09">
        <w:t xml:space="preserve"> </w:t>
      </w:r>
      <w:r w:rsidRPr="002255B4">
        <w:t>the</w:t>
      </w:r>
      <w:r w:rsidR="006C6F09">
        <w:t xml:space="preserve"> </w:t>
      </w:r>
      <w:r w:rsidRPr="002255B4">
        <w:t>notice</w:t>
      </w:r>
      <w:r w:rsidR="006C6F09">
        <w:t xml:space="preserve"> </w:t>
      </w:r>
      <w:r w:rsidRPr="002255B4">
        <w:t>may</w:t>
      </w:r>
      <w:r w:rsidR="006C6F09">
        <w:t xml:space="preserve"> </w:t>
      </w:r>
      <w:r w:rsidRPr="002255B4">
        <w:t>be</w:t>
      </w:r>
      <w:r w:rsidR="006C6F09">
        <w:t xml:space="preserve"> </w:t>
      </w:r>
      <w:r w:rsidRPr="002255B4">
        <w:t>published</w:t>
      </w:r>
      <w:r w:rsidR="006C6F09">
        <w:t xml:space="preserve"> </w:t>
      </w:r>
      <w:r w:rsidRPr="002255B4">
        <w:t>in</w:t>
      </w:r>
      <w:r w:rsidR="006C6F09">
        <w:t xml:space="preserve"> </w:t>
      </w:r>
      <w:r w:rsidRPr="002255B4">
        <w:t>a</w:t>
      </w:r>
      <w:r w:rsidR="006C6F09">
        <w:t xml:space="preserve"> </w:t>
      </w:r>
      <w:r w:rsidRPr="002255B4">
        <w:t>digital</w:t>
      </w:r>
      <w:r w:rsidR="006C6F09">
        <w:t xml:space="preserve"> </w:t>
      </w:r>
      <w:r w:rsidRPr="002255B4">
        <w:t>newspaper</w:t>
      </w:r>
      <w:r w:rsidR="006C6F09">
        <w:t xml:space="preserve"> </w:t>
      </w:r>
      <w:r w:rsidRPr="002255B4">
        <w:t>that</w:t>
      </w:r>
      <w:r w:rsidR="006C6F09">
        <w:t xml:space="preserve"> </w:t>
      </w:r>
      <w:r w:rsidRPr="002255B4">
        <w:t>meets</w:t>
      </w:r>
      <w:r w:rsidR="006C6F09">
        <w:t xml:space="preserve"> </w:t>
      </w:r>
      <w:r w:rsidRPr="002255B4">
        <w:t>certain</w:t>
      </w:r>
      <w:r w:rsidR="006C6F09">
        <w:t xml:space="preserve"> </w:t>
      </w:r>
      <w:r w:rsidRPr="002255B4">
        <w:t>requirements</w:t>
      </w:r>
      <w:r w:rsidR="006C6F09">
        <w:t xml:space="preserve"> </w:t>
      </w:r>
      <w:r w:rsidRPr="002255B4">
        <w:t>–</w:t>
      </w:r>
      <w:r w:rsidR="006C6F09">
        <w:t xml:space="preserve"> </w:t>
      </w:r>
      <w:r w:rsidRPr="002255B4">
        <w:t>see</w:t>
      </w:r>
      <w:r w:rsidR="006C6F09">
        <w:t xml:space="preserve"> </w:t>
      </w:r>
      <w:r w:rsidRPr="003A39DA">
        <w:t>Texas</w:t>
      </w:r>
      <w:r w:rsidR="006C6F09">
        <w:t xml:space="preserve"> </w:t>
      </w:r>
      <w:r w:rsidRPr="003A39DA">
        <w:t>Government</w:t>
      </w:r>
      <w:r w:rsidR="006C6F09">
        <w:t xml:space="preserve"> </w:t>
      </w:r>
      <w:r w:rsidRPr="003A39DA">
        <w:t>Code</w:t>
      </w:r>
      <w:r w:rsidR="006C6F09">
        <w:rPr>
          <w:i/>
          <w:iCs/>
        </w:rPr>
        <w:t xml:space="preserve"> </w:t>
      </w:r>
      <w:r w:rsidRPr="002255B4">
        <w:t>2051.0441(b-1).</w:t>
      </w:r>
    </w:p>
    <w:p w14:paraId="18A03F4F" w14:textId="3B0C6BE8" w:rsidR="00457754" w:rsidRPr="002255B4" w:rsidRDefault="00457754" w:rsidP="00457754">
      <w:pPr>
        <w:pStyle w:val="ListBullet"/>
      </w:pPr>
      <w:r w:rsidRPr="002255B4">
        <w:lastRenderedPageBreak/>
        <w:t>When</w:t>
      </w:r>
      <w:r w:rsidR="006C6F09">
        <w:t xml:space="preserve"> </w:t>
      </w:r>
      <w:r w:rsidRPr="002255B4">
        <w:t>a</w:t>
      </w:r>
      <w:r w:rsidR="006C6F09">
        <w:t xml:space="preserve"> </w:t>
      </w:r>
      <w:r w:rsidRPr="002255B4">
        <w:t>project</w:t>
      </w:r>
      <w:r w:rsidR="006C6F09">
        <w:t xml:space="preserve"> </w:t>
      </w:r>
      <w:r w:rsidRPr="002255B4">
        <w:t>affects</w:t>
      </w:r>
      <w:r w:rsidR="006C6F09">
        <w:t xml:space="preserve"> </w:t>
      </w:r>
      <w:r w:rsidRPr="002255B4">
        <w:t>public</w:t>
      </w:r>
      <w:r w:rsidR="006C6F09">
        <w:t xml:space="preserve"> </w:t>
      </w:r>
      <w:r w:rsidRPr="002255B4">
        <w:t>land</w:t>
      </w:r>
      <w:r w:rsidR="006C6F09">
        <w:t xml:space="preserve"> </w:t>
      </w:r>
      <w:r w:rsidRPr="002255B4">
        <w:t>protected</w:t>
      </w:r>
      <w:r w:rsidR="006C6F09">
        <w:t xml:space="preserve"> </w:t>
      </w:r>
      <w:r w:rsidRPr="002255B4">
        <w:t>by</w:t>
      </w:r>
      <w:r w:rsidR="006C6F09">
        <w:t xml:space="preserve"> </w:t>
      </w:r>
      <w:r w:rsidRPr="002255B4">
        <w:t>Chapter</w:t>
      </w:r>
      <w:r w:rsidR="006C6F09">
        <w:t xml:space="preserve"> </w:t>
      </w:r>
      <w:r w:rsidRPr="002255B4">
        <w:t>26</w:t>
      </w:r>
      <w:r w:rsidR="006C6F09">
        <w:t xml:space="preserve"> </w:t>
      </w:r>
      <w:r w:rsidRPr="002255B4">
        <w:t>of</w:t>
      </w:r>
      <w:r w:rsidR="006C6F09">
        <w:t xml:space="preserve"> </w:t>
      </w:r>
      <w:r w:rsidRPr="002255B4">
        <w:t>the</w:t>
      </w:r>
      <w:r w:rsidR="006C6F09">
        <w:t xml:space="preserve"> </w:t>
      </w:r>
      <w:r w:rsidRPr="002255B4">
        <w:t>Texas</w:t>
      </w:r>
      <w:r w:rsidR="006C6F09">
        <w:t xml:space="preserve"> </w:t>
      </w:r>
      <w:r w:rsidRPr="002255B4">
        <w:t>PWC,</w:t>
      </w:r>
      <w:r w:rsidR="006C6F09">
        <w:t xml:space="preserve"> </w:t>
      </w:r>
      <w:r w:rsidRPr="002255B4">
        <w:t>a</w:t>
      </w:r>
      <w:r w:rsidR="006C6F09">
        <w:t xml:space="preserve"> </w:t>
      </w:r>
      <w:r w:rsidRPr="002255B4">
        <w:t>separate</w:t>
      </w:r>
      <w:r w:rsidR="006C6F09">
        <w:t xml:space="preserve"> </w:t>
      </w:r>
      <w:r w:rsidRPr="002255B4">
        <w:t>written</w:t>
      </w:r>
      <w:r w:rsidR="006C6F09">
        <w:t xml:space="preserve"> </w:t>
      </w:r>
      <w:r w:rsidRPr="002255B4">
        <w:t>notice</w:t>
      </w:r>
      <w:r w:rsidR="006C6F09">
        <w:t xml:space="preserve"> </w:t>
      </w:r>
      <w:r w:rsidRPr="002255B4">
        <w:t>must</w:t>
      </w:r>
      <w:r w:rsidR="006C6F09">
        <w:t xml:space="preserve"> </w:t>
      </w:r>
      <w:r w:rsidRPr="002255B4">
        <w:t>be</w:t>
      </w:r>
      <w:r w:rsidR="006C6F09">
        <w:t xml:space="preserve"> </w:t>
      </w:r>
      <w:r w:rsidRPr="002255B4">
        <w:t>provided</w:t>
      </w:r>
      <w:r w:rsidR="006C6F09">
        <w:t xml:space="preserve"> </w:t>
      </w:r>
      <w:r w:rsidRPr="002255B4">
        <w:t>to</w:t>
      </w:r>
      <w:r w:rsidR="006C6F09">
        <w:t xml:space="preserve"> </w:t>
      </w:r>
      <w:r w:rsidRPr="002255B4">
        <w:t>the</w:t>
      </w:r>
      <w:r w:rsidR="006C6F09">
        <w:t xml:space="preserve"> </w:t>
      </w:r>
      <w:r w:rsidRPr="002255B4">
        <w:t>person,</w:t>
      </w:r>
      <w:r w:rsidR="006C6F09">
        <w:t xml:space="preserve"> </w:t>
      </w:r>
      <w:r w:rsidRPr="002255B4">
        <w:t>organization,</w:t>
      </w:r>
      <w:r w:rsidR="006C6F09">
        <w:t xml:space="preserve"> </w:t>
      </w:r>
      <w:r w:rsidRPr="002255B4">
        <w:t>department,</w:t>
      </w:r>
      <w:r w:rsidR="006C6F09">
        <w:t xml:space="preserve"> </w:t>
      </w:r>
      <w:r w:rsidRPr="002255B4">
        <w:t>or</w:t>
      </w:r>
      <w:r w:rsidR="006C6F09">
        <w:t xml:space="preserve"> </w:t>
      </w:r>
      <w:r w:rsidRPr="002255B4">
        <w:t>agency</w:t>
      </w:r>
      <w:r w:rsidR="006C6F09">
        <w:t xml:space="preserve"> </w:t>
      </w:r>
      <w:r w:rsidRPr="002255B4">
        <w:t>that</w:t>
      </w:r>
      <w:r w:rsidR="006C6F09">
        <w:t xml:space="preserve"> </w:t>
      </w:r>
      <w:r w:rsidRPr="002255B4">
        <w:t>has</w:t>
      </w:r>
      <w:r w:rsidR="006C6F09">
        <w:t xml:space="preserve"> </w:t>
      </w:r>
      <w:r w:rsidRPr="002255B4">
        <w:t>supervision</w:t>
      </w:r>
      <w:r w:rsidR="006C6F09">
        <w:t xml:space="preserve"> </w:t>
      </w:r>
      <w:r w:rsidRPr="002255B4">
        <w:t>of</w:t>
      </w:r>
      <w:r w:rsidR="006C6F09">
        <w:t xml:space="preserve"> </w:t>
      </w:r>
      <w:r w:rsidRPr="002255B4">
        <w:t>the</w:t>
      </w:r>
      <w:r w:rsidR="006C6F09">
        <w:t xml:space="preserve"> </w:t>
      </w:r>
      <w:r w:rsidRPr="002255B4">
        <w:t>land</w:t>
      </w:r>
      <w:r w:rsidR="006C6F09">
        <w:t xml:space="preserve"> </w:t>
      </w:r>
      <w:r w:rsidRPr="002255B4">
        <w:t>proposed</w:t>
      </w:r>
      <w:r w:rsidR="006C6F09">
        <w:t xml:space="preserve"> </w:t>
      </w:r>
      <w:r w:rsidRPr="002255B4">
        <w:t>to</w:t>
      </w:r>
      <w:r w:rsidR="006C6F09">
        <w:t xml:space="preserve"> </w:t>
      </w:r>
      <w:r w:rsidRPr="002255B4">
        <w:t>be</w:t>
      </w:r>
      <w:r w:rsidR="006C6F09">
        <w:t xml:space="preserve"> </w:t>
      </w:r>
      <w:r w:rsidRPr="002255B4">
        <w:t>used</w:t>
      </w:r>
      <w:r w:rsidR="006C6F09">
        <w:t xml:space="preserve"> </w:t>
      </w:r>
      <w:r w:rsidRPr="002255B4">
        <w:t>or</w:t>
      </w:r>
      <w:r w:rsidR="006C6F09">
        <w:t xml:space="preserve"> </w:t>
      </w:r>
      <w:r w:rsidRPr="002255B4">
        <w:t>taken.</w:t>
      </w:r>
      <w:r w:rsidR="006C6F09">
        <w:t xml:space="preserve"> </w:t>
      </w:r>
      <w:r w:rsidRPr="002255B4">
        <w:t>The</w:t>
      </w:r>
      <w:r w:rsidR="006C6F09">
        <w:t xml:space="preserve"> </w:t>
      </w:r>
      <w:r w:rsidRPr="002255B4">
        <w:t>notice</w:t>
      </w:r>
      <w:r w:rsidR="006C6F09">
        <w:t xml:space="preserve"> </w:t>
      </w:r>
      <w:r w:rsidRPr="002255B4">
        <w:t>must</w:t>
      </w:r>
      <w:r w:rsidR="006C6F09">
        <w:t xml:space="preserve"> </w:t>
      </w:r>
      <w:r w:rsidRPr="002255B4">
        <w:t>be</w:t>
      </w:r>
      <w:r w:rsidR="006C6F09">
        <w:t xml:space="preserve"> </w:t>
      </w:r>
      <w:r w:rsidRPr="002255B4">
        <w:t>sent</w:t>
      </w:r>
      <w:r w:rsidR="006C6F09">
        <w:t xml:space="preserve"> </w:t>
      </w:r>
      <w:r w:rsidRPr="002255B4">
        <w:t>at</w:t>
      </w:r>
      <w:r w:rsidR="006C6F09">
        <w:t xml:space="preserve"> </w:t>
      </w:r>
      <w:r w:rsidRPr="002255B4">
        <w:t>least</w:t>
      </w:r>
      <w:r w:rsidR="006C6F09">
        <w:t xml:space="preserve"> </w:t>
      </w:r>
      <w:proofErr w:type="gramStart"/>
      <w:r w:rsidRPr="002255B4">
        <w:t>30</w:t>
      </w:r>
      <w:r w:rsidR="006C6F09">
        <w:t xml:space="preserve"> </w:t>
      </w:r>
      <w:r w:rsidRPr="002255B4">
        <w:t>calendar</w:t>
      </w:r>
      <w:proofErr w:type="gramEnd"/>
      <w:r w:rsidR="006C6F09">
        <w:t xml:space="preserve"> </w:t>
      </w:r>
      <w:r w:rsidRPr="002255B4">
        <w:t>days</w:t>
      </w:r>
      <w:r w:rsidR="006C6F09">
        <w:t xml:space="preserve"> </w:t>
      </w:r>
      <w:r w:rsidRPr="002255B4">
        <w:t>before</w:t>
      </w:r>
      <w:r w:rsidR="006C6F09">
        <w:t xml:space="preserve"> </w:t>
      </w:r>
      <w:r w:rsidRPr="002255B4">
        <w:t>the</w:t>
      </w:r>
      <w:r w:rsidR="006C6F09">
        <w:t xml:space="preserve"> </w:t>
      </w:r>
      <w:r w:rsidRPr="002255B4">
        <w:t>hearing</w:t>
      </w:r>
      <w:r w:rsidR="006C6F09">
        <w:t xml:space="preserve"> </w:t>
      </w:r>
      <w:r w:rsidRPr="002255B4">
        <w:t>date.</w:t>
      </w:r>
    </w:p>
    <w:p w14:paraId="56A98740" w14:textId="370475C7" w:rsidR="00457754" w:rsidRDefault="00457754" w:rsidP="00457754">
      <w:pPr>
        <w:spacing w:after="0"/>
      </w:pPr>
      <w:r>
        <w:t>If</w:t>
      </w:r>
      <w:r w:rsidR="006C6F09">
        <w:t xml:space="preserve"> </w:t>
      </w:r>
      <w:r>
        <w:t>the</w:t>
      </w:r>
      <w:r w:rsidR="006C6F09">
        <w:t xml:space="preserve"> </w:t>
      </w:r>
      <w:r>
        <w:t>hearing</w:t>
      </w:r>
      <w:r w:rsidR="006C6F09">
        <w:t xml:space="preserve"> </w:t>
      </w:r>
      <w:r>
        <w:t>is</w:t>
      </w:r>
      <w:r w:rsidR="006C6F09">
        <w:t xml:space="preserve"> </w:t>
      </w:r>
      <w:r>
        <w:t>being</w:t>
      </w:r>
      <w:r w:rsidR="006C6F09">
        <w:t xml:space="preserve"> </w:t>
      </w:r>
      <w:r>
        <w:t>conducted</w:t>
      </w:r>
      <w:r w:rsidR="006C6F09">
        <w:t xml:space="preserve"> </w:t>
      </w:r>
      <w:r>
        <w:t>to</w:t>
      </w:r>
      <w:r w:rsidR="006C6F09">
        <w:t xml:space="preserve"> </w:t>
      </w:r>
      <w:r>
        <w:t>comply</w:t>
      </w:r>
      <w:r w:rsidR="006C6F09">
        <w:t xml:space="preserve"> </w:t>
      </w:r>
      <w:r>
        <w:t>with</w:t>
      </w:r>
      <w:r w:rsidR="006C6F09">
        <w:t xml:space="preserve"> </w:t>
      </w:r>
      <w:r>
        <w:t>Chapter</w:t>
      </w:r>
      <w:r w:rsidR="006C6F09">
        <w:t xml:space="preserve"> </w:t>
      </w:r>
      <w:r>
        <w:t>26,</w:t>
      </w:r>
      <w:r w:rsidR="006C6F09">
        <w:t xml:space="preserve"> </w:t>
      </w:r>
      <w:r>
        <w:t>then</w:t>
      </w:r>
      <w:r w:rsidR="006C6F09">
        <w:t xml:space="preserve"> </w:t>
      </w:r>
      <w:r>
        <w:t>the</w:t>
      </w:r>
      <w:r w:rsidR="006C6F09">
        <w:t xml:space="preserve"> </w:t>
      </w:r>
      <w:r>
        <w:t>notice</w:t>
      </w:r>
      <w:r w:rsidR="006C6F09">
        <w:t xml:space="preserve"> </w:t>
      </w:r>
      <w:r>
        <w:t>requirements</w:t>
      </w:r>
      <w:r w:rsidR="006C6F09">
        <w:t xml:space="preserve"> </w:t>
      </w:r>
      <w:r>
        <w:t>must</w:t>
      </w:r>
      <w:r w:rsidR="006C6F09">
        <w:t xml:space="preserve"> </w:t>
      </w:r>
      <w:r>
        <w:t>comply</w:t>
      </w:r>
      <w:r w:rsidR="006C6F09">
        <w:t xml:space="preserve"> </w:t>
      </w:r>
      <w:r>
        <w:t>with</w:t>
      </w:r>
      <w:r w:rsidR="006C6F09">
        <w:t xml:space="preserve"> </w:t>
      </w:r>
      <w:r>
        <w:t>the</w:t>
      </w:r>
      <w:r w:rsidR="006C6F09">
        <w:t xml:space="preserve"> </w:t>
      </w:r>
      <w:r>
        <w:t>regular</w:t>
      </w:r>
      <w:r w:rsidR="006C6F09">
        <w:t xml:space="preserve"> </w:t>
      </w:r>
      <w:r>
        <w:t>requirements</w:t>
      </w:r>
      <w:r w:rsidR="006C6F09">
        <w:t xml:space="preserve"> </w:t>
      </w:r>
      <w:r>
        <w:t>listed</w:t>
      </w:r>
      <w:r w:rsidR="006C6F09">
        <w:t xml:space="preserve"> </w:t>
      </w:r>
      <w:r>
        <w:t>above</w:t>
      </w:r>
      <w:r w:rsidR="006C6F09">
        <w:t xml:space="preserve"> </w:t>
      </w:r>
      <w:r>
        <w:t>for</w:t>
      </w:r>
      <w:r w:rsidR="006C6F09">
        <w:t xml:space="preserve"> </w:t>
      </w:r>
      <w:r>
        <w:t>public</w:t>
      </w:r>
      <w:r w:rsidR="006C6F09">
        <w:t xml:space="preserve"> </w:t>
      </w:r>
      <w:r>
        <w:t>hearings</w:t>
      </w:r>
      <w:r w:rsidR="006C6F09">
        <w:t xml:space="preserve"> </w:t>
      </w:r>
      <w:r>
        <w:t>plus</w:t>
      </w:r>
      <w:r w:rsidR="006C6F09">
        <w:t xml:space="preserve"> </w:t>
      </w:r>
      <w:r>
        <w:t>these</w:t>
      </w:r>
      <w:r w:rsidR="006C6F09">
        <w:t xml:space="preserve"> </w:t>
      </w:r>
      <w:r>
        <w:t>additional</w:t>
      </w:r>
      <w:r w:rsidR="006C6F09">
        <w:t xml:space="preserve"> </w:t>
      </w:r>
      <w:r>
        <w:t>requirements</w:t>
      </w:r>
      <w:r w:rsidR="006C6F09">
        <w:t xml:space="preserve"> </w:t>
      </w:r>
      <w:r>
        <w:t>in</w:t>
      </w:r>
      <w:r w:rsidR="006C6F09">
        <w:t xml:space="preserve"> </w:t>
      </w:r>
      <w:r>
        <w:t>Chapter</w:t>
      </w:r>
      <w:r w:rsidR="006C6F09">
        <w:t xml:space="preserve"> </w:t>
      </w:r>
      <w:r>
        <w:t>26.</w:t>
      </w:r>
      <w:r w:rsidR="006C6F09">
        <w:t xml:space="preserve"> </w:t>
      </w:r>
      <w:r>
        <w:t>The</w:t>
      </w:r>
      <w:r w:rsidR="006C6F09">
        <w:t xml:space="preserve"> </w:t>
      </w:r>
      <w:r>
        <w:t>hearing</w:t>
      </w:r>
      <w:r w:rsidR="006C6F09">
        <w:t xml:space="preserve"> </w:t>
      </w:r>
      <w:r>
        <w:t>and</w:t>
      </w:r>
      <w:r w:rsidR="006C6F09">
        <w:t xml:space="preserve"> </w:t>
      </w:r>
      <w:r>
        <w:t>other</w:t>
      </w:r>
      <w:r w:rsidR="006C6F09">
        <w:t xml:space="preserve"> </w:t>
      </w:r>
      <w:r>
        <w:t>tasks</w:t>
      </w:r>
      <w:r w:rsidR="006C6F09">
        <w:t xml:space="preserve"> </w:t>
      </w:r>
      <w:r>
        <w:t>needed</w:t>
      </w:r>
      <w:r w:rsidR="006C6F09">
        <w:t xml:space="preserve"> </w:t>
      </w:r>
      <w:r>
        <w:t>to</w:t>
      </w:r>
      <w:r w:rsidR="006C6F09">
        <w:t xml:space="preserve"> </w:t>
      </w:r>
      <w:r>
        <w:t>comply</w:t>
      </w:r>
      <w:r w:rsidR="006C6F09">
        <w:t xml:space="preserve"> </w:t>
      </w:r>
      <w:r>
        <w:t>with</w:t>
      </w:r>
      <w:r w:rsidR="006C6F09">
        <w:t xml:space="preserve"> </w:t>
      </w:r>
      <w:r>
        <w:t>Chapter</w:t>
      </w:r>
      <w:r w:rsidR="006C6F09">
        <w:t xml:space="preserve"> </w:t>
      </w:r>
      <w:r>
        <w:t>26</w:t>
      </w:r>
      <w:r w:rsidR="006C6F09">
        <w:t xml:space="preserve"> </w:t>
      </w:r>
      <w:r>
        <w:t>must</w:t>
      </w:r>
      <w:r w:rsidR="006C6F09">
        <w:t xml:space="preserve"> </w:t>
      </w:r>
      <w:r>
        <w:t>be</w:t>
      </w:r>
      <w:r w:rsidR="006C6F09">
        <w:t xml:space="preserve"> </w:t>
      </w:r>
      <w:r>
        <w:t>completed</w:t>
      </w:r>
      <w:r w:rsidR="006C6F09">
        <w:t xml:space="preserve"> </w:t>
      </w:r>
      <w:r>
        <w:t>prior</w:t>
      </w:r>
      <w:r w:rsidR="006C6F09">
        <w:t xml:space="preserve"> </w:t>
      </w:r>
      <w:r>
        <w:t>to</w:t>
      </w:r>
      <w:r w:rsidR="006C6F09">
        <w:t xml:space="preserve"> </w:t>
      </w:r>
      <w:r>
        <w:t>completion</w:t>
      </w:r>
      <w:r w:rsidR="006C6F09">
        <w:t xml:space="preserve"> </w:t>
      </w:r>
      <w:r>
        <w:t>of</w:t>
      </w:r>
      <w:r w:rsidR="006C6F09">
        <w:t xml:space="preserve"> </w:t>
      </w:r>
      <w:r>
        <w:t>the</w:t>
      </w:r>
      <w:r w:rsidR="006C6F09">
        <w:t xml:space="preserve"> </w:t>
      </w:r>
      <w:r>
        <w:t>environmental</w:t>
      </w:r>
      <w:r w:rsidR="006C6F09">
        <w:t xml:space="preserve"> </w:t>
      </w:r>
      <w:r>
        <w:t>review</w:t>
      </w:r>
      <w:r w:rsidR="006C6F09">
        <w:t xml:space="preserve"> </w:t>
      </w:r>
      <w:r>
        <w:t>of</w:t>
      </w:r>
      <w:r w:rsidR="006C6F09">
        <w:t xml:space="preserve"> </w:t>
      </w:r>
      <w:r>
        <w:t>the</w:t>
      </w:r>
      <w:r w:rsidR="006C6F09">
        <w:t xml:space="preserve"> </w:t>
      </w:r>
      <w:r>
        <w:t>project.</w:t>
      </w:r>
      <w:r w:rsidR="006C6F09">
        <w:t xml:space="preserve"> </w:t>
      </w:r>
      <w:r>
        <w:t>Refer</w:t>
      </w:r>
      <w:r w:rsidR="006C6F09">
        <w:t xml:space="preserve"> </w:t>
      </w:r>
      <w:r>
        <w:t>to</w:t>
      </w:r>
      <w:r w:rsidR="006C6F09">
        <w:t xml:space="preserve"> </w:t>
      </w:r>
      <w:r>
        <w:t>the</w:t>
      </w:r>
      <w:r w:rsidR="006C6F09">
        <w:t xml:space="preserve"> </w:t>
      </w:r>
      <w:r>
        <w:t>TxDOT</w:t>
      </w:r>
      <w:r w:rsidR="006C6F09">
        <w:t xml:space="preserve"> </w:t>
      </w:r>
      <w:hyperlink r:id="rId57" w:history="1">
        <w:r w:rsidRPr="00F200FB">
          <w:rPr>
            <w:rStyle w:val="Hyperlink"/>
          </w:rPr>
          <w:t>Chapter</w:t>
        </w:r>
        <w:r w:rsidR="006C6F09">
          <w:rPr>
            <w:rStyle w:val="Hyperlink"/>
          </w:rPr>
          <w:t xml:space="preserve"> </w:t>
        </w:r>
        <w:r w:rsidRPr="00F200FB">
          <w:rPr>
            <w:rStyle w:val="Hyperlink"/>
          </w:rPr>
          <w:t>26</w:t>
        </w:r>
        <w:r w:rsidR="006C6F09">
          <w:rPr>
            <w:rStyle w:val="Hyperlink"/>
          </w:rPr>
          <w:t xml:space="preserve"> </w:t>
        </w:r>
        <w:r w:rsidRPr="00F200FB">
          <w:rPr>
            <w:rStyle w:val="Hyperlink"/>
          </w:rPr>
          <w:t>Parks</w:t>
        </w:r>
        <w:r w:rsidR="006C6F09">
          <w:rPr>
            <w:rStyle w:val="Hyperlink"/>
          </w:rPr>
          <w:t xml:space="preserve"> </w:t>
        </w:r>
        <w:r w:rsidRPr="00F200FB">
          <w:rPr>
            <w:rStyle w:val="Hyperlink"/>
          </w:rPr>
          <w:t>and</w:t>
        </w:r>
        <w:r w:rsidR="006C6F09">
          <w:rPr>
            <w:rStyle w:val="Hyperlink"/>
          </w:rPr>
          <w:t xml:space="preserve"> </w:t>
        </w:r>
        <w:r w:rsidRPr="00F200FB">
          <w:rPr>
            <w:rStyle w:val="Hyperlink"/>
          </w:rPr>
          <w:t>Wildlife</w:t>
        </w:r>
        <w:r w:rsidR="006C6F09">
          <w:rPr>
            <w:rStyle w:val="Hyperlink"/>
          </w:rPr>
          <w:t xml:space="preserve"> </w:t>
        </w:r>
        <w:r w:rsidRPr="00F200FB">
          <w:rPr>
            <w:rStyle w:val="Hyperlink"/>
          </w:rPr>
          <w:t>Code</w:t>
        </w:r>
        <w:r w:rsidR="006C6F09">
          <w:rPr>
            <w:rStyle w:val="Hyperlink"/>
          </w:rPr>
          <w:t xml:space="preserve"> </w:t>
        </w:r>
        <w:r w:rsidRPr="00F200FB">
          <w:rPr>
            <w:rStyle w:val="Hyperlink"/>
          </w:rPr>
          <w:t>Toolkit</w:t>
        </w:r>
      </w:hyperlink>
      <w:r w:rsidR="006C6F09">
        <w:t xml:space="preserve"> </w:t>
      </w:r>
      <w:r w:rsidRPr="00F200FB">
        <w:t>for</w:t>
      </w:r>
      <w:r w:rsidR="006C6F09">
        <w:t xml:space="preserve"> </w:t>
      </w:r>
      <w:r w:rsidRPr="00F200FB">
        <w:t>additional</w:t>
      </w:r>
      <w:r w:rsidR="006C6F09">
        <w:t xml:space="preserve"> </w:t>
      </w:r>
      <w:r w:rsidRPr="00F200FB">
        <w:t>guidance</w:t>
      </w:r>
      <w:r w:rsidR="006C6F09">
        <w:t xml:space="preserve"> </w:t>
      </w:r>
      <w:r w:rsidRPr="00F200FB">
        <w:t>on</w:t>
      </w:r>
      <w:r w:rsidR="006C6F09">
        <w:t xml:space="preserve"> </w:t>
      </w:r>
      <w:r w:rsidRPr="00F200FB">
        <w:t>satisfying</w:t>
      </w:r>
      <w:r w:rsidR="006C6F09">
        <w:t xml:space="preserve"> </w:t>
      </w:r>
      <w:r w:rsidRPr="00F200FB">
        <w:t>these</w:t>
      </w:r>
      <w:r w:rsidR="006C6F09">
        <w:t xml:space="preserve"> </w:t>
      </w:r>
      <w:r w:rsidRPr="00F200FB">
        <w:t>requirements.</w:t>
      </w:r>
    </w:p>
    <w:p w14:paraId="40B67C04" w14:textId="77777777" w:rsidR="00457754" w:rsidRDefault="00457754" w:rsidP="00457754">
      <w:pPr>
        <w:spacing w:after="0"/>
        <w:ind w:left="1440"/>
      </w:pPr>
    </w:p>
    <w:p w14:paraId="33C07028" w14:textId="30D1BBD8" w:rsidR="00457754" w:rsidRPr="005C2C82" w:rsidRDefault="00457754" w:rsidP="005C2C82">
      <w:pPr>
        <w:pStyle w:val="Heading3"/>
      </w:pPr>
      <w:bookmarkStart w:id="67" w:name="_Ref219790927"/>
      <w:bookmarkStart w:id="68" w:name="_Ref219791469"/>
      <w:bookmarkStart w:id="69" w:name="_Toc224026220"/>
      <w:r w:rsidRPr="005C2C82">
        <w:t>6.2</w:t>
      </w:r>
      <w:r w:rsidR="006C6F09" w:rsidRPr="005C2C82">
        <w:t xml:space="preserve"> </w:t>
      </w:r>
      <w:r w:rsidRPr="005C2C82">
        <w:t>Notice</w:t>
      </w:r>
      <w:r w:rsidR="006C6F09" w:rsidRPr="005C2C82">
        <w:t xml:space="preserve"> </w:t>
      </w:r>
      <w:r w:rsidRPr="005C2C82">
        <w:t>Format</w:t>
      </w:r>
      <w:bookmarkEnd w:id="67"/>
      <w:bookmarkEnd w:id="68"/>
      <w:bookmarkEnd w:id="69"/>
      <w:r w:rsidR="006C6F09" w:rsidRPr="005C2C82">
        <w:t xml:space="preserve"> </w:t>
      </w:r>
    </w:p>
    <w:p w14:paraId="789B8C0A" w14:textId="59E110B0" w:rsidR="00457754" w:rsidRDefault="00457754" w:rsidP="00457754">
      <w:r>
        <w:t>It</w:t>
      </w:r>
      <w:r w:rsidR="006C6F09">
        <w:t xml:space="preserve"> </w:t>
      </w:r>
      <w:r>
        <w:t>is</w:t>
      </w:r>
      <w:r w:rsidR="006C6F09">
        <w:t xml:space="preserve"> </w:t>
      </w:r>
      <w:r>
        <w:t>important</w:t>
      </w:r>
      <w:r w:rsidR="006C6F09">
        <w:t xml:space="preserve"> </w:t>
      </w:r>
      <w:r>
        <w:t>to</w:t>
      </w:r>
      <w:r w:rsidR="006C6F09">
        <w:t xml:space="preserve"> </w:t>
      </w:r>
      <w:r>
        <w:t>present</w:t>
      </w:r>
      <w:r w:rsidR="006C6F09">
        <w:t xml:space="preserve"> </w:t>
      </w:r>
      <w:r>
        <w:t>the</w:t>
      </w:r>
      <w:r w:rsidR="006C6F09">
        <w:t xml:space="preserve"> </w:t>
      </w:r>
      <w:r>
        <w:t>following</w:t>
      </w:r>
      <w:r w:rsidR="006C6F09">
        <w:t xml:space="preserve"> </w:t>
      </w:r>
      <w:r>
        <w:t>information</w:t>
      </w:r>
      <w:r w:rsidR="006C6F09">
        <w:t xml:space="preserve"> </w:t>
      </w:r>
      <w:r>
        <w:t>in</w:t>
      </w:r>
      <w:r w:rsidR="006C6F09">
        <w:t xml:space="preserve"> </w:t>
      </w:r>
      <w:r>
        <w:t>the</w:t>
      </w:r>
      <w:r w:rsidR="006C6F09">
        <w:t xml:space="preserve"> </w:t>
      </w:r>
      <w:r>
        <w:t>public</w:t>
      </w:r>
      <w:r w:rsidR="006C6F09">
        <w:t xml:space="preserve"> </w:t>
      </w:r>
      <w:r>
        <w:t>hearing</w:t>
      </w:r>
      <w:r w:rsidR="006C6F09">
        <w:t xml:space="preserve"> </w:t>
      </w:r>
      <w:r>
        <w:t>notice</w:t>
      </w:r>
      <w:r w:rsidR="006C6F09">
        <w:t xml:space="preserve"> </w:t>
      </w:r>
      <w:r>
        <w:t>to</w:t>
      </w:r>
      <w:r w:rsidR="006C6F09">
        <w:t xml:space="preserve"> </w:t>
      </w:r>
      <w:r>
        <w:t>convey</w:t>
      </w:r>
      <w:r w:rsidR="006C6F09">
        <w:t xml:space="preserve"> </w:t>
      </w:r>
      <w:r>
        <w:t>as</w:t>
      </w:r>
      <w:r w:rsidR="006C6F09">
        <w:t xml:space="preserve"> </w:t>
      </w:r>
      <w:r>
        <w:t>much</w:t>
      </w:r>
      <w:r w:rsidR="006C6F09">
        <w:t xml:space="preserve"> </w:t>
      </w:r>
      <w:r>
        <w:t>information</w:t>
      </w:r>
      <w:r w:rsidR="006C6F09">
        <w:t xml:space="preserve"> </w:t>
      </w:r>
      <w:r>
        <w:t>regarding</w:t>
      </w:r>
      <w:r w:rsidR="006C6F09">
        <w:t xml:space="preserve"> </w:t>
      </w:r>
      <w:r>
        <w:t>the</w:t>
      </w:r>
      <w:r w:rsidR="006C6F09">
        <w:t xml:space="preserve"> </w:t>
      </w:r>
      <w:r>
        <w:t>proposed</w:t>
      </w:r>
      <w:r w:rsidR="006C6F09">
        <w:t xml:space="preserve"> </w:t>
      </w:r>
      <w:r>
        <w:t>project</w:t>
      </w:r>
      <w:r w:rsidR="006C6F09">
        <w:t xml:space="preserve"> </w:t>
      </w:r>
      <w:r>
        <w:t>as</w:t>
      </w:r>
      <w:r w:rsidR="006C6F09">
        <w:t xml:space="preserve"> </w:t>
      </w:r>
      <w:r>
        <w:t>possible.</w:t>
      </w:r>
      <w:r w:rsidR="006C6F09">
        <w:t xml:space="preserve"> </w:t>
      </w:r>
      <w:r>
        <w:t>Additional</w:t>
      </w:r>
      <w:r w:rsidR="006C6F09">
        <w:t xml:space="preserve"> </w:t>
      </w:r>
      <w:r>
        <w:t>hearing</w:t>
      </w:r>
      <w:r w:rsidR="006C6F09">
        <w:t xml:space="preserve"> </w:t>
      </w:r>
      <w:r>
        <w:t>notices</w:t>
      </w:r>
      <w:r w:rsidR="006C6F09">
        <w:t xml:space="preserve"> </w:t>
      </w:r>
      <w:r>
        <w:t>may</w:t>
      </w:r>
      <w:r w:rsidR="006C6F09">
        <w:t xml:space="preserve"> </w:t>
      </w:r>
      <w:r>
        <w:t>contain</w:t>
      </w:r>
      <w:r w:rsidR="006C6F09">
        <w:t xml:space="preserve"> </w:t>
      </w:r>
      <w:r>
        <w:t>a</w:t>
      </w:r>
      <w:r w:rsidR="006C6F09">
        <w:t xml:space="preserve"> </w:t>
      </w:r>
      <w:r>
        <w:t>combination</w:t>
      </w:r>
      <w:r w:rsidR="006C6F09">
        <w:t xml:space="preserve"> </w:t>
      </w:r>
      <w:r>
        <w:t>of</w:t>
      </w:r>
      <w:r w:rsidR="006C6F09">
        <w:t xml:space="preserve"> </w:t>
      </w:r>
      <w:r>
        <w:t>any</w:t>
      </w:r>
      <w:r w:rsidR="006C6F09">
        <w:t xml:space="preserve"> </w:t>
      </w:r>
      <w:r>
        <w:t>of</w:t>
      </w:r>
      <w:r w:rsidR="006C6F09">
        <w:t xml:space="preserve"> </w:t>
      </w:r>
      <w:r>
        <w:t>the</w:t>
      </w:r>
      <w:r w:rsidR="006C6F09">
        <w:t xml:space="preserve"> </w:t>
      </w:r>
      <w:r>
        <w:t>following</w:t>
      </w:r>
      <w:r w:rsidR="006C6F09">
        <w:t xml:space="preserve"> </w:t>
      </w:r>
      <w:r>
        <w:t>elements</w:t>
      </w:r>
      <w:r w:rsidR="006C6F09">
        <w:t xml:space="preserve"> </w:t>
      </w:r>
      <w:r>
        <w:t>on</w:t>
      </w:r>
      <w:r w:rsidR="006C6F09">
        <w:t xml:space="preserve"> </w:t>
      </w:r>
      <w:r>
        <w:t>a</w:t>
      </w:r>
      <w:r w:rsidR="006C6F09">
        <w:t xml:space="preserve"> </w:t>
      </w:r>
      <w:r>
        <w:t>level</w:t>
      </w:r>
      <w:r w:rsidR="006C6F09">
        <w:t xml:space="preserve"> </w:t>
      </w:r>
      <w:r>
        <w:t>appropriate</w:t>
      </w:r>
      <w:r w:rsidR="006C6F09">
        <w:t xml:space="preserve"> </w:t>
      </w:r>
      <w:r>
        <w:t>to</w:t>
      </w:r>
      <w:r w:rsidR="006C6F09">
        <w:t xml:space="preserve"> </w:t>
      </w:r>
      <w:r>
        <w:t>the</w:t>
      </w:r>
      <w:r w:rsidR="006C6F09">
        <w:t xml:space="preserve"> </w:t>
      </w:r>
      <w:r>
        <w:t>medium</w:t>
      </w:r>
      <w:r w:rsidR="006C6F09">
        <w:t xml:space="preserve"> </w:t>
      </w:r>
      <w:r>
        <w:t>used.</w:t>
      </w:r>
      <w:r w:rsidR="006C6F09">
        <w:t xml:space="preserve"> </w:t>
      </w:r>
      <w:r>
        <w:t>For</w:t>
      </w:r>
      <w:r w:rsidR="006C6F09">
        <w:t xml:space="preserve"> </w:t>
      </w:r>
      <w:r>
        <w:t>example,</w:t>
      </w:r>
      <w:r w:rsidR="006C6F09">
        <w:t xml:space="preserve"> </w:t>
      </w:r>
      <w:r>
        <w:t>internet</w:t>
      </w:r>
      <w:r w:rsidR="006C6F09">
        <w:t xml:space="preserve"> </w:t>
      </w:r>
      <w:r>
        <w:t>postings</w:t>
      </w:r>
      <w:r w:rsidR="006C6F09">
        <w:t xml:space="preserve"> </w:t>
      </w:r>
      <w:r>
        <w:t>and</w:t>
      </w:r>
      <w:r w:rsidR="006C6F09">
        <w:t xml:space="preserve"> </w:t>
      </w:r>
      <w:r>
        <w:t>newspaper</w:t>
      </w:r>
      <w:r w:rsidR="006C6F09">
        <w:t xml:space="preserve"> </w:t>
      </w:r>
      <w:r>
        <w:t>advertisements</w:t>
      </w:r>
      <w:r w:rsidR="006C6F09">
        <w:t xml:space="preserve"> </w:t>
      </w:r>
      <w:r>
        <w:t>contain</w:t>
      </w:r>
      <w:r w:rsidR="006C6F09">
        <w:t xml:space="preserve"> </w:t>
      </w:r>
      <w:r>
        <w:t>most</w:t>
      </w:r>
      <w:r w:rsidR="006C6F09">
        <w:t xml:space="preserve"> </w:t>
      </w:r>
      <w:r>
        <w:t>or</w:t>
      </w:r>
      <w:r w:rsidR="006C6F09">
        <w:t xml:space="preserve"> </w:t>
      </w:r>
      <w:r>
        <w:t>all</w:t>
      </w:r>
      <w:r w:rsidR="006C6F09">
        <w:t xml:space="preserve"> </w:t>
      </w:r>
      <w:r>
        <w:t>the</w:t>
      </w:r>
      <w:r w:rsidR="006C6F09">
        <w:t xml:space="preserve"> </w:t>
      </w:r>
      <w:r>
        <w:t>elements</w:t>
      </w:r>
      <w:r w:rsidR="006C6F09">
        <w:t xml:space="preserve"> </w:t>
      </w:r>
      <w:r>
        <w:t>shown</w:t>
      </w:r>
      <w:r w:rsidR="006C6F09">
        <w:t xml:space="preserve"> </w:t>
      </w:r>
      <w:r>
        <w:t>below,</w:t>
      </w:r>
      <w:r w:rsidR="006C6F09">
        <w:t xml:space="preserve"> </w:t>
      </w:r>
      <w:r>
        <w:t>but</w:t>
      </w:r>
      <w:r w:rsidR="006C6F09">
        <w:t xml:space="preserve"> </w:t>
      </w:r>
      <w:r>
        <w:t>changeable</w:t>
      </w:r>
      <w:r w:rsidR="006C6F09">
        <w:t xml:space="preserve"> </w:t>
      </w:r>
      <w:r>
        <w:t>message</w:t>
      </w:r>
      <w:r w:rsidR="006C6F09">
        <w:t xml:space="preserve"> </w:t>
      </w:r>
      <w:r>
        <w:t>signs</w:t>
      </w:r>
      <w:r w:rsidR="006C6F09">
        <w:t xml:space="preserve"> </w:t>
      </w:r>
      <w:r>
        <w:t>only</w:t>
      </w:r>
      <w:r w:rsidR="006C6F09">
        <w:t xml:space="preserve"> </w:t>
      </w:r>
      <w:r>
        <w:t>indicate</w:t>
      </w:r>
      <w:r w:rsidR="006C6F09">
        <w:t xml:space="preserve"> </w:t>
      </w:r>
      <w:r>
        <w:t>that</w:t>
      </w:r>
      <w:r w:rsidR="006C6F09">
        <w:t xml:space="preserve"> </w:t>
      </w:r>
      <w:r>
        <w:t>a</w:t>
      </w:r>
      <w:r w:rsidR="006C6F09">
        <w:t xml:space="preserve"> </w:t>
      </w:r>
      <w:r>
        <w:t>hearing</w:t>
      </w:r>
      <w:r w:rsidR="006C6F09">
        <w:t xml:space="preserve"> </w:t>
      </w:r>
      <w:r>
        <w:t>is</w:t>
      </w:r>
      <w:r w:rsidR="006C6F09">
        <w:t xml:space="preserve"> </w:t>
      </w:r>
      <w:r>
        <w:t>occurring</w:t>
      </w:r>
      <w:r w:rsidR="006C6F09">
        <w:t xml:space="preserve"> </w:t>
      </w:r>
      <w:r>
        <w:t>for</w:t>
      </w:r>
      <w:r w:rsidR="006C6F09">
        <w:t xml:space="preserve"> </w:t>
      </w:r>
      <w:r>
        <w:t>a</w:t>
      </w:r>
      <w:r w:rsidR="006C6F09">
        <w:t xml:space="preserve"> </w:t>
      </w:r>
      <w:r>
        <w:t>particular</w:t>
      </w:r>
      <w:r w:rsidR="006C6F09">
        <w:t xml:space="preserve"> </w:t>
      </w:r>
      <w:r>
        <w:t>project</w:t>
      </w:r>
      <w:r w:rsidR="006C6F09">
        <w:t xml:space="preserve"> </w:t>
      </w:r>
      <w:r>
        <w:t>at</w:t>
      </w:r>
      <w:r w:rsidR="006C6F09">
        <w:t xml:space="preserve"> </w:t>
      </w:r>
      <w:r>
        <w:t>a</w:t>
      </w:r>
      <w:r w:rsidR="006C6F09">
        <w:t xml:space="preserve"> </w:t>
      </w:r>
      <w:r>
        <w:t>certain</w:t>
      </w:r>
      <w:r w:rsidR="006C6F09">
        <w:t xml:space="preserve"> </w:t>
      </w:r>
      <w:r>
        <w:t>location</w:t>
      </w:r>
      <w:r w:rsidR="006C6F09">
        <w:t xml:space="preserve"> </w:t>
      </w:r>
      <w:r>
        <w:t>and</w:t>
      </w:r>
      <w:r w:rsidR="006C6F09">
        <w:t xml:space="preserve"> </w:t>
      </w:r>
      <w:r>
        <w:t>time</w:t>
      </w:r>
      <w:r w:rsidR="006C6F09">
        <w:t xml:space="preserve"> </w:t>
      </w:r>
      <w:r>
        <w:t>(example:</w:t>
      </w:r>
      <w:r w:rsidR="006C6F09">
        <w:t xml:space="preserve"> </w:t>
      </w:r>
      <w:r>
        <w:t>US</w:t>
      </w:r>
      <w:r w:rsidR="006C6F09">
        <w:t xml:space="preserve"> </w:t>
      </w:r>
      <w:r>
        <w:t>290</w:t>
      </w:r>
      <w:r w:rsidR="006C6F09">
        <w:t xml:space="preserve"> </w:t>
      </w:r>
      <w:r>
        <w:t>public</w:t>
      </w:r>
      <w:r w:rsidR="006C6F09">
        <w:t xml:space="preserve"> </w:t>
      </w:r>
      <w:r>
        <w:t>hearing,</w:t>
      </w:r>
      <w:r w:rsidR="006C6F09">
        <w:t xml:space="preserve"> </w:t>
      </w:r>
      <w:r w:rsidR="002A46C4">
        <w:t>January 15, 2015</w:t>
      </w:r>
      <w:r>
        <w:t>,</w:t>
      </w:r>
      <w:r w:rsidR="006C6F09">
        <w:t xml:space="preserve"> </w:t>
      </w:r>
      <w:r>
        <w:t>Cypress</w:t>
      </w:r>
      <w:r w:rsidR="006C6F09">
        <w:t xml:space="preserve"> </w:t>
      </w:r>
      <w:r>
        <w:t>HS,</w:t>
      </w:r>
      <w:r w:rsidR="006C6F09">
        <w:t xml:space="preserve"> </w:t>
      </w:r>
      <w:r>
        <w:t>7:30</w:t>
      </w:r>
      <w:r w:rsidR="006C6F09">
        <w:t xml:space="preserve"> </w:t>
      </w:r>
      <w:r>
        <w:t>PM)</w:t>
      </w:r>
      <w:r w:rsidR="006C6F09">
        <w:t xml:space="preserve"> </w:t>
      </w:r>
      <w:r>
        <w:t>and</w:t>
      </w:r>
      <w:r w:rsidR="006C6F09">
        <w:t xml:space="preserve"> </w:t>
      </w:r>
      <w:r>
        <w:t>must</w:t>
      </w:r>
      <w:r w:rsidR="006C6F09">
        <w:t xml:space="preserve"> </w:t>
      </w:r>
      <w:r>
        <w:t>comply</w:t>
      </w:r>
      <w:r w:rsidR="006C6F09">
        <w:t xml:space="preserve"> </w:t>
      </w:r>
      <w:r>
        <w:t>with</w:t>
      </w:r>
      <w:r w:rsidR="006C6F09">
        <w:t xml:space="preserve"> </w:t>
      </w:r>
      <w:r>
        <w:t>applicable</w:t>
      </w:r>
      <w:r w:rsidR="006C6F09">
        <w:t xml:space="preserve"> </w:t>
      </w:r>
      <w:r>
        <w:t>safety</w:t>
      </w:r>
      <w:r w:rsidR="006C6F09">
        <w:t xml:space="preserve"> </w:t>
      </w:r>
      <w:r>
        <w:t>requirements.</w:t>
      </w:r>
      <w:r w:rsidR="006C6F09">
        <w:t xml:space="preserve"> </w:t>
      </w:r>
      <w:r>
        <w:t>For</w:t>
      </w:r>
      <w:r w:rsidR="006C6F09">
        <w:t xml:space="preserve"> </w:t>
      </w:r>
      <w:r>
        <w:t>the</w:t>
      </w:r>
      <w:r w:rsidR="006C6F09">
        <w:t xml:space="preserve"> </w:t>
      </w:r>
      <w:r>
        <w:t>newspaper</w:t>
      </w:r>
      <w:r w:rsidR="006C6F09">
        <w:t xml:space="preserve"> </w:t>
      </w:r>
      <w:r>
        <w:t>notice</w:t>
      </w:r>
      <w:r w:rsidR="006C6F09">
        <w:t xml:space="preserve"> </w:t>
      </w:r>
      <w:r>
        <w:t>of</w:t>
      </w:r>
      <w:r w:rsidR="006C6F09">
        <w:t xml:space="preserve"> </w:t>
      </w:r>
      <w:r>
        <w:t>the</w:t>
      </w:r>
      <w:r w:rsidR="006C6F09">
        <w:t xml:space="preserve"> </w:t>
      </w:r>
      <w:r>
        <w:t>hearing,</w:t>
      </w:r>
      <w:r w:rsidR="006C6F09">
        <w:t xml:space="preserve"> </w:t>
      </w:r>
      <w:r>
        <w:t>the</w:t>
      </w:r>
      <w:r w:rsidR="006C6F09">
        <w:t xml:space="preserve"> </w:t>
      </w:r>
      <w:r>
        <w:t>notice</w:t>
      </w:r>
      <w:r w:rsidR="006C6F09">
        <w:t xml:space="preserve"> </w:t>
      </w:r>
      <w:r>
        <w:t>can</w:t>
      </w:r>
      <w:r w:rsidR="006C6F09">
        <w:t xml:space="preserve"> </w:t>
      </w:r>
      <w:r>
        <w:t>be</w:t>
      </w:r>
      <w:r w:rsidR="006C6F09">
        <w:t xml:space="preserve"> </w:t>
      </w:r>
      <w:r>
        <w:t>published</w:t>
      </w:r>
      <w:r w:rsidR="006C6F09">
        <w:t xml:space="preserve"> </w:t>
      </w:r>
      <w:r>
        <w:t>in</w:t>
      </w:r>
      <w:r w:rsidR="006C6F09">
        <w:t xml:space="preserve"> </w:t>
      </w:r>
      <w:r>
        <w:t>any</w:t>
      </w:r>
      <w:r w:rsidR="006C6F09">
        <w:t xml:space="preserve"> </w:t>
      </w:r>
      <w:r>
        <w:t>section</w:t>
      </w:r>
      <w:r w:rsidR="006C6F09">
        <w:t xml:space="preserve"> </w:t>
      </w:r>
      <w:r>
        <w:t>of</w:t>
      </w:r>
      <w:r w:rsidR="006C6F09">
        <w:t xml:space="preserve"> </w:t>
      </w:r>
      <w:r>
        <w:t>the</w:t>
      </w:r>
      <w:r w:rsidR="006C6F09">
        <w:t xml:space="preserve"> </w:t>
      </w:r>
      <w:r>
        <w:t>newspaper</w:t>
      </w:r>
      <w:r w:rsidR="006C6F09">
        <w:t xml:space="preserve"> </w:t>
      </w:r>
      <w:r>
        <w:t>and</w:t>
      </w:r>
      <w:r w:rsidR="006C6F09">
        <w:t xml:space="preserve"> </w:t>
      </w:r>
      <w:r>
        <w:t>in</w:t>
      </w:r>
      <w:r w:rsidR="006C6F09">
        <w:t xml:space="preserve"> </w:t>
      </w:r>
      <w:r>
        <w:t>any</w:t>
      </w:r>
      <w:r w:rsidR="006C6F09">
        <w:t xml:space="preserve"> </w:t>
      </w:r>
      <w:r>
        <w:t>format,</w:t>
      </w:r>
      <w:r w:rsidR="006C6F09">
        <w:t xml:space="preserve"> </w:t>
      </w:r>
      <w:r>
        <w:t>although</w:t>
      </w:r>
      <w:r w:rsidR="006C6F09">
        <w:t xml:space="preserve"> </w:t>
      </w:r>
      <w:r>
        <w:t>it</w:t>
      </w:r>
      <w:r w:rsidR="006C6F09">
        <w:t xml:space="preserve"> </w:t>
      </w:r>
      <w:r>
        <w:t>is</w:t>
      </w:r>
      <w:r w:rsidR="006C6F09">
        <w:t xml:space="preserve"> </w:t>
      </w:r>
      <w:r>
        <w:t>recommended</w:t>
      </w:r>
      <w:r w:rsidR="006C6F09">
        <w:t xml:space="preserve"> </w:t>
      </w:r>
      <w:r>
        <w:t>that</w:t>
      </w:r>
      <w:r w:rsidR="006C6F09">
        <w:t xml:space="preserve"> </w:t>
      </w:r>
      <w:r>
        <w:t>the</w:t>
      </w:r>
      <w:r w:rsidR="006C6F09">
        <w:t xml:space="preserve"> </w:t>
      </w:r>
      <w:r>
        <w:t>notice</w:t>
      </w:r>
      <w:r w:rsidR="006C6F09">
        <w:t xml:space="preserve"> </w:t>
      </w:r>
      <w:r>
        <w:t>not</w:t>
      </w:r>
      <w:r w:rsidR="006C6F09">
        <w:t xml:space="preserve"> </w:t>
      </w:r>
      <w:r>
        <w:t>be</w:t>
      </w:r>
      <w:r w:rsidR="006C6F09">
        <w:t xml:space="preserve"> </w:t>
      </w:r>
      <w:r>
        <w:t>published</w:t>
      </w:r>
      <w:r w:rsidR="006C6F09">
        <w:t xml:space="preserve"> </w:t>
      </w:r>
      <w:r>
        <w:t>in</w:t>
      </w:r>
      <w:r w:rsidR="006C6F09">
        <w:t xml:space="preserve"> </w:t>
      </w:r>
      <w:r>
        <w:t>the</w:t>
      </w:r>
      <w:r w:rsidR="006C6F09">
        <w:t xml:space="preserve"> </w:t>
      </w:r>
      <w:r>
        <w:t>legal</w:t>
      </w:r>
      <w:r w:rsidR="006C6F09">
        <w:t xml:space="preserve"> </w:t>
      </w:r>
      <w:r>
        <w:t>notices</w:t>
      </w:r>
      <w:r w:rsidR="006C6F09">
        <w:t xml:space="preserve"> </w:t>
      </w:r>
      <w:r>
        <w:t>section.</w:t>
      </w:r>
      <w:r w:rsidR="006C6F09">
        <w:t xml:space="preserve"> </w:t>
      </w:r>
      <w:r>
        <w:t>It</w:t>
      </w:r>
      <w:r w:rsidR="006C6F09">
        <w:t xml:space="preserve"> </w:t>
      </w:r>
      <w:r>
        <w:t>is</w:t>
      </w:r>
      <w:r w:rsidR="006C6F09">
        <w:t xml:space="preserve"> </w:t>
      </w:r>
      <w:r>
        <w:t>important</w:t>
      </w:r>
      <w:r w:rsidR="006C6F09">
        <w:t xml:space="preserve"> </w:t>
      </w:r>
      <w:r>
        <w:t>to</w:t>
      </w:r>
      <w:r w:rsidR="006C6F09">
        <w:t xml:space="preserve"> </w:t>
      </w:r>
      <w:proofErr w:type="gramStart"/>
      <w:r>
        <w:t>relay</w:t>
      </w:r>
      <w:proofErr w:type="gramEnd"/>
      <w:r w:rsidR="006C6F09">
        <w:t xml:space="preserve"> </w:t>
      </w:r>
      <w:r>
        <w:t>to</w:t>
      </w:r>
      <w:r w:rsidR="006C6F09">
        <w:t xml:space="preserve"> </w:t>
      </w:r>
      <w:r>
        <w:t>the</w:t>
      </w:r>
      <w:r w:rsidR="006C6F09">
        <w:t xml:space="preserve"> </w:t>
      </w:r>
      <w:r>
        <w:t>public</w:t>
      </w:r>
      <w:r w:rsidR="006C6F09">
        <w:t xml:space="preserve"> </w:t>
      </w:r>
      <w:r>
        <w:t>as</w:t>
      </w:r>
      <w:r w:rsidR="006C6F09">
        <w:t xml:space="preserve"> </w:t>
      </w:r>
      <w:r>
        <w:t>much</w:t>
      </w:r>
      <w:r w:rsidR="006C6F09">
        <w:t xml:space="preserve"> </w:t>
      </w:r>
      <w:r>
        <w:t>of</w:t>
      </w:r>
      <w:r w:rsidR="006C6F09">
        <w:t xml:space="preserve"> </w:t>
      </w:r>
      <w:r>
        <w:t>the</w:t>
      </w:r>
      <w:r w:rsidR="006C6F09">
        <w:t xml:space="preserve"> </w:t>
      </w:r>
      <w:r>
        <w:t>context</w:t>
      </w:r>
      <w:r w:rsidR="006C6F09">
        <w:t xml:space="preserve"> </w:t>
      </w:r>
      <w:r>
        <w:t>of</w:t>
      </w:r>
      <w:r w:rsidR="006C6F09">
        <w:t xml:space="preserve"> </w:t>
      </w:r>
      <w:r>
        <w:t>the</w:t>
      </w:r>
      <w:r w:rsidR="006C6F09">
        <w:t xml:space="preserve"> </w:t>
      </w:r>
      <w:r>
        <w:t>proposed</w:t>
      </w:r>
      <w:r w:rsidR="006C6F09">
        <w:t xml:space="preserve"> </w:t>
      </w:r>
      <w:r>
        <w:t>project</w:t>
      </w:r>
      <w:r w:rsidR="006C6F09">
        <w:t xml:space="preserve"> </w:t>
      </w:r>
      <w:r>
        <w:t>as</w:t>
      </w:r>
      <w:r w:rsidR="006C6F09">
        <w:t xml:space="preserve"> </w:t>
      </w:r>
      <w:r>
        <w:t>possible</w:t>
      </w:r>
      <w:r w:rsidR="006C6F09">
        <w:t xml:space="preserve"> </w:t>
      </w:r>
      <w:r>
        <w:t>to</w:t>
      </w:r>
      <w:r w:rsidR="006C6F09">
        <w:t xml:space="preserve"> </w:t>
      </w:r>
      <w:r>
        <w:t>ensure</w:t>
      </w:r>
      <w:r w:rsidR="006C6F09">
        <w:t xml:space="preserve"> </w:t>
      </w:r>
      <w:r>
        <w:t>proper</w:t>
      </w:r>
      <w:r w:rsidR="006C6F09">
        <w:t xml:space="preserve"> </w:t>
      </w:r>
      <w:r>
        <w:t>advertisement</w:t>
      </w:r>
      <w:r w:rsidR="006C6F09">
        <w:t xml:space="preserve"> </w:t>
      </w:r>
      <w:r>
        <w:t>of</w:t>
      </w:r>
      <w:r w:rsidR="006C6F09">
        <w:t xml:space="preserve"> </w:t>
      </w:r>
      <w:r>
        <w:t>the</w:t>
      </w:r>
      <w:r w:rsidR="006C6F09">
        <w:t xml:space="preserve"> </w:t>
      </w:r>
      <w:r>
        <w:t>meeting.</w:t>
      </w:r>
    </w:p>
    <w:p w14:paraId="02584FDA" w14:textId="459292A4" w:rsidR="00457754" w:rsidRDefault="00457754" w:rsidP="00457754">
      <w:pPr>
        <w:spacing w:after="0"/>
      </w:pPr>
      <w:r>
        <w:t>The</w:t>
      </w:r>
      <w:r w:rsidR="006C6F09">
        <w:t xml:space="preserve"> </w:t>
      </w:r>
      <w:r>
        <w:t>notice</w:t>
      </w:r>
      <w:r w:rsidR="006C6F09">
        <w:t xml:space="preserve"> </w:t>
      </w:r>
      <w:r>
        <w:t>must</w:t>
      </w:r>
      <w:r w:rsidR="006C6F09">
        <w:t xml:space="preserve"> </w:t>
      </w:r>
      <w:r>
        <w:t>include</w:t>
      </w:r>
      <w:r w:rsidR="006C6F09">
        <w:t xml:space="preserve"> </w:t>
      </w:r>
      <w:r>
        <w:t>the</w:t>
      </w:r>
      <w:r w:rsidR="006C6F09">
        <w:t xml:space="preserve"> </w:t>
      </w:r>
      <w:r>
        <w:t>following</w:t>
      </w:r>
      <w:r w:rsidR="006C6F09">
        <w:t xml:space="preserve"> </w:t>
      </w:r>
      <w:r>
        <w:t>information.</w:t>
      </w:r>
    </w:p>
    <w:p w14:paraId="10FC072F" w14:textId="4E101A1B" w:rsidR="00457754" w:rsidRPr="002255B4" w:rsidRDefault="00457754" w:rsidP="00457754">
      <w:pPr>
        <w:pStyle w:val="ListBullet"/>
      </w:pPr>
      <w:r w:rsidRPr="002255B4">
        <w:lastRenderedPageBreak/>
        <w:t>Identify</w:t>
      </w:r>
      <w:r w:rsidR="006C6F09">
        <w:t xml:space="preserve"> </w:t>
      </w:r>
      <w:r w:rsidRPr="002255B4">
        <w:t>the</w:t>
      </w:r>
      <w:r w:rsidR="006C6F09">
        <w:t xml:space="preserve"> </w:t>
      </w:r>
      <w:r w:rsidRPr="002255B4">
        <w:t>lead</w:t>
      </w:r>
      <w:r w:rsidR="006C6F09">
        <w:t xml:space="preserve"> </w:t>
      </w:r>
      <w:r w:rsidRPr="002255B4">
        <w:t>agency</w:t>
      </w:r>
      <w:r w:rsidR="006C6F09">
        <w:t xml:space="preserve"> </w:t>
      </w:r>
      <w:r w:rsidRPr="002255B4">
        <w:t>that</w:t>
      </w:r>
      <w:r w:rsidR="006C6F09">
        <w:t xml:space="preserve"> </w:t>
      </w:r>
      <w:r w:rsidRPr="002255B4">
        <w:t>will</w:t>
      </w:r>
      <w:r w:rsidR="006C6F09">
        <w:t xml:space="preserve"> </w:t>
      </w:r>
      <w:r w:rsidRPr="002255B4">
        <w:t>ultimately</w:t>
      </w:r>
      <w:r w:rsidR="006C6F09">
        <w:t xml:space="preserve"> </w:t>
      </w:r>
      <w:r w:rsidRPr="002255B4">
        <w:t>approve</w:t>
      </w:r>
      <w:r w:rsidR="006C6F09">
        <w:t xml:space="preserve"> </w:t>
      </w:r>
      <w:r w:rsidRPr="002255B4">
        <w:t>the</w:t>
      </w:r>
      <w:r w:rsidR="006C6F09">
        <w:t xml:space="preserve"> </w:t>
      </w:r>
      <w:r w:rsidRPr="002255B4">
        <w:t>environmental</w:t>
      </w:r>
      <w:r w:rsidR="006C6F09">
        <w:t xml:space="preserve"> </w:t>
      </w:r>
      <w:r w:rsidRPr="002255B4">
        <w:t>review,</w:t>
      </w:r>
      <w:r w:rsidR="006C6F09">
        <w:t xml:space="preserve"> </w:t>
      </w:r>
      <w:r w:rsidRPr="002255B4">
        <w:t>and</w:t>
      </w:r>
      <w:r w:rsidR="006C6F09">
        <w:t xml:space="preserve"> </w:t>
      </w:r>
      <w:r w:rsidRPr="002255B4">
        <w:t>reference</w:t>
      </w:r>
      <w:r w:rsidR="006C6F09">
        <w:t xml:space="preserve"> </w:t>
      </w:r>
      <w:r w:rsidRPr="002255B4">
        <w:t>any</w:t>
      </w:r>
      <w:r w:rsidR="006C6F09">
        <w:t xml:space="preserve"> </w:t>
      </w:r>
      <w:r w:rsidRPr="002255B4">
        <w:t>joint</w:t>
      </w:r>
      <w:r w:rsidR="006C6F09">
        <w:t xml:space="preserve"> </w:t>
      </w:r>
      <w:r w:rsidRPr="002255B4">
        <w:t>lead</w:t>
      </w:r>
      <w:r w:rsidR="006C6F09">
        <w:t xml:space="preserve"> </w:t>
      </w:r>
      <w:r w:rsidRPr="002255B4">
        <w:t>agency,</w:t>
      </w:r>
      <w:r w:rsidR="006C6F09">
        <w:t xml:space="preserve"> </w:t>
      </w:r>
      <w:r w:rsidRPr="002255B4">
        <w:t>cooperating</w:t>
      </w:r>
      <w:r w:rsidR="006C6F09">
        <w:t xml:space="preserve"> </w:t>
      </w:r>
      <w:r w:rsidRPr="002255B4">
        <w:t>agencies,</w:t>
      </w:r>
      <w:r w:rsidR="006C6F09">
        <w:t xml:space="preserve"> </w:t>
      </w:r>
      <w:r w:rsidRPr="002255B4">
        <w:t>and</w:t>
      </w:r>
      <w:r w:rsidR="006C6F09">
        <w:t xml:space="preserve"> </w:t>
      </w:r>
      <w:r w:rsidRPr="002255B4">
        <w:t>cooperating</w:t>
      </w:r>
      <w:r w:rsidR="006C6F09">
        <w:t xml:space="preserve"> </w:t>
      </w:r>
      <w:proofErr w:type="gramStart"/>
      <w:r w:rsidRPr="002255B4">
        <w:t>and</w:t>
      </w:r>
      <w:r w:rsidR="006C6F09">
        <w:t xml:space="preserve"> </w:t>
      </w:r>
      <w:r w:rsidRPr="002255B4">
        <w:t>or</w:t>
      </w:r>
      <w:proofErr w:type="gramEnd"/>
      <w:r w:rsidR="006C6F09">
        <w:t xml:space="preserve"> </w:t>
      </w:r>
      <w:r w:rsidRPr="002255B4">
        <w:t>sponsoring</w:t>
      </w:r>
      <w:r w:rsidR="006C6F09">
        <w:t xml:space="preserve"> </w:t>
      </w:r>
      <w:r w:rsidRPr="002255B4">
        <w:t>local</w:t>
      </w:r>
      <w:r w:rsidR="006C6F09">
        <w:t xml:space="preserve"> </w:t>
      </w:r>
      <w:r w:rsidRPr="002255B4">
        <w:t>governments</w:t>
      </w:r>
      <w:r w:rsidR="006C6F09">
        <w:t xml:space="preserve"> </w:t>
      </w:r>
      <w:r w:rsidRPr="002255B4">
        <w:t>if</w:t>
      </w:r>
      <w:r w:rsidR="006C6F09">
        <w:t xml:space="preserve"> </w:t>
      </w:r>
      <w:r w:rsidRPr="002255B4">
        <w:t>applicable.</w:t>
      </w:r>
    </w:p>
    <w:p w14:paraId="2FAC5744" w14:textId="503EF0F8" w:rsidR="00457754" w:rsidRPr="002255B4" w:rsidRDefault="00457754" w:rsidP="00457754">
      <w:pPr>
        <w:pStyle w:val="ListBullet"/>
      </w:pPr>
      <w:r w:rsidRPr="002255B4">
        <w:t>Describe</w:t>
      </w:r>
      <w:r w:rsidR="006C6F09">
        <w:t xml:space="preserve"> </w:t>
      </w:r>
      <w:r w:rsidRPr="002255B4">
        <w:t>the</w:t>
      </w:r>
      <w:r w:rsidR="006C6F09">
        <w:t xml:space="preserve"> </w:t>
      </w:r>
      <w:r w:rsidRPr="002255B4">
        <w:t>proposed</w:t>
      </w:r>
      <w:r w:rsidR="006C6F09">
        <w:t xml:space="preserve"> </w:t>
      </w:r>
      <w:r w:rsidRPr="002255B4">
        <w:t>project,</w:t>
      </w:r>
      <w:r w:rsidR="006C6F09">
        <w:t xml:space="preserve"> </w:t>
      </w:r>
      <w:r w:rsidRPr="002255B4">
        <w:t>including</w:t>
      </w:r>
      <w:r w:rsidR="006C6F09">
        <w:t xml:space="preserve"> </w:t>
      </w:r>
      <w:r w:rsidRPr="002255B4">
        <w:t>the</w:t>
      </w:r>
      <w:r w:rsidR="006C6F09">
        <w:t xml:space="preserve"> </w:t>
      </w:r>
      <w:r w:rsidRPr="002255B4">
        <w:t>following</w:t>
      </w:r>
      <w:r w:rsidR="006C6F09">
        <w:t xml:space="preserve"> </w:t>
      </w:r>
      <w:r w:rsidRPr="002255B4">
        <w:t>information.</w:t>
      </w:r>
    </w:p>
    <w:p w14:paraId="019C973C" w14:textId="19AF3941" w:rsidR="00457754" w:rsidRPr="002255B4" w:rsidRDefault="00457754" w:rsidP="00457754">
      <w:pPr>
        <w:pStyle w:val="ListBullet"/>
      </w:pPr>
      <w:r w:rsidRPr="002255B4">
        <w:t>Highway</w:t>
      </w:r>
      <w:r w:rsidR="006C6F09">
        <w:t xml:space="preserve"> </w:t>
      </w:r>
      <w:r w:rsidRPr="002255B4">
        <w:t>number(s)</w:t>
      </w:r>
    </w:p>
    <w:p w14:paraId="6F628FDE" w14:textId="72344050" w:rsidR="00457754" w:rsidRPr="002255B4" w:rsidRDefault="00457754" w:rsidP="00457754">
      <w:pPr>
        <w:pStyle w:val="ListBullet"/>
      </w:pPr>
      <w:r w:rsidRPr="002255B4">
        <w:t>Project</w:t>
      </w:r>
      <w:r w:rsidR="006C6F09">
        <w:t xml:space="preserve"> </w:t>
      </w:r>
      <w:r w:rsidRPr="002255B4">
        <w:t>termini</w:t>
      </w:r>
    </w:p>
    <w:p w14:paraId="333624E5" w14:textId="4A3E9904" w:rsidR="00457754" w:rsidRPr="002255B4" w:rsidRDefault="00457754" w:rsidP="00457754">
      <w:pPr>
        <w:pStyle w:val="ListBullet"/>
      </w:pPr>
      <w:r w:rsidRPr="002255B4">
        <w:t>Project</w:t>
      </w:r>
      <w:r w:rsidR="006C6F09">
        <w:t xml:space="preserve"> </w:t>
      </w:r>
      <w:r w:rsidRPr="002255B4">
        <w:t>length</w:t>
      </w:r>
      <w:r w:rsidR="006C6F09">
        <w:t xml:space="preserve"> </w:t>
      </w:r>
      <w:r w:rsidRPr="002255B4">
        <w:t>in</w:t>
      </w:r>
      <w:r w:rsidR="006C6F09">
        <w:t xml:space="preserve"> </w:t>
      </w:r>
      <w:r w:rsidRPr="002255B4">
        <w:t>miles</w:t>
      </w:r>
    </w:p>
    <w:p w14:paraId="3F324420" w14:textId="1A0D958E" w:rsidR="00457754" w:rsidRPr="002255B4" w:rsidRDefault="00457754" w:rsidP="00457754">
      <w:pPr>
        <w:pStyle w:val="ListBullet"/>
      </w:pPr>
      <w:r w:rsidRPr="002255B4">
        <w:t>Type</w:t>
      </w:r>
      <w:r w:rsidR="006C6F09">
        <w:t xml:space="preserve"> </w:t>
      </w:r>
      <w:r w:rsidRPr="002255B4">
        <w:t>of</w:t>
      </w:r>
      <w:r w:rsidR="006C6F09">
        <w:t xml:space="preserve"> </w:t>
      </w:r>
      <w:r w:rsidRPr="002255B4">
        <w:t>facility</w:t>
      </w:r>
    </w:p>
    <w:p w14:paraId="066C5ECA" w14:textId="29E6D161" w:rsidR="00457754" w:rsidRPr="002255B4" w:rsidRDefault="00457754" w:rsidP="00457754">
      <w:pPr>
        <w:pStyle w:val="ListBullet"/>
      </w:pPr>
      <w:r w:rsidRPr="002255B4">
        <w:t>Number</w:t>
      </w:r>
      <w:r w:rsidR="006C6F09">
        <w:t xml:space="preserve"> </w:t>
      </w:r>
      <w:r w:rsidRPr="002255B4">
        <w:t>of</w:t>
      </w:r>
      <w:r w:rsidR="006C6F09">
        <w:t xml:space="preserve"> </w:t>
      </w:r>
      <w:r w:rsidRPr="002255B4">
        <w:t>lanes</w:t>
      </w:r>
    </w:p>
    <w:p w14:paraId="067D12B9" w14:textId="40E2DB6F" w:rsidR="00457754" w:rsidRPr="002255B4" w:rsidRDefault="00457754" w:rsidP="00457754">
      <w:pPr>
        <w:pStyle w:val="ListBullet"/>
      </w:pPr>
      <w:r w:rsidRPr="002255B4">
        <w:t>Counties,</w:t>
      </w:r>
      <w:r w:rsidR="006C6F09">
        <w:t xml:space="preserve"> </w:t>
      </w:r>
      <w:r w:rsidRPr="002255B4">
        <w:t>cities,</w:t>
      </w:r>
      <w:r w:rsidR="006C6F09">
        <w:t xml:space="preserve"> </w:t>
      </w:r>
      <w:r w:rsidRPr="002255B4">
        <w:t>and</w:t>
      </w:r>
      <w:r w:rsidR="006C6F09">
        <w:t xml:space="preserve"> </w:t>
      </w:r>
      <w:r w:rsidRPr="002255B4">
        <w:t>or</w:t>
      </w:r>
      <w:r w:rsidR="006C6F09">
        <w:t xml:space="preserve"> </w:t>
      </w:r>
      <w:r w:rsidRPr="002255B4">
        <w:t>communities</w:t>
      </w:r>
      <w:r w:rsidR="006C6F09">
        <w:t xml:space="preserve"> </w:t>
      </w:r>
      <w:r w:rsidRPr="002255B4">
        <w:t>affected</w:t>
      </w:r>
    </w:p>
    <w:p w14:paraId="0744048C" w14:textId="77777777" w:rsidR="00457754" w:rsidRPr="002255B4" w:rsidRDefault="00457754" w:rsidP="00457754">
      <w:pPr>
        <w:pStyle w:val="ListBullet"/>
      </w:pPr>
      <w:r w:rsidRPr="002255B4">
        <w:t>CSJ(s)</w:t>
      </w:r>
    </w:p>
    <w:p w14:paraId="576F3152" w14:textId="435C6AEB" w:rsidR="00457754" w:rsidRPr="002255B4" w:rsidRDefault="00457754" w:rsidP="00457754">
      <w:pPr>
        <w:pStyle w:val="ListBullet"/>
      </w:pPr>
      <w:r w:rsidRPr="002255B4">
        <w:t>Describe</w:t>
      </w:r>
      <w:r w:rsidR="006C6F09">
        <w:t xml:space="preserve"> </w:t>
      </w:r>
      <w:r w:rsidRPr="002255B4">
        <w:t>the</w:t>
      </w:r>
      <w:r w:rsidR="006C6F09">
        <w:t xml:space="preserve"> </w:t>
      </w:r>
      <w:r w:rsidRPr="002255B4">
        <w:t>existing</w:t>
      </w:r>
      <w:r w:rsidR="006C6F09">
        <w:t xml:space="preserve"> </w:t>
      </w:r>
      <w:r w:rsidRPr="002255B4">
        <w:t>and</w:t>
      </w:r>
      <w:r w:rsidR="006C6F09">
        <w:t xml:space="preserve"> </w:t>
      </w:r>
      <w:r w:rsidRPr="002255B4">
        <w:t>proposed</w:t>
      </w:r>
      <w:r w:rsidR="006C6F09">
        <w:t xml:space="preserve"> </w:t>
      </w:r>
      <w:r w:rsidRPr="002255B4">
        <w:t>ROW</w:t>
      </w:r>
      <w:r w:rsidR="006C6F09">
        <w:t xml:space="preserve"> </w:t>
      </w:r>
      <w:r w:rsidRPr="002255B4">
        <w:t>widths,</w:t>
      </w:r>
      <w:r w:rsidR="006C6F09">
        <w:t xml:space="preserve"> </w:t>
      </w:r>
      <w:r w:rsidRPr="002255B4">
        <w:t>including</w:t>
      </w:r>
      <w:r w:rsidR="006C6F09">
        <w:t xml:space="preserve"> </w:t>
      </w:r>
      <w:r w:rsidRPr="002255B4">
        <w:t>anticipated</w:t>
      </w:r>
      <w:r w:rsidR="006C6F09">
        <w:t xml:space="preserve"> </w:t>
      </w:r>
      <w:r w:rsidRPr="002255B4">
        <w:t>displacements.</w:t>
      </w:r>
    </w:p>
    <w:p w14:paraId="5FC3F50C" w14:textId="2F6DA6EE" w:rsidR="00457754" w:rsidRPr="002255B4" w:rsidRDefault="00457754" w:rsidP="00457754">
      <w:pPr>
        <w:pStyle w:val="ListBullet"/>
      </w:pPr>
      <w:r w:rsidRPr="002255B4">
        <w:t>Describe</w:t>
      </w:r>
      <w:r w:rsidR="006C6F09">
        <w:t xml:space="preserve"> </w:t>
      </w:r>
      <w:r w:rsidRPr="002255B4">
        <w:t>any</w:t>
      </w:r>
      <w:r w:rsidR="006C6F09">
        <w:t xml:space="preserve"> </w:t>
      </w:r>
      <w:r w:rsidRPr="002255B4">
        <w:t>Section</w:t>
      </w:r>
      <w:r w:rsidR="006C6F09">
        <w:t xml:space="preserve"> </w:t>
      </w:r>
      <w:r w:rsidRPr="002255B4">
        <w:t>4(f)</w:t>
      </w:r>
      <w:r w:rsidR="006C6F09">
        <w:t xml:space="preserve"> </w:t>
      </w:r>
      <w:r w:rsidRPr="002255B4">
        <w:t>properties</w:t>
      </w:r>
      <w:r w:rsidR="006C6F09">
        <w:t xml:space="preserve"> </w:t>
      </w:r>
      <w:r w:rsidRPr="002255B4">
        <w:t>that</w:t>
      </w:r>
      <w:r w:rsidR="006C6F09">
        <w:t xml:space="preserve"> </w:t>
      </w:r>
      <w:r w:rsidRPr="002255B4">
        <w:t>are</w:t>
      </w:r>
      <w:r w:rsidR="006C6F09">
        <w:t xml:space="preserve"> </w:t>
      </w:r>
      <w:r w:rsidRPr="002255B4">
        <w:t>proposed</w:t>
      </w:r>
      <w:r w:rsidR="006C6F09">
        <w:t xml:space="preserve"> </w:t>
      </w:r>
      <w:r w:rsidRPr="002255B4">
        <w:t>to</w:t>
      </w:r>
      <w:r w:rsidR="006C6F09">
        <w:t xml:space="preserve"> </w:t>
      </w:r>
      <w:r w:rsidRPr="002255B4">
        <w:t>be</w:t>
      </w:r>
      <w:r w:rsidR="006C6F09">
        <w:t xml:space="preserve"> </w:t>
      </w:r>
      <w:r w:rsidRPr="002255B4">
        <w:t>impacted</w:t>
      </w:r>
      <w:r w:rsidR="006C6F09">
        <w:t xml:space="preserve"> </w:t>
      </w:r>
      <w:r w:rsidRPr="002255B4">
        <w:t>(</w:t>
      </w:r>
      <w:r w:rsidRPr="00263E76">
        <w:rPr>
          <w:i/>
          <w:iCs/>
          <w:lang w:val="la-Latn"/>
        </w:rPr>
        <w:t>de</w:t>
      </w:r>
      <w:r w:rsidR="006C6F09">
        <w:rPr>
          <w:i/>
          <w:iCs/>
          <w:lang w:val="la-Latn"/>
        </w:rPr>
        <w:t xml:space="preserve"> </w:t>
      </w:r>
      <w:r w:rsidRPr="00263E76">
        <w:rPr>
          <w:i/>
          <w:iCs/>
          <w:lang w:val="la-Latn"/>
        </w:rPr>
        <w:t>minimis</w:t>
      </w:r>
      <w:r w:rsidRPr="002255B4">
        <w:t>,</w:t>
      </w:r>
      <w:r w:rsidR="006C6F09">
        <w:t xml:space="preserve"> </w:t>
      </w:r>
      <w:r w:rsidRPr="002255B4">
        <w:t>programmatic</w:t>
      </w:r>
      <w:r w:rsidR="006C6F09">
        <w:t xml:space="preserve"> </w:t>
      </w:r>
      <w:r w:rsidRPr="002255B4">
        <w:t>or</w:t>
      </w:r>
      <w:r w:rsidR="006C6F09">
        <w:t xml:space="preserve"> </w:t>
      </w:r>
      <w:r w:rsidRPr="002255B4">
        <w:t>individual).</w:t>
      </w:r>
      <w:r w:rsidR="006C6F09">
        <w:t xml:space="preserve"> </w:t>
      </w:r>
      <w:r w:rsidRPr="002255B4">
        <w:t>If</w:t>
      </w:r>
      <w:r w:rsidR="006C6F09">
        <w:t xml:space="preserve"> </w:t>
      </w:r>
      <w:r w:rsidRPr="002255B4">
        <w:t>the</w:t>
      </w:r>
      <w:r w:rsidR="006C6F09">
        <w:t xml:space="preserve"> </w:t>
      </w:r>
      <w:r w:rsidRPr="002255B4">
        <w:t>notice</w:t>
      </w:r>
      <w:r w:rsidR="006C6F09">
        <w:t xml:space="preserve"> </w:t>
      </w:r>
      <w:r w:rsidRPr="002255B4">
        <w:t>will</w:t>
      </w:r>
      <w:r w:rsidR="006C6F09">
        <w:t xml:space="preserve"> </w:t>
      </w:r>
      <w:r w:rsidRPr="002255B4">
        <w:t>be</w:t>
      </w:r>
      <w:r w:rsidR="006C6F09">
        <w:t xml:space="preserve"> </w:t>
      </w:r>
      <w:r w:rsidRPr="002255B4">
        <w:t>used</w:t>
      </w:r>
      <w:r w:rsidR="006C6F09">
        <w:t xml:space="preserve"> </w:t>
      </w:r>
      <w:r w:rsidRPr="002255B4">
        <w:t>to</w:t>
      </w:r>
      <w:r w:rsidR="006C6F09">
        <w:t xml:space="preserve"> </w:t>
      </w:r>
      <w:r w:rsidRPr="002255B4">
        <w:t>meet</w:t>
      </w:r>
      <w:r w:rsidR="006C6F09">
        <w:t xml:space="preserve"> </w:t>
      </w:r>
      <w:r w:rsidRPr="002255B4">
        <w:t>the</w:t>
      </w:r>
      <w:r w:rsidR="006C6F09">
        <w:t xml:space="preserve"> </w:t>
      </w:r>
      <w:r w:rsidRPr="002255B4">
        <w:t>public</w:t>
      </w:r>
      <w:r w:rsidR="006C6F09">
        <w:t xml:space="preserve"> </w:t>
      </w:r>
      <w:r w:rsidRPr="002255B4">
        <w:t>notice</w:t>
      </w:r>
      <w:r w:rsidR="006C6F09">
        <w:t xml:space="preserve"> </w:t>
      </w:r>
      <w:r w:rsidRPr="002255B4">
        <w:t>requirement</w:t>
      </w:r>
      <w:r w:rsidR="006C6F09">
        <w:t xml:space="preserve"> </w:t>
      </w:r>
      <w:r w:rsidRPr="002255B4">
        <w:t>for</w:t>
      </w:r>
      <w:r w:rsidR="006C6F09">
        <w:t xml:space="preserve"> </w:t>
      </w:r>
      <w:r w:rsidRPr="002255B4">
        <w:t>a</w:t>
      </w:r>
      <w:r w:rsidR="006C6F09">
        <w:t xml:space="preserve"> </w:t>
      </w:r>
      <w:r w:rsidRPr="002255B4">
        <w:t>Section</w:t>
      </w:r>
      <w:r w:rsidR="006C6F09">
        <w:t xml:space="preserve"> </w:t>
      </w:r>
      <w:r w:rsidRPr="002255B4">
        <w:t>4(f)</w:t>
      </w:r>
      <w:r w:rsidR="006C6F09">
        <w:t xml:space="preserve"> </w:t>
      </w:r>
      <w:r w:rsidRPr="00263E76">
        <w:rPr>
          <w:i/>
          <w:iCs/>
          <w:lang w:val="la-Latn"/>
        </w:rPr>
        <w:t>de</w:t>
      </w:r>
      <w:r w:rsidR="006C6F09">
        <w:rPr>
          <w:i/>
          <w:iCs/>
          <w:lang w:val="la-Latn"/>
        </w:rPr>
        <w:t xml:space="preserve"> </w:t>
      </w:r>
      <w:r w:rsidRPr="00263E76">
        <w:rPr>
          <w:i/>
          <w:iCs/>
          <w:lang w:val="la-Latn"/>
        </w:rPr>
        <w:t>minimis</w:t>
      </w:r>
      <w:r w:rsidR="006C6F09">
        <w:t xml:space="preserve"> </w:t>
      </w:r>
      <w:r w:rsidRPr="002255B4">
        <w:t>finding,</w:t>
      </w:r>
      <w:r w:rsidR="006C6F09">
        <w:t xml:space="preserve"> </w:t>
      </w:r>
      <w:r w:rsidRPr="002255B4">
        <w:t>include</w:t>
      </w:r>
      <w:r w:rsidR="006C6F09">
        <w:t xml:space="preserve"> </w:t>
      </w:r>
      <w:r w:rsidRPr="002255B4">
        <w:t>a</w:t>
      </w:r>
      <w:r w:rsidR="006C6F09">
        <w:t xml:space="preserve"> </w:t>
      </w:r>
      <w:r w:rsidRPr="002255B4">
        <w:t>statement</w:t>
      </w:r>
      <w:r w:rsidR="006C6F09">
        <w:t xml:space="preserve"> </w:t>
      </w:r>
      <w:r w:rsidRPr="002255B4">
        <w:t>describing</w:t>
      </w:r>
      <w:r w:rsidR="006C6F09">
        <w:t xml:space="preserve"> </w:t>
      </w:r>
      <w:r w:rsidRPr="002255B4">
        <w:t>the</w:t>
      </w:r>
      <w:r w:rsidR="006C6F09">
        <w:t xml:space="preserve"> </w:t>
      </w:r>
      <w:r w:rsidRPr="002255B4">
        <w:t>Section</w:t>
      </w:r>
      <w:r w:rsidR="006C6F09">
        <w:t xml:space="preserve"> </w:t>
      </w:r>
      <w:r w:rsidRPr="002255B4">
        <w:t>4(f)</w:t>
      </w:r>
      <w:r w:rsidR="006C6F09">
        <w:t xml:space="preserve"> </w:t>
      </w:r>
      <w:r w:rsidRPr="002255B4">
        <w:t>property</w:t>
      </w:r>
      <w:r w:rsidR="006C6F09">
        <w:t xml:space="preserve"> </w:t>
      </w:r>
      <w:r w:rsidRPr="002255B4">
        <w:t>and</w:t>
      </w:r>
      <w:r w:rsidR="006C6F09">
        <w:t xml:space="preserve"> </w:t>
      </w:r>
      <w:r w:rsidRPr="002255B4">
        <w:t>the</w:t>
      </w:r>
      <w:r w:rsidR="006C6F09">
        <w:t xml:space="preserve"> </w:t>
      </w:r>
      <w:r w:rsidRPr="002255B4">
        <w:t>intent</w:t>
      </w:r>
      <w:r w:rsidR="006C6F09">
        <w:t xml:space="preserve"> </w:t>
      </w:r>
      <w:r w:rsidRPr="002255B4">
        <w:t>to</w:t>
      </w:r>
      <w:r w:rsidR="006C6F09">
        <w:t xml:space="preserve"> </w:t>
      </w:r>
      <w:r w:rsidRPr="002255B4">
        <w:t>pursue</w:t>
      </w:r>
      <w:r w:rsidR="006C6F09">
        <w:t xml:space="preserve"> </w:t>
      </w:r>
      <w:r w:rsidRPr="002255B4">
        <w:t>a</w:t>
      </w:r>
      <w:r w:rsidR="006C6F09">
        <w:t xml:space="preserve"> </w:t>
      </w:r>
      <w:r w:rsidRPr="00263E76">
        <w:rPr>
          <w:i/>
          <w:iCs/>
          <w:lang w:val="la-Latn"/>
        </w:rPr>
        <w:t>de</w:t>
      </w:r>
      <w:r w:rsidR="006C6F09">
        <w:rPr>
          <w:i/>
          <w:iCs/>
          <w:lang w:val="la-Latn"/>
        </w:rPr>
        <w:t xml:space="preserve"> </w:t>
      </w:r>
      <w:r w:rsidRPr="00263E76">
        <w:rPr>
          <w:i/>
          <w:iCs/>
          <w:lang w:val="la-Latn"/>
        </w:rPr>
        <w:t>minimis</w:t>
      </w:r>
      <w:r w:rsidR="006C6F09">
        <w:rPr>
          <w:i/>
          <w:iCs/>
          <w:lang w:val="la-Latn"/>
        </w:rPr>
        <w:t xml:space="preserve"> </w:t>
      </w:r>
      <w:r w:rsidRPr="00263E76">
        <w:rPr>
          <w:lang w:val="la-Latn"/>
        </w:rPr>
        <w:t>finding</w:t>
      </w:r>
      <w:r w:rsidRPr="006B7B0E">
        <w:t>,</w:t>
      </w:r>
      <w:r w:rsidR="006C6F09">
        <w:t xml:space="preserve"> </w:t>
      </w:r>
      <w:r w:rsidRPr="002255B4">
        <w:t>as</w:t>
      </w:r>
      <w:r w:rsidR="006C6F09">
        <w:t xml:space="preserve"> </w:t>
      </w:r>
      <w:r w:rsidRPr="002255B4">
        <w:t>well</w:t>
      </w:r>
      <w:r w:rsidR="006C6F09">
        <w:t xml:space="preserve"> </w:t>
      </w:r>
      <w:r w:rsidRPr="002255B4">
        <w:t>as</w:t>
      </w:r>
      <w:r w:rsidR="006C6F09">
        <w:t xml:space="preserve"> </w:t>
      </w:r>
      <w:r w:rsidRPr="002255B4">
        <w:t>a</w:t>
      </w:r>
      <w:r w:rsidR="006C6F09">
        <w:t xml:space="preserve"> </w:t>
      </w:r>
      <w:r w:rsidRPr="002255B4">
        <w:t>statement</w:t>
      </w:r>
      <w:r w:rsidR="006C6F09">
        <w:t xml:space="preserve"> </w:t>
      </w:r>
      <w:r w:rsidRPr="002255B4">
        <w:t>regarding</w:t>
      </w:r>
      <w:r w:rsidR="006C6F09">
        <w:t xml:space="preserve"> </w:t>
      </w:r>
      <w:r w:rsidRPr="002255B4">
        <w:t>how</w:t>
      </w:r>
      <w:r w:rsidR="006C6F09">
        <w:t xml:space="preserve"> </w:t>
      </w:r>
      <w:r w:rsidRPr="002255B4">
        <w:t>and</w:t>
      </w:r>
      <w:r w:rsidR="006C6F09">
        <w:t xml:space="preserve"> </w:t>
      </w:r>
      <w:r w:rsidRPr="002255B4">
        <w:t>by</w:t>
      </w:r>
      <w:r w:rsidR="006C6F09">
        <w:t xml:space="preserve"> </w:t>
      </w:r>
      <w:r w:rsidRPr="002255B4">
        <w:t>when</w:t>
      </w:r>
      <w:r w:rsidR="006C6F09">
        <w:t xml:space="preserve"> </w:t>
      </w:r>
      <w:r w:rsidRPr="002255B4">
        <w:t>comments</w:t>
      </w:r>
      <w:r w:rsidR="006C6F09">
        <w:t xml:space="preserve"> </w:t>
      </w:r>
      <w:r w:rsidRPr="002255B4">
        <w:t>may</w:t>
      </w:r>
      <w:r w:rsidR="006C6F09">
        <w:t xml:space="preserve"> </w:t>
      </w:r>
      <w:r w:rsidRPr="002255B4">
        <w:t>be</w:t>
      </w:r>
      <w:r w:rsidR="006C6F09">
        <w:t xml:space="preserve"> </w:t>
      </w:r>
      <w:r w:rsidRPr="002255B4">
        <w:t>made</w:t>
      </w:r>
      <w:r w:rsidR="006C6F09">
        <w:t xml:space="preserve"> </w:t>
      </w:r>
      <w:r w:rsidRPr="002255B4">
        <w:t>about</w:t>
      </w:r>
      <w:r w:rsidR="006C6F09">
        <w:t xml:space="preserve"> </w:t>
      </w:r>
      <w:r w:rsidRPr="002255B4">
        <w:t>the</w:t>
      </w:r>
      <w:r w:rsidR="006C6F09">
        <w:t xml:space="preserve"> </w:t>
      </w:r>
      <w:r w:rsidRPr="002255B4">
        <w:t>proposed</w:t>
      </w:r>
      <w:r w:rsidR="006C6F09">
        <w:t xml:space="preserve"> </w:t>
      </w:r>
      <w:r w:rsidRPr="00263E76">
        <w:rPr>
          <w:i/>
          <w:iCs/>
          <w:lang w:val="la-Latn"/>
        </w:rPr>
        <w:t>de</w:t>
      </w:r>
      <w:r w:rsidR="006C6F09">
        <w:rPr>
          <w:i/>
          <w:iCs/>
          <w:lang w:val="la-Latn"/>
        </w:rPr>
        <w:t xml:space="preserve"> </w:t>
      </w:r>
      <w:r w:rsidRPr="00263E76">
        <w:rPr>
          <w:i/>
          <w:iCs/>
          <w:lang w:val="la-Latn"/>
        </w:rPr>
        <w:t>minimis</w:t>
      </w:r>
      <w:r w:rsidR="006C6F09">
        <w:t xml:space="preserve"> </w:t>
      </w:r>
      <w:r w:rsidRPr="002255B4">
        <w:t>finding.</w:t>
      </w:r>
    </w:p>
    <w:p w14:paraId="7B9CBA87" w14:textId="6F5565BD" w:rsidR="00457754" w:rsidRPr="002255B4" w:rsidRDefault="00457754" w:rsidP="00457754">
      <w:pPr>
        <w:pStyle w:val="ListBullet"/>
      </w:pPr>
      <w:r w:rsidRPr="002255B4">
        <w:t>Include</w:t>
      </w:r>
      <w:r w:rsidR="006C6F09">
        <w:t xml:space="preserve"> </w:t>
      </w:r>
      <w:r w:rsidRPr="002255B4">
        <w:t>references</w:t>
      </w:r>
      <w:r w:rsidR="006C6F09">
        <w:t xml:space="preserve"> </w:t>
      </w:r>
      <w:r w:rsidRPr="002255B4">
        <w:t>to</w:t>
      </w:r>
      <w:r w:rsidR="006C6F09">
        <w:t xml:space="preserve"> </w:t>
      </w:r>
      <w:r w:rsidRPr="002255B4">
        <w:t>maps,</w:t>
      </w:r>
      <w:r w:rsidR="006C6F09">
        <w:t xml:space="preserve"> </w:t>
      </w:r>
      <w:r w:rsidRPr="002255B4">
        <w:t>drawings,</w:t>
      </w:r>
      <w:r w:rsidR="006C6F09">
        <w:t xml:space="preserve"> </w:t>
      </w:r>
      <w:r w:rsidRPr="002255B4">
        <w:t>environmental</w:t>
      </w:r>
      <w:r w:rsidR="006C6F09">
        <w:t xml:space="preserve"> </w:t>
      </w:r>
      <w:r w:rsidRPr="002255B4">
        <w:t>documents</w:t>
      </w:r>
      <w:r w:rsidR="006C6F09">
        <w:t xml:space="preserve"> </w:t>
      </w:r>
      <w:r w:rsidRPr="002255B4">
        <w:t>or</w:t>
      </w:r>
      <w:r w:rsidR="006C6F09">
        <w:t xml:space="preserve"> </w:t>
      </w:r>
      <w:r w:rsidRPr="002255B4">
        <w:t>studies,</w:t>
      </w:r>
      <w:r w:rsidR="006C6F09">
        <w:t xml:space="preserve"> </w:t>
      </w:r>
      <w:r w:rsidRPr="002255B4">
        <w:t>and</w:t>
      </w:r>
      <w:r w:rsidR="006C6F09">
        <w:t xml:space="preserve"> </w:t>
      </w:r>
      <w:r w:rsidRPr="002255B4">
        <w:t>tentative</w:t>
      </w:r>
      <w:r w:rsidR="006C6F09">
        <w:t xml:space="preserve"> </w:t>
      </w:r>
      <w:r w:rsidRPr="002255B4">
        <w:t>construction</w:t>
      </w:r>
      <w:r w:rsidR="006C6F09">
        <w:t xml:space="preserve"> </w:t>
      </w:r>
      <w:r w:rsidRPr="002255B4">
        <w:t>schedule</w:t>
      </w:r>
      <w:r w:rsidR="006C6F09">
        <w:t xml:space="preserve"> </w:t>
      </w:r>
      <w:r w:rsidRPr="002255B4">
        <w:t>regarding</w:t>
      </w:r>
      <w:r w:rsidR="006C6F09">
        <w:t xml:space="preserve"> </w:t>
      </w:r>
      <w:r w:rsidRPr="002255B4">
        <w:t>the</w:t>
      </w:r>
      <w:r w:rsidR="006C6F09">
        <w:t xml:space="preserve"> </w:t>
      </w:r>
      <w:r w:rsidRPr="002255B4">
        <w:t>proposed</w:t>
      </w:r>
      <w:r w:rsidR="006C6F09">
        <w:t xml:space="preserve"> </w:t>
      </w:r>
      <w:r w:rsidRPr="002255B4">
        <w:t>project</w:t>
      </w:r>
      <w:r w:rsidR="006C6F09">
        <w:t xml:space="preserve"> </w:t>
      </w:r>
      <w:r w:rsidRPr="002255B4">
        <w:t>that</w:t>
      </w:r>
      <w:r w:rsidR="006C6F09">
        <w:t xml:space="preserve"> </w:t>
      </w:r>
      <w:r w:rsidRPr="002255B4">
        <w:t>are</w:t>
      </w:r>
      <w:r w:rsidR="006C6F09">
        <w:t xml:space="preserve"> </w:t>
      </w:r>
      <w:r w:rsidRPr="002255B4">
        <w:t>available</w:t>
      </w:r>
      <w:r w:rsidR="006C6F09">
        <w:t xml:space="preserve"> </w:t>
      </w:r>
      <w:r w:rsidRPr="002255B4">
        <w:t>for</w:t>
      </w:r>
      <w:r w:rsidR="006C6F09">
        <w:t xml:space="preserve"> </w:t>
      </w:r>
      <w:r w:rsidRPr="002255B4">
        <w:t>public</w:t>
      </w:r>
      <w:r w:rsidR="006C6F09">
        <w:t xml:space="preserve"> </w:t>
      </w:r>
      <w:r w:rsidRPr="002255B4">
        <w:t>inspection.</w:t>
      </w:r>
      <w:r w:rsidR="006C6F09">
        <w:t xml:space="preserve"> </w:t>
      </w:r>
      <w:r w:rsidRPr="002255B4">
        <w:t>Include</w:t>
      </w:r>
      <w:r w:rsidR="006C6F09">
        <w:t xml:space="preserve"> </w:t>
      </w:r>
      <w:r w:rsidRPr="002255B4">
        <w:t>the</w:t>
      </w:r>
      <w:r w:rsidR="006C6F09">
        <w:t xml:space="preserve"> </w:t>
      </w:r>
      <w:r w:rsidRPr="002255B4">
        <w:t>office</w:t>
      </w:r>
      <w:r w:rsidR="006C6F09">
        <w:t xml:space="preserve"> </w:t>
      </w:r>
      <w:r w:rsidRPr="002255B4">
        <w:t>name(s),</w:t>
      </w:r>
      <w:r w:rsidR="006C6F09">
        <w:t xml:space="preserve"> </w:t>
      </w:r>
      <w:r w:rsidRPr="002255B4">
        <w:t>location(s),</w:t>
      </w:r>
      <w:r w:rsidR="006C6F09">
        <w:t xml:space="preserve"> </w:t>
      </w:r>
      <w:r w:rsidRPr="002255B4">
        <w:t>and</w:t>
      </w:r>
      <w:r w:rsidR="006C6F09">
        <w:t xml:space="preserve"> </w:t>
      </w:r>
      <w:r w:rsidRPr="002255B4">
        <w:t>typical</w:t>
      </w:r>
      <w:r w:rsidR="006C6F09">
        <w:t xml:space="preserve"> </w:t>
      </w:r>
      <w:r w:rsidRPr="002255B4">
        <w:t>working</w:t>
      </w:r>
      <w:r w:rsidR="006C6F09">
        <w:t xml:space="preserve"> </w:t>
      </w:r>
      <w:r w:rsidRPr="002255B4">
        <w:t>hours</w:t>
      </w:r>
      <w:r w:rsidR="006C6F09">
        <w:t xml:space="preserve"> </w:t>
      </w:r>
      <w:r w:rsidRPr="002255B4">
        <w:t>where</w:t>
      </w:r>
      <w:r w:rsidR="006C6F09">
        <w:t xml:space="preserve"> </w:t>
      </w:r>
      <w:r w:rsidRPr="002255B4">
        <w:t>the</w:t>
      </w:r>
      <w:r w:rsidR="006C6F09">
        <w:t xml:space="preserve"> </w:t>
      </w:r>
      <w:r w:rsidRPr="002255B4">
        <w:t>project</w:t>
      </w:r>
      <w:r w:rsidR="006C6F09">
        <w:t xml:space="preserve"> </w:t>
      </w:r>
      <w:r w:rsidRPr="002255B4">
        <w:t>materials</w:t>
      </w:r>
      <w:r w:rsidR="006C6F09">
        <w:t xml:space="preserve"> </w:t>
      </w:r>
      <w:r w:rsidRPr="002255B4">
        <w:t>are</w:t>
      </w:r>
      <w:r w:rsidR="006C6F09">
        <w:t xml:space="preserve"> </w:t>
      </w:r>
      <w:r w:rsidRPr="002255B4">
        <w:t>available</w:t>
      </w:r>
      <w:r w:rsidR="006C6F09">
        <w:t xml:space="preserve"> </w:t>
      </w:r>
      <w:r w:rsidRPr="002255B4">
        <w:t>for</w:t>
      </w:r>
      <w:r w:rsidR="006C6F09">
        <w:t xml:space="preserve"> </w:t>
      </w:r>
      <w:r w:rsidRPr="002255B4">
        <w:t>viewing.</w:t>
      </w:r>
      <w:r w:rsidR="006C6F09">
        <w:t xml:space="preserve"> </w:t>
      </w:r>
      <w:r w:rsidRPr="002255B4">
        <w:t>Typically,</w:t>
      </w:r>
      <w:r w:rsidR="006C6F09">
        <w:t xml:space="preserve"> </w:t>
      </w:r>
      <w:r w:rsidRPr="002255B4">
        <w:t>the</w:t>
      </w:r>
      <w:r w:rsidR="006C6F09">
        <w:t xml:space="preserve"> </w:t>
      </w:r>
      <w:r w:rsidRPr="002255B4">
        <w:t>district</w:t>
      </w:r>
      <w:r w:rsidR="006C6F09">
        <w:t xml:space="preserve"> </w:t>
      </w:r>
      <w:r w:rsidRPr="002255B4">
        <w:t>and</w:t>
      </w:r>
      <w:r w:rsidR="006C6F09">
        <w:t xml:space="preserve"> </w:t>
      </w:r>
      <w:proofErr w:type="gramStart"/>
      <w:r w:rsidRPr="002255B4">
        <w:t>or</w:t>
      </w:r>
      <w:proofErr w:type="gramEnd"/>
      <w:r w:rsidR="006C6F09">
        <w:t xml:space="preserve"> </w:t>
      </w:r>
      <w:r w:rsidRPr="002255B4">
        <w:t>area</w:t>
      </w:r>
      <w:r w:rsidR="006C6F09">
        <w:t xml:space="preserve"> </w:t>
      </w:r>
      <w:r w:rsidRPr="002255B4">
        <w:t>office(s)</w:t>
      </w:r>
      <w:r w:rsidR="006C6F09">
        <w:t xml:space="preserve"> </w:t>
      </w:r>
      <w:r w:rsidRPr="002255B4">
        <w:t>near</w:t>
      </w:r>
      <w:r w:rsidR="006C6F09">
        <w:t xml:space="preserve"> </w:t>
      </w:r>
      <w:r w:rsidRPr="002255B4">
        <w:t>the</w:t>
      </w:r>
      <w:r w:rsidR="006C6F09">
        <w:t xml:space="preserve"> </w:t>
      </w:r>
      <w:r w:rsidRPr="002255B4">
        <w:t>proposed</w:t>
      </w:r>
      <w:r w:rsidR="006C6F09">
        <w:t xml:space="preserve"> </w:t>
      </w:r>
      <w:r w:rsidRPr="002255B4">
        <w:t>project</w:t>
      </w:r>
      <w:r w:rsidR="006C6F09">
        <w:t xml:space="preserve"> </w:t>
      </w:r>
      <w:r w:rsidRPr="002255B4">
        <w:t>are</w:t>
      </w:r>
      <w:r w:rsidR="006C6F09">
        <w:t xml:space="preserve"> </w:t>
      </w:r>
      <w:r w:rsidRPr="002255B4">
        <w:t>identified</w:t>
      </w:r>
      <w:r w:rsidR="006C6F09">
        <w:t xml:space="preserve"> </w:t>
      </w:r>
      <w:r w:rsidRPr="002255B4">
        <w:t>as</w:t>
      </w:r>
      <w:r w:rsidR="006C6F09">
        <w:t xml:space="preserve"> </w:t>
      </w:r>
      <w:r w:rsidRPr="002255B4">
        <w:t>areas</w:t>
      </w:r>
      <w:r w:rsidR="006C6F09">
        <w:t xml:space="preserve"> </w:t>
      </w:r>
      <w:r w:rsidRPr="002255B4">
        <w:t>to</w:t>
      </w:r>
      <w:r w:rsidR="006C6F09">
        <w:t xml:space="preserve"> </w:t>
      </w:r>
      <w:r w:rsidRPr="002255B4">
        <w:t>review</w:t>
      </w:r>
      <w:r w:rsidR="006C6F09">
        <w:t xml:space="preserve"> </w:t>
      </w:r>
      <w:r w:rsidRPr="002255B4">
        <w:t>project</w:t>
      </w:r>
      <w:r w:rsidR="006C6F09">
        <w:t xml:space="preserve"> </w:t>
      </w:r>
      <w:r w:rsidRPr="002255B4">
        <w:t>documentation.</w:t>
      </w:r>
      <w:r w:rsidR="006C6F09">
        <w:t xml:space="preserve"> </w:t>
      </w:r>
      <w:r w:rsidRPr="002255B4">
        <w:t>Project</w:t>
      </w:r>
      <w:r w:rsidR="006C6F09">
        <w:t xml:space="preserve"> </w:t>
      </w:r>
      <w:r w:rsidRPr="002255B4">
        <w:t>materials,</w:t>
      </w:r>
      <w:r w:rsidR="006C6F09">
        <w:t xml:space="preserve"> </w:t>
      </w:r>
      <w:r w:rsidRPr="002255B4">
        <w:t>including</w:t>
      </w:r>
      <w:r w:rsidR="006C6F09">
        <w:t xml:space="preserve"> </w:t>
      </w:r>
      <w:r w:rsidRPr="002255B4">
        <w:t>the</w:t>
      </w:r>
      <w:r w:rsidR="006C6F09">
        <w:t xml:space="preserve"> </w:t>
      </w:r>
      <w:r w:rsidRPr="002255B4">
        <w:t>draft</w:t>
      </w:r>
      <w:r w:rsidR="006C6F09">
        <w:t xml:space="preserve"> </w:t>
      </w:r>
      <w:r w:rsidRPr="002255B4">
        <w:t>EA</w:t>
      </w:r>
      <w:r w:rsidR="006C6F09">
        <w:t xml:space="preserve"> </w:t>
      </w:r>
      <w:r w:rsidRPr="002255B4">
        <w:t>for</w:t>
      </w:r>
      <w:r w:rsidR="006C6F09">
        <w:t xml:space="preserve"> </w:t>
      </w:r>
      <w:r w:rsidRPr="002255B4">
        <w:t>EA</w:t>
      </w:r>
      <w:r w:rsidR="006C6F09">
        <w:t xml:space="preserve"> </w:t>
      </w:r>
      <w:r w:rsidRPr="002255B4">
        <w:t>projects</w:t>
      </w:r>
      <w:r w:rsidR="006C6F09">
        <w:t xml:space="preserve"> </w:t>
      </w:r>
      <w:r w:rsidRPr="002255B4">
        <w:t>or</w:t>
      </w:r>
      <w:r w:rsidR="006C6F09">
        <w:t xml:space="preserve"> </w:t>
      </w:r>
      <w:r w:rsidRPr="002255B4">
        <w:t>the</w:t>
      </w:r>
      <w:r w:rsidR="006C6F09">
        <w:t xml:space="preserve"> </w:t>
      </w:r>
      <w:r w:rsidRPr="002255B4">
        <w:t>DEIS</w:t>
      </w:r>
      <w:r w:rsidR="006C6F09">
        <w:t xml:space="preserve"> </w:t>
      </w:r>
      <w:r w:rsidRPr="002255B4">
        <w:t>for</w:t>
      </w:r>
      <w:r w:rsidR="006C6F09">
        <w:t xml:space="preserve"> </w:t>
      </w:r>
      <w:r w:rsidRPr="002255B4">
        <w:t>EIS</w:t>
      </w:r>
      <w:r w:rsidR="006C6F09">
        <w:t xml:space="preserve"> </w:t>
      </w:r>
      <w:r w:rsidRPr="002255B4">
        <w:t>projects,</w:t>
      </w:r>
      <w:r w:rsidR="006C6F09">
        <w:t xml:space="preserve"> </w:t>
      </w:r>
      <w:r w:rsidRPr="002255B4">
        <w:t>must</w:t>
      </w:r>
      <w:r w:rsidR="006C6F09">
        <w:t xml:space="preserve"> </w:t>
      </w:r>
      <w:r w:rsidRPr="002255B4">
        <w:t>be</w:t>
      </w:r>
      <w:r w:rsidR="006C6F09">
        <w:t xml:space="preserve"> </w:t>
      </w:r>
      <w:r w:rsidRPr="002255B4">
        <w:t>made</w:t>
      </w:r>
      <w:r w:rsidR="006C6F09">
        <w:t xml:space="preserve"> </w:t>
      </w:r>
      <w:r w:rsidRPr="002255B4">
        <w:t>available</w:t>
      </w:r>
      <w:r w:rsidR="006C6F09">
        <w:t xml:space="preserve"> </w:t>
      </w:r>
      <w:r w:rsidRPr="002255B4">
        <w:t>on</w:t>
      </w:r>
      <w:r w:rsidR="006C6F09">
        <w:t xml:space="preserve"> </w:t>
      </w:r>
      <w:r w:rsidRPr="002255B4">
        <w:t>the</w:t>
      </w:r>
      <w:r w:rsidR="006C6F09">
        <w:t xml:space="preserve"> </w:t>
      </w:r>
      <w:r w:rsidRPr="002255B4">
        <w:t>TxDOT</w:t>
      </w:r>
      <w:r w:rsidR="006C6F09">
        <w:t xml:space="preserve"> </w:t>
      </w:r>
      <w:r w:rsidRPr="002255B4">
        <w:t>website,</w:t>
      </w:r>
      <w:r w:rsidR="006C6F09">
        <w:t xml:space="preserve"> </w:t>
      </w:r>
      <w:r w:rsidRPr="002255B4">
        <w:t>and</w:t>
      </w:r>
      <w:r w:rsidR="006C6F09">
        <w:t xml:space="preserve"> </w:t>
      </w:r>
      <w:r w:rsidRPr="002255B4">
        <w:t>the</w:t>
      </w:r>
      <w:r w:rsidR="006C6F09">
        <w:t xml:space="preserve"> </w:t>
      </w:r>
      <w:r w:rsidRPr="002255B4">
        <w:t>link</w:t>
      </w:r>
      <w:r w:rsidR="006C6F09">
        <w:t xml:space="preserve"> </w:t>
      </w:r>
      <w:r w:rsidRPr="002255B4">
        <w:t>must</w:t>
      </w:r>
      <w:r w:rsidR="006C6F09">
        <w:t xml:space="preserve"> </w:t>
      </w:r>
      <w:r w:rsidRPr="002255B4">
        <w:t>be</w:t>
      </w:r>
      <w:r w:rsidR="006C6F09">
        <w:t xml:space="preserve"> </w:t>
      </w:r>
      <w:r w:rsidRPr="002255B4">
        <w:t>included.</w:t>
      </w:r>
    </w:p>
    <w:p w14:paraId="46ACBFD5" w14:textId="3C562F91" w:rsidR="00457754" w:rsidRPr="002255B4" w:rsidRDefault="00457754" w:rsidP="00457754">
      <w:pPr>
        <w:pStyle w:val="ListBullet"/>
      </w:pPr>
      <w:r w:rsidRPr="002255B4">
        <w:t>Include</w:t>
      </w:r>
      <w:r w:rsidR="006C6F09">
        <w:t xml:space="preserve"> </w:t>
      </w:r>
      <w:r w:rsidRPr="002255B4">
        <w:t>a</w:t>
      </w:r>
      <w:r w:rsidR="006C6F09">
        <w:t xml:space="preserve"> </w:t>
      </w:r>
      <w:r w:rsidRPr="002255B4">
        <w:t>statement</w:t>
      </w:r>
      <w:r w:rsidR="006C6F09">
        <w:t xml:space="preserve"> </w:t>
      </w:r>
      <w:r w:rsidRPr="002255B4">
        <w:t>concerning</w:t>
      </w:r>
      <w:r w:rsidR="006C6F09">
        <w:t xml:space="preserve"> </w:t>
      </w:r>
      <w:r w:rsidRPr="002255B4">
        <w:t>the</w:t>
      </w:r>
      <w:r w:rsidR="006C6F09">
        <w:t xml:space="preserve"> </w:t>
      </w:r>
      <w:r w:rsidRPr="002255B4">
        <w:t>potential</w:t>
      </w:r>
      <w:r w:rsidR="006C6F09">
        <w:t xml:space="preserve"> </w:t>
      </w:r>
      <w:r w:rsidRPr="002255B4">
        <w:t>for</w:t>
      </w:r>
      <w:r w:rsidR="006C6F09">
        <w:t xml:space="preserve"> </w:t>
      </w:r>
      <w:r w:rsidRPr="002255B4">
        <w:t>displacement</w:t>
      </w:r>
      <w:r w:rsidR="006C6F09">
        <w:t xml:space="preserve"> </w:t>
      </w:r>
      <w:r w:rsidRPr="002255B4">
        <w:t>of</w:t>
      </w:r>
      <w:r w:rsidR="006C6F09">
        <w:t xml:space="preserve"> </w:t>
      </w:r>
      <w:r w:rsidRPr="002255B4">
        <w:t>residential</w:t>
      </w:r>
      <w:r w:rsidR="006C6F09">
        <w:t xml:space="preserve"> </w:t>
      </w:r>
      <w:proofErr w:type="gramStart"/>
      <w:r w:rsidRPr="002255B4">
        <w:t>and</w:t>
      </w:r>
      <w:r w:rsidR="006C6F09">
        <w:t xml:space="preserve"> </w:t>
      </w:r>
      <w:r w:rsidRPr="002255B4">
        <w:t>or</w:t>
      </w:r>
      <w:proofErr w:type="gramEnd"/>
      <w:r w:rsidR="006C6F09">
        <w:t xml:space="preserve"> </w:t>
      </w:r>
      <w:r w:rsidRPr="002255B4">
        <w:t>non-residential</w:t>
      </w:r>
      <w:r w:rsidR="006C6F09">
        <w:t xml:space="preserve"> </w:t>
      </w:r>
      <w:r w:rsidRPr="002255B4">
        <w:t>structures</w:t>
      </w:r>
      <w:r w:rsidR="006C6F09">
        <w:t xml:space="preserve"> </w:t>
      </w:r>
      <w:r w:rsidRPr="002255B4">
        <w:t>and</w:t>
      </w:r>
      <w:r w:rsidR="006C6F09">
        <w:t xml:space="preserve"> </w:t>
      </w:r>
      <w:r w:rsidRPr="002255B4">
        <w:t>the</w:t>
      </w:r>
      <w:r w:rsidR="006C6F09">
        <w:t xml:space="preserve"> </w:t>
      </w:r>
      <w:r w:rsidRPr="002255B4">
        <w:t>availability</w:t>
      </w:r>
      <w:r w:rsidR="006C6F09">
        <w:t xml:space="preserve"> </w:t>
      </w:r>
      <w:r w:rsidRPr="002255B4">
        <w:t>of</w:t>
      </w:r>
      <w:r w:rsidR="006C6F09">
        <w:t xml:space="preserve"> </w:t>
      </w:r>
      <w:r w:rsidRPr="002255B4">
        <w:t>relocation</w:t>
      </w:r>
      <w:r w:rsidR="006C6F09">
        <w:t xml:space="preserve"> </w:t>
      </w:r>
      <w:r w:rsidRPr="002255B4">
        <w:t>assistance</w:t>
      </w:r>
      <w:r w:rsidR="006C6F09">
        <w:t xml:space="preserve"> </w:t>
      </w:r>
      <w:r w:rsidRPr="002255B4">
        <w:t>for</w:t>
      </w:r>
      <w:r w:rsidR="006C6F09">
        <w:t xml:space="preserve"> </w:t>
      </w:r>
      <w:r w:rsidRPr="002255B4">
        <w:t>displaced</w:t>
      </w:r>
      <w:r w:rsidR="006C6F09">
        <w:t xml:space="preserve"> </w:t>
      </w:r>
      <w:r w:rsidRPr="002255B4">
        <w:t>persons</w:t>
      </w:r>
      <w:r w:rsidR="006C6F09">
        <w:t xml:space="preserve"> </w:t>
      </w:r>
      <w:r w:rsidRPr="002255B4">
        <w:t>and</w:t>
      </w:r>
      <w:r w:rsidR="006C6F09">
        <w:t xml:space="preserve"> </w:t>
      </w:r>
      <w:r w:rsidRPr="002255B4">
        <w:t>businesses.</w:t>
      </w:r>
    </w:p>
    <w:p w14:paraId="6C4832B5" w14:textId="6B87A9CC" w:rsidR="00457754" w:rsidRPr="002255B4" w:rsidRDefault="00457754" w:rsidP="00457754">
      <w:pPr>
        <w:pStyle w:val="ListBullet"/>
      </w:pPr>
      <w:r w:rsidRPr="002255B4">
        <w:lastRenderedPageBreak/>
        <w:t>If</w:t>
      </w:r>
      <w:r w:rsidR="006C6F09">
        <w:t xml:space="preserve"> </w:t>
      </w:r>
      <w:r w:rsidRPr="002255B4">
        <w:t>relocations</w:t>
      </w:r>
      <w:r w:rsidR="006C6F09">
        <w:t xml:space="preserve"> </w:t>
      </w:r>
      <w:r w:rsidRPr="002255B4">
        <w:t>are</w:t>
      </w:r>
      <w:r w:rsidR="006C6F09">
        <w:t xml:space="preserve"> </w:t>
      </w:r>
      <w:r w:rsidRPr="002255B4">
        <w:t>involved,</w:t>
      </w:r>
      <w:r w:rsidR="006C6F09">
        <w:t xml:space="preserve"> </w:t>
      </w:r>
      <w:r w:rsidRPr="002255B4">
        <w:t>include</w:t>
      </w:r>
      <w:r w:rsidR="006C6F09">
        <w:t xml:space="preserve"> </w:t>
      </w:r>
      <w:r w:rsidRPr="002255B4">
        <w:t>a</w:t>
      </w:r>
      <w:r w:rsidR="006C6F09">
        <w:t xml:space="preserve"> </w:t>
      </w:r>
      <w:r w:rsidRPr="002255B4">
        <w:t>statement</w:t>
      </w:r>
      <w:r w:rsidR="006C6F09">
        <w:t xml:space="preserve"> </w:t>
      </w:r>
      <w:r w:rsidRPr="002255B4">
        <w:t>that</w:t>
      </w:r>
      <w:r w:rsidR="006C6F09">
        <w:t xml:space="preserve"> </w:t>
      </w:r>
      <w:r w:rsidRPr="002255B4">
        <w:t>provides</w:t>
      </w:r>
      <w:r w:rsidR="006C6F09">
        <w:t xml:space="preserve"> </w:t>
      </w:r>
      <w:r w:rsidRPr="002255B4">
        <w:t>information</w:t>
      </w:r>
      <w:r w:rsidR="006C6F09">
        <w:t xml:space="preserve"> </w:t>
      </w:r>
      <w:r w:rsidRPr="002255B4">
        <w:t>regarding</w:t>
      </w:r>
      <w:r w:rsidR="006C6F09">
        <w:t xml:space="preserve"> </w:t>
      </w:r>
      <w:r w:rsidRPr="002255B4">
        <w:t>the</w:t>
      </w:r>
      <w:r w:rsidR="006C6F09">
        <w:t xml:space="preserve"> </w:t>
      </w:r>
      <w:r w:rsidRPr="002255B4">
        <w:t>TxDOT</w:t>
      </w:r>
      <w:r w:rsidR="006C6F09">
        <w:t xml:space="preserve"> </w:t>
      </w:r>
      <w:r w:rsidRPr="002255B4">
        <w:t>Relocation</w:t>
      </w:r>
      <w:r w:rsidR="006C6F09">
        <w:t xml:space="preserve"> </w:t>
      </w:r>
      <w:r w:rsidRPr="002255B4">
        <w:t>Assistance</w:t>
      </w:r>
      <w:r w:rsidR="006C6F09">
        <w:t xml:space="preserve"> </w:t>
      </w:r>
      <w:r w:rsidRPr="002255B4">
        <w:t>Program,</w:t>
      </w:r>
      <w:r w:rsidR="006C6F09">
        <w:t xml:space="preserve"> </w:t>
      </w:r>
      <w:r w:rsidRPr="002255B4">
        <w:t>the</w:t>
      </w:r>
      <w:r w:rsidR="006C6F09">
        <w:t xml:space="preserve"> </w:t>
      </w:r>
      <w:r w:rsidRPr="002255B4">
        <w:t>benefits</w:t>
      </w:r>
      <w:r w:rsidR="006C6F09">
        <w:t xml:space="preserve"> </w:t>
      </w:r>
      <w:r w:rsidRPr="002255B4">
        <w:t>and</w:t>
      </w:r>
      <w:r w:rsidR="006C6F09">
        <w:t xml:space="preserve"> </w:t>
      </w:r>
      <w:r w:rsidRPr="002255B4">
        <w:t>services</w:t>
      </w:r>
      <w:r w:rsidR="006C6F09">
        <w:t xml:space="preserve"> </w:t>
      </w:r>
      <w:r w:rsidRPr="002255B4">
        <w:t>for</w:t>
      </w:r>
      <w:r w:rsidR="006C6F09">
        <w:t xml:space="preserve"> </w:t>
      </w:r>
      <w:r w:rsidRPr="002255B4">
        <w:t>displaced</w:t>
      </w:r>
      <w:r w:rsidR="006C6F09">
        <w:t xml:space="preserve"> </w:t>
      </w:r>
      <w:r w:rsidRPr="002255B4">
        <w:t>businesses</w:t>
      </w:r>
      <w:r w:rsidR="006C6F09">
        <w:t xml:space="preserve"> </w:t>
      </w:r>
      <w:r w:rsidRPr="002255B4">
        <w:t>and</w:t>
      </w:r>
      <w:r w:rsidR="006C6F09">
        <w:t xml:space="preserve"> </w:t>
      </w:r>
      <w:r w:rsidRPr="002255B4">
        <w:t>persons,</w:t>
      </w:r>
      <w:r w:rsidR="006C6F09">
        <w:t xml:space="preserve"> </w:t>
      </w:r>
      <w:r w:rsidRPr="002255B4">
        <w:t>and</w:t>
      </w:r>
      <w:r w:rsidR="006C6F09">
        <w:t xml:space="preserve"> </w:t>
      </w:r>
      <w:r w:rsidRPr="002255B4">
        <w:t>the</w:t>
      </w:r>
      <w:r w:rsidR="006C6F09">
        <w:t xml:space="preserve"> </w:t>
      </w:r>
      <w:r w:rsidRPr="002255B4">
        <w:t>relocation</w:t>
      </w:r>
      <w:r w:rsidR="006C6F09">
        <w:t xml:space="preserve"> </w:t>
      </w:r>
      <w:r w:rsidRPr="002255B4">
        <w:t>assistance</w:t>
      </w:r>
      <w:r w:rsidR="006C6F09">
        <w:t xml:space="preserve"> </w:t>
      </w:r>
      <w:r w:rsidRPr="002255B4">
        <w:t>office.</w:t>
      </w:r>
      <w:r w:rsidR="006C6F09">
        <w:t xml:space="preserve"> </w:t>
      </w:r>
      <w:r w:rsidRPr="002255B4">
        <w:t>Include</w:t>
      </w:r>
      <w:r w:rsidR="006C6F09">
        <w:t xml:space="preserve"> </w:t>
      </w:r>
      <w:r w:rsidRPr="002255B4">
        <w:t>information</w:t>
      </w:r>
      <w:r w:rsidR="006C6F09">
        <w:t xml:space="preserve"> </w:t>
      </w:r>
      <w:r w:rsidRPr="002255B4">
        <w:t>that</w:t>
      </w:r>
      <w:r w:rsidR="006C6F09">
        <w:t xml:space="preserve"> </w:t>
      </w:r>
      <w:r w:rsidRPr="002255B4">
        <w:t>the</w:t>
      </w:r>
      <w:r w:rsidR="006C6F09">
        <w:t xml:space="preserve"> </w:t>
      </w:r>
      <w:r w:rsidRPr="002255B4">
        <w:t>tentative</w:t>
      </w:r>
      <w:r w:rsidR="006C6F09">
        <w:t xml:space="preserve"> </w:t>
      </w:r>
      <w:r w:rsidRPr="002255B4">
        <w:t>schedule</w:t>
      </w:r>
      <w:r w:rsidR="006C6F09">
        <w:t xml:space="preserve"> </w:t>
      </w:r>
      <w:r w:rsidRPr="002255B4">
        <w:t>for</w:t>
      </w:r>
      <w:r w:rsidR="006C6F09">
        <w:t xml:space="preserve"> </w:t>
      </w:r>
      <w:r w:rsidRPr="002255B4">
        <w:t>ROW</w:t>
      </w:r>
      <w:r w:rsidR="006C6F09">
        <w:t xml:space="preserve"> </w:t>
      </w:r>
      <w:r w:rsidRPr="002255B4">
        <w:t>acquisition</w:t>
      </w:r>
      <w:r w:rsidR="006C6F09">
        <w:t xml:space="preserve"> </w:t>
      </w:r>
      <w:r w:rsidRPr="002255B4">
        <w:t>is</w:t>
      </w:r>
      <w:r w:rsidR="006C6F09">
        <w:t xml:space="preserve"> </w:t>
      </w:r>
      <w:r w:rsidRPr="002255B4">
        <w:t>available</w:t>
      </w:r>
      <w:r w:rsidR="006C6F09">
        <w:t xml:space="preserve"> </w:t>
      </w:r>
      <w:r w:rsidRPr="002255B4">
        <w:t>from</w:t>
      </w:r>
      <w:r w:rsidR="006C6F09">
        <w:t xml:space="preserve"> </w:t>
      </w:r>
      <w:r w:rsidRPr="002255B4">
        <w:t>the</w:t>
      </w:r>
      <w:r w:rsidR="006C6F09">
        <w:t xml:space="preserve"> </w:t>
      </w:r>
      <w:r w:rsidRPr="002255B4">
        <w:t>district</w:t>
      </w:r>
      <w:r w:rsidR="006C6F09">
        <w:t xml:space="preserve"> </w:t>
      </w:r>
      <w:r w:rsidRPr="002255B4">
        <w:t>and</w:t>
      </w:r>
      <w:r w:rsidR="006C6F09">
        <w:t xml:space="preserve"> </w:t>
      </w:r>
      <w:proofErr w:type="gramStart"/>
      <w:r w:rsidRPr="002255B4">
        <w:t>or</w:t>
      </w:r>
      <w:proofErr w:type="gramEnd"/>
      <w:r w:rsidR="006C6F09">
        <w:t xml:space="preserve"> </w:t>
      </w:r>
      <w:r w:rsidRPr="002255B4">
        <w:t>area</w:t>
      </w:r>
      <w:r w:rsidR="006C6F09">
        <w:t xml:space="preserve"> </w:t>
      </w:r>
      <w:r w:rsidRPr="002255B4">
        <w:t>office.</w:t>
      </w:r>
    </w:p>
    <w:p w14:paraId="28CE2BE9" w14:textId="5A6D0E73" w:rsidR="00457754" w:rsidRPr="002255B4" w:rsidRDefault="00457754" w:rsidP="00457754">
      <w:pPr>
        <w:pStyle w:val="ListBullet"/>
      </w:pPr>
      <w:r w:rsidRPr="002255B4">
        <w:t>If</w:t>
      </w:r>
      <w:r w:rsidR="006C6F09">
        <w:t xml:space="preserve"> </w:t>
      </w:r>
      <w:r w:rsidRPr="002255B4">
        <w:t>relocations</w:t>
      </w:r>
      <w:r w:rsidR="006C6F09">
        <w:t xml:space="preserve"> </w:t>
      </w:r>
      <w:r w:rsidRPr="002255B4">
        <w:t>are</w:t>
      </w:r>
      <w:r w:rsidR="006C6F09">
        <w:t xml:space="preserve"> </w:t>
      </w:r>
      <w:r w:rsidRPr="002255B4">
        <w:t>not</w:t>
      </w:r>
      <w:r w:rsidR="006C6F09">
        <w:t xml:space="preserve"> </w:t>
      </w:r>
      <w:r w:rsidRPr="002255B4">
        <w:t>involved</w:t>
      </w:r>
      <w:r w:rsidR="006C6F09">
        <w:t xml:space="preserve"> </w:t>
      </w:r>
      <w:r w:rsidRPr="002255B4">
        <w:t>but</w:t>
      </w:r>
      <w:r w:rsidR="006C6F09">
        <w:t xml:space="preserve"> </w:t>
      </w:r>
      <w:r w:rsidRPr="002255B4">
        <w:t>additional</w:t>
      </w:r>
      <w:r w:rsidR="006C6F09">
        <w:t xml:space="preserve"> </w:t>
      </w:r>
      <w:r w:rsidRPr="002255B4">
        <w:t>ROW</w:t>
      </w:r>
      <w:r w:rsidR="006C6F09">
        <w:t xml:space="preserve"> </w:t>
      </w:r>
      <w:r w:rsidRPr="002255B4">
        <w:t>is</w:t>
      </w:r>
      <w:r w:rsidR="006C6F09">
        <w:t xml:space="preserve"> </w:t>
      </w:r>
      <w:r w:rsidRPr="002255B4">
        <w:t>required,</w:t>
      </w:r>
      <w:r w:rsidR="006C6F09">
        <w:t xml:space="preserve"> </w:t>
      </w:r>
      <w:r w:rsidRPr="002255B4">
        <w:t>include</w:t>
      </w:r>
      <w:r w:rsidR="006C6F09">
        <w:t xml:space="preserve"> </w:t>
      </w:r>
      <w:r w:rsidRPr="002255B4">
        <w:t>the</w:t>
      </w:r>
      <w:r w:rsidR="006C6F09">
        <w:t xml:space="preserve"> </w:t>
      </w:r>
      <w:r w:rsidRPr="002255B4">
        <w:t>following</w:t>
      </w:r>
      <w:r w:rsidR="006C6F09">
        <w:t xml:space="preserve"> </w:t>
      </w:r>
      <w:r w:rsidRPr="002255B4">
        <w:t>language.</w:t>
      </w:r>
    </w:p>
    <w:p w14:paraId="087761B0" w14:textId="6F7AFA59" w:rsidR="00457754" w:rsidRPr="00BD6709" w:rsidRDefault="00457754" w:rsidP="00457754">
      <w:pPr>
        <w:rPr>
          <w:i/>
          <w:iCs/>
        </w:rPr>
      </w:pPr>
      <w:r w:rsidRPr="00BD6709">
        <w:rPr>
          <w:i/>
          <w:iCs/>
        </w:rPr>
        <w:t>Although</w:t>
      </w:r>
      <w:r w:rsidR="006C6F09">
        <w:rPr>
          <w:i/>
          <w:iCs/>
        </w:rPr>
        <w:t xml:space="preserve"> </w:t>
      </w:r>
      <w:r w:rsidRPr="00BD6709">
        <w:rPr>
          <w:i/>
          <w:iCs/>
        </w:rPr>
        <w:t>additional</w:t>
      </w:r>
      <w:r w:rsidR="006C6F09">
        <w:rPr>
          <w:i/>
          <w:iCs/>
        </w:rPr>
        <w:t xml:space="preserve"> </w:t>
      </w:r>
      <w:r w:rsidRPr="00BD6709">
        <w:rPr>
          <w:i/>
          <w:iCs/>
        </w:rPr>
        <w:t>right-of-way</w:t>
      </w:r>
      <w:r w:rsidR="006C6F09">
        <w:rPr>
          <w:i/>
          <w:iCs/>
        </w:rPr>
        <w:t xml:space="preserve"> </w:t>
      </w:r>
      <w:r w:rsidRPr="00BD6709">
        <w:rPr>
          <w:i/>
          <w:iCs/>
        </w:rPr>
        <w:t>is</w:t>
      </w:r>
      <w:r w:rsidR="006C6F09">
        <w:rPr>
          <w:i/>
          <w:iCs/>
        </w:rPr>
        <w:t xml:space="preserve"> </w:t>
      </w:r>
      <w:r w:rsidRPr="00BD6709">
        <w:rPr>
          <w:i/>
          <w:iCs/>
        </w:rPr>
        <w:t>required,</w:t>
      </w:r>
      <w:r w:rsidR="006C6F09">
        <w:rPr>
          <w:i/>
          <w:iCs/>
        </w:rPr>
        <w:t xml:space="preserve"> </w:t>
      </w:r>
      <w:r w:rsidRPr="00BD6709">
        <w:rPr>
          <w:i/>
          <w:iCs/>
        </w:rPr>
        <w:t>no</w:t>
      </w:r>
      <w:r w:rsidR="006C6F09">
        <w:rPr>
          <w:i/>
          <w:iCs/>
        </w:rPr>
        <w:t xml:space="preserve"> </w:t>
      </w:r>
      <w:r w:rsidRPr="00BD6709">
        <w:rPr>
          <w:i/>
          <w:iCs/>
        </w:rPr>
        <w:t>residential</w:t>
      </w:r>
      <w:r w:rsidR="006C6F09">
        <w:rPr>
          <w:i/>
          <w:iCs/>
        </w:rPr>
        <w:t xml:space="preserve"> </w:t>
      </w:r>
      <w:r w:rsidRPr="00BD6709">
        <w:rPr>
          <w:i/>
          <w:iCs/>
        </w:rPr>
        <w:t>or</w:t>
      </w:r>
      <w:r w:rsidR="006C6F09">
        <w:rPr>
          <w:i/>
          <w:iCs/>
        </w:rPr>
        <w:t xml:space="preserve"> </w:t>
      </w:r>
      <w:r w:rsidRPr="00BD6709">
        <w:rPr>
          <w:i/>
          <w:iCs/>
        </w:rPr>
        <w:t>non-residential</w:t>
      </w:r>
      <w:r w:rsidR="006C6F09">
        <w:rPr>
          <w:i/>
          <w:iCs/>
        </w:rPr>
        <w:t xml:space="preserve"> </w:t>
      </w:r>
      <w:r w:rsidRPr="00BD6709">
        <w:rPr>
          <w:i/>
          <w:iCs/>
        </w:rPr>
        <w:t>structures</w:t>
      </w:r>
      <w:r w:rsidR="006C6F09">
        <w:rPr>
          <w:i/>
          <w:iCs/>
        </w:rPr>
        <w:t xml:space="preserve"> </w:t>
      </w:r>
      <w:r w:rsidRPr="00BD6709">
        <w:rPr>
          <w:i/>
          <w:iCs/>
        </w:rPr>
        <w:t>would</w:t>
      </w:r>
      <w:r w:rsidR="006C6F09">
        <w:rPr>
          <w:i/>
          <w:iCs/>
        </w:rPr>
        <w:t xml:space="preserve"> </w:t>
      </w:r>
      <w:r w:rsidRPr="00BD6709">
        <w:rPr>
          <w:i/>
          <w:iCs/>
        </w:rPr>
        <w:t>be</w:t>
      </w:r>
      <w:r w:rsidR="006C6F09">
        <w:rPr>
          <w:i/>
          <w:iCs/>
        </w:rPr>
        <w:t xml:space="preserve"> </w:t>
      </w:r>
      <w:r w:rsidRPr="00BD6709">
        <w:rPr>
          <w:i/>
          <w:iCs/>
        </w:rPr>
        <w:t>displaced.</w:t>
      </w:r>
      <w:r w:rsidR="006C6F09">
        <w:rPr>
          <w:i/>
          <w:iCs/>
        </w:rPr>
        <w:t xml:space="preserve"> </w:t>
      </w:r>
      <w:r w:rsidRPr="00BD6709">
        <w:rPr>
          <w:i/>
          <w:iCs/>
        </w:rPr>
        <w:t>Information</w:t>
      </w:r>
      <w:r w:rsidR="006C6F09">
        <w:rPr>
          <w:i/>
          <w:iCs/>
        </w:rPr>
        <w:t xml:space="preserve"> </w:t>
      </w:r>
      <w:r w:rsidRPr="00BD6709">
        <w:rPr>
          <w:i/>
          <w:iCs/>
        </w:rPr>
        <w:t>concerning</w:t>
      </w:r>
      <w:r w:rsidR="006C6F09">
        <w:rPr>
          <w:i/>
          <w:iCs/>
        </w:rPr>
        <w:t xml:space="preserve"> </w:t>
      </w:r>
      <w:r w:rsidRPr="00BD6709">
        <w:rPr>
          <w:i/>
          <w:iCs/>
        </w:rPr>
        <w:t>services</w:t>
      </w:r>
      <w:r w:rsidR="006C6F09">
        <w:rPr>
          <w:i/>
          <w:iCs/>
        </w:rPr>
        <w:t xml:space="preserve"> </w:t>
      </w:r>
      <w:r w:rsidRPr="00BD6709">
        <w:rPr>
          <w:i/>
          <w:iCs/>
        </w:rPr>
        <w:t>and</w:t>
      </w:r>
      <w:r w:rsidR="006C6F09">
        <w:rPr>
          <w:i/>
          <w:iCs/>
        </w:rPr>
        <w:t xml:space="preserve"> </w:t>
      </w:r>
      <w:r w:rsidRPr="00BD6709">
        <w:rPr>
          <w:i/>
          <w:iCs/>
        </w:rPr>
        <w:t>benefits</w:t>
      </w:r>
      <w:r w:rsidR="006C6F09">
        <w:rPr>
          <w:i/>
          <w:iCs/>
        </w:rPr>
        <w:t xml:space="preserve"> </w:t>
      </w:r>
      <w:r w:rsidRPr="00BD6709">
        <w:rPr>
          <w:i/>
          <w:iCs/>
        </w:rPr>
        <w:t>available</w:t>
      </w:r>
      <w:r w:rsidR="006C6F09">
        <w:rPr>
          <w:i/>
          <w:iCs/>
        </w:rPr>
        <w:t xml:space="preserve"> </w:t>
      </w:r>
      <w:r w:rsidRPr="00BD6709">
        <w:rPr>
          <w:i/>
          <w:iCs/>
        </w:rPr>
        <w:t>to</w:t>
      </w:r>
      <w:r w:rsidR="006C6F09">
        <w:rPr>
          <w:i/>
          <w:iCs/>
        </w:rPr>
        <w:t xml:space="preserve"> </w:t>
      </w:r>
      <w:r w:rsidRPr="00BD6709">
        <w:rPr>
          <w:i/>
          <w:iCs/>
        </w:rPr>
        <w:t>affected</w:t>
      </w:r>
      <w:r w:rsidR="006C6F09">
        <w:rPr>
          <w:i/>
          <w:iCs/>
        </w:rPr>
        <w:t xml:space="preserve"> </w:t>
      </w:r>
      <w:r w:rsidRPr="00BD6709">
        <w:rPr>
          <w:i/>
          <w:iCs/>
        </w:rPr>
        <w:t>property</w:t>
      </w:r>
      <w:r w:rsidR="006C6F09">
        <w:rPr>
          <w:i/>
          <w:iCs/>
        </w:rPr>
        <w:t xml:space="preserve"> </w:t>
      </w:r>
      <w:r w:rsidRPr="00BD6709">
        <w:rPr>
          <w:i/>
          <w:iCs/>
        </w:rPr>
        <w:t>owners</w:t>
      </w:r>
      <w:r w:rsidR="006C6F09">
        <w:rPr>
          <w:i/>
          <w:iCs/>
        </w:rPr>
        <w:t xml:space="preserve"> </w:t>
      </w:r>
      <w:r w:rsidRPr="00BD6709">
        <w:rPr>
          <w:i/>
          <w:iCs/>
        </w:rPr>
        <w:t>and</w:t>
      </w:r>
      <w:r w:rsidR="006C6F09">
        <w:rPr>
          <w:i/>
          <w:iCs/>
        </w:rPr>
        <w:t xml:space="preserve"> </w:t>
      </w:r>
      <w:r w:rsidRPr="00BD6709">
        <w:rPr>
          <w:i/>
          <w:iCs/>
        </w:rPr>
        <w:t>information</w:t>
      </w:r>
      <w:r w:rsidR="006C6F09">
        <w:rPr>
          <w:i/>
          <w:iCs/>
        </w:rPr>
        <w:t xml:space="preserve"> </w:t>
      </w:r>
      <w:r w:rsidRPr="00BD6709">
        <w:rPr>
          <w:i/>
          <w:iCs/>
        </w:rPr>
        <w:t>about</w:t>
      </w:r>
      <w:r w:rsidR="006C6F09">
        <w:rPr>
          <w:i/>
          <w:iCs/>
        </w:rPr>
        <w:t xml:space="preserve"> </w:t>
      </w:r>
      <w:r w:rsidRPr="00BD6709">
        <w:rPr>
          <w:i/>
          <w:iCs/>
        </w:rPr>
        <w:t>the</w:t>
      </w:r>
      <w:r w:rsidR="006C6F09">
        <w:rPr>
          <w:i/>
          <w:iCs/>
        </w:rPr>
        <w:t xml:space="preserve"> </w:t>
      </w:r>
      <w:r w:rsidRPr="00BD6709">
        <w:rPr>
          <w:i/>
          <w:iCs/>
        </w:rPr>
        <w:t>tentative</w:t>
      </w:r>
      <w:r w:rsidR="006C6F09">
        <w:rPr>
          <w:i/>
          <w:iCs/>
        </w:rPr>
        <w:t xml:space="preserve"> </w:t>
      </w:r>
      <w:r w:rsidRPr="00BD6709">
        <w:rPr>
          <w:i/>
          <w:iCs/>
        </w:rPr>
        <w:t>schedule</w:t>
      </w:r>
      <w:r w:rsidR="006C6F09">
        <w:rPr>
          <w:i/>
          <w:iCs/>
        </w:rPr>
        <w:t xml:space="preserve"> </w:t>
      </w:r>
      <w:r w:rsidRPr="00BD6709">
        <w:rPr>
          <w:i/>
          <w:iCs/>
        </w:rPr>
        <w:t>for</w:t>
      </w:r>
      <w:r w:rsidR="006C6F09">
        <w:rPr>
          <w:i/>
          <w:iCs/>
        </w:rPr>
        <w:t xml:space="preserve"> </w:t>
      </w:r>
      <w:r w:rsidRPr="00BD6709">
        <w:rPr>
          <w:i/>
          <w:iCs/>
        </w:rPr>
        <w:t>right-of-way</w:t>
      </w:r>
      <w:r w:rsidR="006C6F09">
        <w:rPr>
          <w:i/>
          <w:iCs/>
        </w:rPr>
        <w:t xml:space="preserve"> </w:t>
      </w:r>
      <w:r w:rsidRPr="00BD6709">
        <w:rPr>
          <w:i/>
          <w:iCs/>
        </w:rPr>
        <w:t>acquisition</w:t>
      </w:r>
      <w:r w:rsidR="006C6F09">
        <w:rPr>
          <w:i/>
          <w:iCs/>
        </w:rPr>
        <w:t xml:space="preserve"> </w:t>
      </w:r>
      <w:r w:rsidRPr="00BD6709">
        <w:rPr>
          <w:i/>
          <w:iCs/>
        </w:rPr>
        <w:t>may</w:t>
      </w:r>
      <w:r w:rsidR="006C6F09">
        <w:rPr>
          <w:i/>
          <w:iCs/>
        </w:rPr>
        <w:t xml:space="preserve"> </w:t>
      </w:r>
      <w:r w:rsidRPr="00BD6709">
        <w:rPr>
          <w:i/>
          <w:iCs/>
        </w:rPr>
        <w:t>be</w:t>
      </w:r>
      <w:r w:rsidR="006C6F09">
        <w:rPr>
          <w:i/>
          <w:iCs/>
        </w:rPr>
        <w:t xml:space="preserve"> </w:t>
      </w:r>
      <w:r w:rsidRPr="00BD6709">
        <w:rPr>
          <w:i/>
          <w:iCs/>
        </w:rPr>
        <w:t>obtained</w:t>
      </w:r>
      <w:r w:rsidR="006C6F09">
        <w:rPr>
          <w:i/>
          <w:iCs/>
        </w:rPr>
        <w:t xml:space="preserve"> </w:t>
      </w:r>
      <w:r w:rsidRPr="00BD6709">
        <w:rPr>
          <w:i/>
          <w:iCs/>
        </w:rPr>
        <w:t>from</w:t>
      </w:r>
      <w:r w:rsidR="006C6F09">
        <w:rPr>
          <w:i/>
          <w:iCs/>
        </w:rPr>
        <w:t xml:space="preserve"> </w:t>
      </w:r>
      <w:r w:rsidRPr="00BD6709">
        <w:rPr>
          <w:i/>
          <w:iCs/>
        </w:rPr>
        <w:t>the</w:t>
      </w:r>
      <w:r w:rsidR="006C6F09">
        <w:rPr>
          <w:i/>
          <w:iCs/>
        </w:rPr>
        <w:t xml:space="preserve"> </w:t>
      </w:r>
      <w:r>
        <w:rPr>
          <w:i/>
          <w:iCs/>
        </w:rPr>
        <w:t>[</w:t>
      </w:r>
      <w:r w:rsidRPr="00BD6709">
        <w:rPr>
          <w:i/>
          <w:iCs/>
        </w:rPr>
        <w:t>district</w:t>
      </w:r>
      <w:r w:rsidR="006C6F09">
        <w:rPr>
          <w:i/>
          <w:iCs/>
        </w:rPr>
        <w:t xml:space="preserve"> </w:t>
      </w:r>
      <w:r w:rsidRPr="00BD6709">
        <w:rPr>
          <w:i/>
          <w:iCs/>
        </w:rPr>
        <w:t>and</w:t>
      </w:r>
      <w:r w:rsidR="006C6F09">
        <w:rPr>
          <w:i/>
          <w:iCs/>
        </w:rPr>
        <w:t xml:space="preserve"> </w:t>
      </w:r>
      <w:r w:rsidRPr="00BD6709">
        <w:rPr>
          <w:i/>
          <w:iCs/>
        </w:rPr>
        <w:t>or</w:t>
      </w:r>
      <w:r w:rsidR="006C6F09">
        <w:rPr>
          <w:i/>
          <w:iCs/>
        </w:rPr>
        <w:t xml:space="preserve"> </w:t>
      </w:r>
      <w:r w:rsidRPr="00BD6709">
        <w:rPr>
          <w:i/>
          <w:iCs/>
        </w:rPr>
        <w:t>area</w:t>
      </w:r>
      <w:r>
        <w:rPr>
          <w:i/>
          <w:iCs/>
        </w:rPr>
        <w:t>]</w:t>
      </w:r>
      <w:r w:rsidR="006C6F09">
        <w:rPr>
          <w:i/>
          <w:iCs/>
        </w:rPr>
        <w:t xml:space="preserve"> </w:t>
      </w:r>
      <w:r w:rsidRPr="00BD6709">
        <w:rPr>
          <w:i/>
          <w:iCs/>
        </w:rPr>
        <w:t>office.</w:t>
      </w:r>
      <w:r w:rsidR="006C6F09">
        <w:rPr>
          <w:i/>
          <w:iCs/>
        </w:rPr>
        <w:t xml:space="preserve"> </w:t>
      </w:r>
    </w:p>
    <w:p w14:paraId="66EB60D2" w14:textId="1A6DF43E" w:rsidR="00457754" w:rsidRPr="002255B4" w:rsidRDefault="00457754" w:rsidP="00457754">
      <w:pPr>
        <w:pStyle w:val="ListBullet"/>
      </w:pPr>
      <w:r w:rsidRPr="002255B4">
        <w:t>Provide</w:t>
      </w:r>
      <w:r w:rsidR="006C6F09">
        <w:t xml:space="preserve"> </w:t>
      </w:r>
      <w:r w:rsidRPr="002255B4">
        <w:t>the</w:t>
      </w:r>
      <w:r w:rsidR="006C6F09">
        <w:t xml:space="preserve"> </w:t>
      </w:r>
      <w:r w:rsidRPr="002255B4">
        <w:t>address</w:t>
      </w:r>
      <w:r w:rsidR="006C6F09">
        <w:t xml:space="preserve"> </w:t>
      </w:r>
      <w:r w:rsidRPr="002255B4">
        <w:t>where</w:t>
      </w:r>
      <w:r w:rsidR="006C6F09">
        <w:t xml:space="preserve"> </w:t>
      </w:r>
      <w:r w:rsidRPr="002255B4">
        <w:t>written</w:t>
      </w:r>
      <w:r w:rsidR="006C6F09">
        <w:t xml:space="preserve"> </w:t>
      </w:r>
      <w:r w:rsidRPr="002255B4">
        <w:t>comments</w:t>
      </w:r>
      <w:r w:rsidR="006C6F09">
        <w:t xml:space="preserve"> </w:t>
      </w:r>
      <w:r w:rsidRPr="002255B4">
        <w:t>may</w:t>
      </w:r>
      <w:r w:rsidR="006C6F09">
        <w:t xml:space="preserve"> </w:t>
      </w:r>
      <w:r w:rsidRPr="002255B4">
        <w:t>be</w:t>
      </w:r>
      <w:r w:rsidR="006C6F09">
        <w:t xml:space="preserve"> </w:t>
      </w:r>
      <w:r w:rsidRPr="002255B4">
        <w:t>submitted.</w:t>
      </w:r>
      <w:r w:rsidR="006C6F09">
        <w:t xml:space="preserve"> </w:t>
      </w:r>
      <w:r w:rsidRPr="002255B4">
        <w:t>If</w:t>
      </w:r>
      <w:r w:rsidR="006C6F09">
        <w:t xml:space="preserve"> </w:t>
      </w:r>
      <w:r w:rsidRPr="002255B4">
        <w:t>available,</w:t>
      </w:r>
      <w:r w:rsidR="006C6F09">
        <w:t xml:space="preserve"> </w:t>
      </w:r>
      <w:r w:rsidRPr="002255B4">
        <w:t>provide</w:t>
      </w:r>
      <w:r w:rsidR="006C6F09">
        <w:t xml:space="preserve"> </w:t>
      </w:r>
      <w:r w:rsidRPr="002255B4">
        <w:t>an</w:t>
      </w:r>
      <w:r w:rsidR="006C6F09">
        <w:t xml:space="preserve"> </w:t>
      </w:r>
      <w:r w:rsidRPr="002255B4">
        <w:t>email</w:t>
      </w:r>
      <w:r w:rsidR="006C6F09">
        <w:t xml:space="preserve"> </w:t>
      </w:r>
      <w:r w:rsidRPr="002255B4">
        <w:t>address</w:t>
      </w:r>
      <w:r w:rsidR="006C6F09">
        <w:t xml:space="preserve"> </w:t>
      </w:r>
      <w:r w:rsidRPr="002255B4">
        <w:t>where</w:t>
      </w:r>
      <w:r w:rsidR="006C6F09">
        <w:t xml:space="preserve"> </w:t>
      </w:r>
      <w:r w:rsidRPr="002255B4">
        <w:t>comments</w:t>
      </w:r>
      <w:r w:rsidR="006C6F09">
        <w:t xml:space="preserve"> </w:t>
      </w:r>
      <w:r w:rsidRPr="002255B4">
        <w:t>may</w:t>
      </w:r>
      <w:r w:rsidR="006C6F09">
        <w:t xml:space="preserve"> </w:t>
      </w:r>
      <w:r w:rsidRPr="002255B4">
        <w:t>be</w:t>
      </w:r>
      <w:r w:rsidR="006C6F09">
        <w:t xml:space="preserve"> </w:t>
      </w:r>
      <w:r w:rsidRPr="002255B4">
        <w:t>submitted.</w:t>
      </w:r>
    </w:p>
    <w:p w14:paraId="6EEE47DB" w14:textId="3AAED955" w:rsidR="00457754" w:rsidRPr="002255B4" w:rsidRDefault="00457754" w:rsidP="00457754">
      <w:pPr>
        <w:pStyle w:val="ListBullet"/>
      </w:pPr>
      <w:r w:rsidRPr="002255B4">
        <w:t>The</w:t>
      </w:r>
      <w:r w:rsidR="006C6F09">
        <w:t xml:space="preserve"> </w:t>
      </w:r>
      <w:r w:rsidRPr="002255B4">
        <w:t>notice</w:t>
      </w:r>
      <w:r w:rsidR="006C6F09">
        <w:t xml:space="preserve"> </w:t>
      </w:r>
      <w:r w:rsidRPr="002255B4">
        <w:t>must</w:t>
      </w:r>
      <w:r w:rsidR="006C6F09">
        <w:t xml:space="preserve"> </w:t>
      </w:r>
      <w:r w:rsidRPr="002255B4">
        <w:t>also</w:t>
      </w:r>
      <w:r w:rsidR="006C6F09">
        <w:t xml:space="preserve"> </w:t>
      </w:r>
      <w:r w:rsidRPr="002255B4">
        <w:t>provide</w:t>
      </w:r>
      <w:r w:rsidR="006C6F09">
        <w:t xml:space="preserve"> </w:t>
      </w:r>
      <w:r w:rsidRPr="002255B4">
        <w:t>information</w:t>
      </w:r>
      <w:r w:rsidR="006C6F09">
        <w:t xml:space="preserve"> </w:t>
      </w:r>
      <w:r w:rsidRPr="002255B4">
        <w:t>required</w:t>
      </w:r>
      <w:r w:rsidR="006C6F09">
        <w:t xml:space="preserve"> </w:t>
      </w:r>
      <w:r w:rsidRPr="002255B4">
        <w:t>to</w:t>
      </w:r>
      <w:r w:rsidR="006C6F09">
        <w:t xml:space="preserve"> </w:t>
      </w:r>
      <w:r w:rsidRPr="002255B4">
        <w:t>comply</w:t>
      </w:r>
      <w:r w:rsidR="006C6F09">
        <w:t xml:space="preserve"> </w:t>
      </w:r>
      <w:r w:rsidRPr="002255B4">
        <w:t>with</w:t>
      </w:r>
      <w:r w:rsidR="006C6F09">
        <w:t xml:space="preserve"> </w:t>
      </w:r>
      <w:r w:rsidRPr="002255B4">
        <w:t>public</w:t>
      </w:r>
      <w:r w:rsidR="006C6F09">
        <w:t xml:space="preserve"> </w:t>
      </w:r>
      <w:r w:rsidRPr="002255B4">
        <w:t>involvement</w:t>
      </w:r>
      <w:r w:rsidR="006C6F09">
        <w:t xml:space="preserve"> </w:t>
      </w:r>
      <w:r w:rsidRPr="002255B4">
        <w:t>requirements</w:t>
      </w:r>
      <w:r w:rsidR="006C6F09">
        <w:t xml:space="preserve"> </w:t>
      </w:r>
      <w:r w:rsidRPr="002255B4">
        <w:t>of</w:t>
      </w:r>
      <w:r w:rsidR="006C6F09">
        <w:t xml:space="preserve"> </w:t>
      </w:r>
      <w:r w:rsidRPr="002255B4">
        <w:t>other</w:t>
      </w:r>
      <w:r w:rsidR="006C6F09">
        <w:t xml:space="preserve"> </w:t>
      </w:r>
      <w:r w:rsidRPr="002255B4">
        <w:t>laws,</w:t>
      </w:r>
      <w:r w:rsidR="006C6F09">
        <w:t xml:space="preserve"> </w:t>
      </w:r>
      <w:r w:rsidRPr="002255B4">
        <w:t>Executive</w:t>
      </w:r>
      <w:r w:rsidR="006C6F09">
        <w:t xml:space="preserve"> </w:t>
      </w:r>
      <w:r w:rsidRPr="002255B4">
        <w:t>orders,</w:t>
      </w:r>
      <w:r w:rsidR="006C6F09">
        <w:t xml:space="preserve"> </w:t>
      </w:r>
      <w:r w:rsidRPr="002255B4">
        <w:t>and</w:t>
      </w:r>
      <w:r w:rsidR="006C6F09">
        <w:t xml:space="preserve"> </w:t>
      </w:r>
      <w:r w:rsidRPr="002255B4">
        <w:t>regulations.</w:t>
      </w:r>
      <w:r w:rsidR="006C6F09">
        <w:t xml:space="preserve"> </w:t>
      </w:r>
      <w:r w:rsidRPr="002255B4">
        <w:t>For</w:t>
      </w:r>
      <w:r w:rsidR="006C6F09">
        <w:t xml:space="preserve"> </w:t>
      </w:r>
      <w:r w:rsidRPr="002255B4">
        <w:t>example,</w:t>
      </w:r>
      <w:r w:rsidR="006C6F09">
        <w:t xml:space="preserve"> </w:t>
      </w:r>
      <w:r w:rsidRPr="002255B4">
        <w:t>if</w:t>
      </w:r>
      <w:r w:rsidR="006C6F09">
        <w:t xml:space="preserve"> </w:t>
      </w:r>
      <w:r w:rsidRPr="002255B4">
        <w:t>a</w:t>
      </w:r>
      <w:r w:rsidR="006C6F09">
        <w:t xml:space="preserve"> </w:t>
      </w:r>
      <w:r w:rsidRPr="002255B4">
        <w:t>federal</w:t>
      </w:r>
      <w:r w:rsidR="006C6F09">
        <w:t xml:space="preserve"> </w:t>
      </w:r>
      <w:r w:rsidRPr="002255B4">
        <w:t>project</w:t>
      </w:r>
      <w:r w:rsidR="006C6F09">
        <w:t xml:space="preserve"> </w:t>
      </w:r>
      <w:r w:rsidRPr="002255B4">
        <w:t>encroaches</w:t>
      </w:r>
      <w:r w:rsidR="006C6F09">
        <w:t xml:space="preserve"> </w:t>
      </w:r>
      <w:r w:rsidRPr="002255B4">
        <w:t>on</w:t>
      </w:r>
      <w:r w:rsidR="006C6F09">
        <w:t xml:space="preserve"> </w:t>
      </w:r>
      <w:r w:rsidRPr="002255B4">
        <w:t>a</w:t>
      </w:r>
      <w:r w:rsidR="006C6F09">
        <w:t xml:space="preserve"> </w:t>
      </w:r>
      <w:r w:rsidRPr="002255B4">
        <w:t>floodplain,</w:t>
      </w:r>
      <w:r w:rsidR="006C6F09">
        <w:t xml:space="preserve"> </w:t>
      </w:r>
      <w:r w:rsidRPr="002255B4">
        <w:t>wetland,</w:t>
      </w:r>
      <w:r w:rsidR="006C6F09">
        <w:t xml:space="preserve"> </w:t>
      </w:r>
      <w:r w:rsidRPr="002255B4">
        <w:t>or</w:t>
      </w:r>
      <w:r w:rsidR="006C6F09">
        <w:t xml:space="preserve"> </w:t>
      </w:r>
      <w:r w:rsidRPr="002255B4">
        <w:t>sole-source</w:t>
      </w:r>
      <w:r w:rsidR="006C6F09">
        <w:t xml:space="preserve"> </w:t>
      </w:r>
      <w:r w:rsidRPr="002255B4">
        <w:t>aquifer</w:t>
      </w:r>
      <w:r w:rsidR="006C6F09">
        <w:t xml:space="preserve"> </w:t>
      </w:r>
      <w:r w:rsidRPr="002255B4">
        <w:t>recharge</w:t>
      </w:r>
      <w:r w:rsidR="006C6F09">
        <w:t xml:space="preserve"> </w:t>
      </w:r>
      <w:r w:rsidRPr="002255B4">
        <w:t>zone,</w:t>
      </w:r>
      <w:r w:rsidR="006C6F09">
        <w:t xml:space="preserve"> </w:t>
      </w:r>
      <w:r w:rsidRPr="002255B4">
        <w:t>specific</w:t>
      </w:r>
      <w:r w:rsidR="006C6F09">
        <w:t xml:space="preserve"> </w:t>
      </w:r>
      <w:r w:rsidRPr="002255B4">
        <w:t>notification</w:t>
      </w:r>
      <w:r w:rsidR="006C6F09">
        <w:t xml:space="preserve"> </w:t>
      </w:r>
      <w:r w:rsidRPr="002255B4">
        <w:t>regarding</w:t>
      </w:r>
      <w:r w:rsidR="006C6F09">
        <w:t xml:space="preserve"> </w:t>
      </w:r>
      <w:r w:rsidRPr="002255B4">
        <w:t>that</w:t>
      </w:r>
      <w:r w:rsidR="006C6F09">
        <w:t xml:space="preserve"> </w:t>
      </w:r>
      <w:r w:rsidRPr="002255B4">
        <w:t>issue</w:t>
      </w:r>
      <w:r w:rsidR="006C6F09">
        <w:t xml:space="preserve"> </w:t>
      </w:r>
      <w:r w:rsidRPr="002255B4">
        <w:t>may</w:t>
      </w:r>
      <w:r w:rsidR="006C6F09">
        <w:t xml:space="preserve"> </w:t>
      </w:r>
      <w:r w:rsidRPr="002255B4">
        <w:t>be</w:t>
      </w:r>
      <w:r w:rsidR="006C6F09">
        <w:t xml:space="preserve"> </w:t>
      </w:r>
      <w:r w:rsidRPr="002255B4">
        <w:t>required.</w:t>
      </w:r>
    </w:p>
    <w:p w14:paraId="46478828" w14:textId="08407E41" w:rsidR="00457754" w:rsidRPr="002255B4" w:rsidRDefault="00457754" w:rsidP="00457754">
      <w:pPr>
        <w:pStyle w:val="ListBullet"/>
      </w:pPr>
      <w:r w:rsidRPr="002255B4">
        <w:t>The</w:t>
      </w:r>
      <w:r w:rsidR="006C6F09">
        <w:t xml:space="preserve"> </w:t>
      </w:r>
      <w:r w:rsidRPr="002255B4">
        <w:t>English</w:t>
      </w:r>
      <w:r w:rsidR="006C6F09">
        <w:t xml:space="preserve"> </w:t>
      </w:r>
      <w:r w:rsidRPr="002255B4">
        <w:t>version</w:t>
      </w:r>
      <w:r w:rsidR="006C6F09">
        <w:t xml:space="preserve"> </w:t>
      </w:r>
      <w:r w:rsidRPr="002255B4">
        <w:t>of</w:t>
      </w:r>
      <w:r w:rsidR="006C6F09">
        <w:t xml:space="preserve"> </w:t>
      </w:r>
      <w:r w:rsidRPr="002255B4">
        <w:t>the</w:t>
      </w:r>
      <w:r w:rsidR="006C6F09">
        <w:t xml:space="preserve"> </w:t>
      </w:r>
      <w:r w:rsidRPr="002255B4">
        <w:t>notice</w:t>
      </w:r>
      <w:r w:rsidR="006C6F09">
        <w:t xml:space="preserve"> </w:t>
      </w:r>
      <w:r w:rsidRPr="002255B4">
        <w:t>must</w:t>
      </w:r>
      <w:r w:rsidR="006C6F09">
        <w:t xml:space="preserve"> </w:t>
      </w:r>
      <w:r w:rsidRPr="002255B4">
        <w:t>include</w:t>
      </w:r>
      <w:r w:rsidR="006C6F09">
        <w:t xml:space="preserve"> </w:t>
      </w:r>
      <w:r w:rsidRPr="002255B4">
        <w:t>the</w:t>
      </w:r>
      <w:r w:rsidR="006C6F09">
        <w:t xml:space="preserve"> </w:t>
      </w:r>
      <w:r w:rsidRPr="002255B4">
        <w:t>following</w:t>
      </w:r>
      <w:r w:rsidR="006C6F09">
        <w:t xml:space="preserve"> </w:t>
      </w:r>
      <w:r w:rsidRPr="002255B4">
        <w:t>language</w:t>
      </w:r>
      <w:r w:rsidR="006C6F09">
        <w:t xml:space="preserve"> </w:t>
      </w:r>
      <w:r w:rsidRPr="002255B4">
        <w:t>in</w:t>
      </w:r>
      <w:r w:rsidR="006C6F09">
        <w:t xml:space="preserve"> </w:t>
      </w:r>
      <w:r w:rsidRPr="002255B4">
        <w:t>at</w:t>
      </w:r>
      <w:r w:rsidR="006C6F09">
        <w:t xml:space="preserve"> </w:t>
      </w:r>
      <w:r w:rsidRPr="002255B4">
        <w:t>least</w:t>
      </w:r>
      <w:r w:rsidR="006C6F09">
        <w:t xml:space="preserve"> </w:t>
      </w:r>
      <w:r w:rsidRPr="002255B4">
        <w:t>both</w:t>
      </w:r>
      <w:r w:rsidR="006C6F09">
        <w:t xml:space="preserve"> </w:t>
      </w:r>
      <w:r w:rsidRPr="002255B4">
        <w:t>English</w:t>
      </w:r>
      <w:r w:rsidR="006C6F09">
        <w:t xml:space="preserve"> </w:t>
      </w:r>
      <w:r w:rsidRPr="002255B4">
        <w:t>and</w:t>
      </w:r>
      <w:r w:rsidR="006C6F09">
        <w:t xml:space="preserve"> </w:t>
      </w:r>
      <w:r w:rsidRPr="002255B4">
        <w:t>Spanish</w:t>
      </w:r>
      <w:r>
        <w:rPr>
          <w:rStyle w:val="FootnoteReference"/>
        </w:rPr>
        <w:footnoteReference w:id="4"/>
      </w:r>
      <w:r w:rsidRPr="002255B4">
        <w:t>:</w:t>
      </w:r>
    </w:p>
    <w:p w14:paraId="413F3A14" w14:textId="023327E9" w:rsidR="00457754" w:rsidRPr="00457754" w:rsidRDefault="00457754" w:rsidP="00457754">
      <w:r w:rsidRPr="00457754">
        <w:lastRenderedPageBreak/>
        <w:t>The</w:t>
      </w:r>
      <w:r w:rsidR="006C6F09">
        <w:t xml:space="preserve"> </w:t>
      </w:r>
      <w:r w:rsidRPr="00457754">
        <w:rPr>
          <w:highlight w:val="darkGray"/>
        </w:rPr>
        <w:t>[Insert</w:t>
      </w:r>
      <w:r w:rsidR="006C6F09">
        <w:rPr>
          <w:highlight w:val="darkGray"/>
        </w:rPr>
        <w:t xml:space="preserve"> </w:t>
      </w:r>
      <w:r w:rsidRPr="00457754">
        <w:rPr>
          <w:highlight w:val="darkGray"/>
        </w:rPr>
        <w:t>text</w:t>
      </w:r>
      <w:r w:rsidR="006C6F09">
        <w:rPr>
          <w:highlight w:val="darkGray"/>
        </w:rPr>
        <w:t xml:space="preserve"> </w:t>
      </w:r>
      <w:r w:rsidRPr="00457754">
        <w:rPr>
          <w:highlight w:val="darkGray"/>
        </w:rPr>
        <w:t>–</w:t>
      </w:r>
      <w:r w:rsidR="006C6F09">
        <w:rPr>
          <w:highlight w:val="darkGray"/>
        </w:rPr>
        <w:t xml:space="preserve"> </w:t>
      </w:r>
      <w:r w:rsidRPr="00457754">
        <w:rPr>
          <w:highlight w:val="darkGray"/>
        </w:rPr>
        <w:t>event</w:t>
      </w:r>
      <w:r w:rsidR="006C6F09">
        <w:rPr>
          <w:highlight w:val="darkGray"/>
        </w:rPr>
        <w:t xml:space="preserve"> </w:t>
      </w:r>
      <w:r w:rsidRPr="00457754">
        <w:rPr>
          <w:highlight w:val="darkGray"/>
        </w:rPr>
        <w:t>name]</w:t>
      </w:r>
      <w:r w:rsidR="006C6F09">
        <w:t xml:space="preserve"> </w:t>
      </w:r>
      <w:r w:rsidRPr="00457754">
        <w:t>will</w:t>
      </w:r>
      <w:r w:rsidR="006C6F09">
        <w:t xml:space="preserve"> </w:t>
      </w:r>
      <w:r w:rsidRPr="00457754">
        <w:t>be</w:t>
      </w:r>
      <w:r w:rsidR="006C6F09">
        <w:t xml:space="preserve"> </w:t>
      </w:r>
      <w:r w:rsidRPr="00457754">
        <w:t>conducted</w:t>
      </w:r>
      <w:r w:rsidR="006C6F09">
        <w:t xml:space="preserve"> </w:t>
      </w:r>
      <w:r w:rsidRPr="00457754">
        <w:t>in</w:t>
      </w:r>
      <w:r w:rsidR="006C6F09">
        <w:t xml:space="preserve"> </w:t>
      </w:r>
      <w:r w:rsidRPr="00457754">
        <w:t>English.</w:t>
      </w:r>
      <w:r w:rsidR="006C6F09">
        <w:t xml:space="preserve"> </w:t>
      </w:r>
      <w:r w:rsidRPr="00457754">
        <w:t>If</w:t>
      </w:r>
      <w:r w:rsidR="006C6F09">
        <w:t xml:space="preserve"> </w:t>
      </w:r>
      <w:r w:rsidRPr="00457754">
        <w:t>you</w:t>
      </w:r>
      <w:r w:rsidR="006C6F09">
        <w:t xml:space="preserve"> </w:t>
      </w:r>
      <w:r w:rsidRPr="00457754">
        <w:t>need</w:t>
      </w:r>
      <w:r w:rsidR="006C6F09">
        <w:t xml:space="preserve"> </w:t>
      </w:r>
      <w:r w:rsidRPr="00457754">
        <w:t>an</w:t>
      </w:r>
      <w:r w:rsidR="006C6F09">
        <w:t xml:space="preserve"> </w:t>
      </w:r>
      <w:r w:rsidRPr="00457754">
        <w:t>interpreter</w:t>
      </w:r>
      <w:r w:rsidR="006C6F09">
        <w:t xml:space="preserve"> </w:t>
      </w:r>
      <w:r w:rsidRPr="00457754">
        <w:t>or</w:t>
      </w:r>
      <w:r w:rsidR="006C6F09">
        <w:t xml:space="preserve"> </w:t>
      </w:r>
      <w:r w:rsidRPr="00457754">
        <w:t>document</w:t>
      </w:r>
      <w:r w:rsidR="006C6F09">
        <w:t xml:space="preserve"> </w:t>
      </w:r>
      <w:r w:rsidRPr="00457754">
        <w:t>translator</w:t>
      </w:r>
      <w:r w:rsidR="006C6F09">
        <w:t xml:space="preserve"> </w:t>
      </w:r>
      <w:r w:rsidRPr="00457754">
        <w:t>because</w:t>
      </w:r>
      <w:r w:rsidR="006C6F09">
        <w:t xml:space="preserve"> </w:t>
      </w:r>
      <w:r w:rsidRPr="00457754">
        <w:t>English</w:t>
      </w:r>
      <w:r w:rsidR="006C6F09">
        <w:t xml:space="preserve"> </w:t>
      </w:r>
      <w:r w:rsidRPr="00457754">
        <w:t>is</w:t>
      </w:r>
      <w:r w:rsidR="006C6F09">
        <w:t xml:space="preserve"> </w:t>
      </w:r>
      <w:r w:rsidRPr="00457754">
        <w:t>not</w:t>
      </w:r>
      <w:r w:rsidR="006C6F09">
        <w:t xml:space="preserve"> </w:t>
      </w:r>
      <w:r w:rsidRPr="00457754">
        <w:t>your</w:t>
      </w:r>
      <w:r w:rsidR="006C6F09">
        <w:t xml:space="preserve"> </w:t>
      </w:r>
      <w:r w:rsidRPr="00457754">
        <w:t>primary</w:t>
      </w:r>
      <w:r w:rsidR="006C6F09">
        <w:t xml:space="preserve"> </w:t>
      </w:r>
      <w:r w:rsidRPr="00457754">
        <w:t>language</w:t>
      </w:r>
      <w:r w:rsidR="006C6F09">
        <w:t xml:space="preserve"> </w:t>
      </w:r>
      <w:r w:rsidRPr="00457754">
        <w:t>or</w:t>
      </w:r>
      <w:r w:rsidR="006C6F09">
        <w:t xml:space="preserve"> </w:t>
      </w:r>
      <w:proofErr w:type="gramStart"/>
      <w:r w:rsidRPr="00457754">
        <w:t>you</w:t>
      </w:r>
      <w:r w:rsidR="006C6F09">
        <w:t xml:space="preserve"> </w:t>
      </w:r>
      <w:r w:rsidRPr="00457754">
        <w:t>have</w:t>
      </w:r>
      <w:proofErr w:type="gramEnd"/>
      <w:r w:rsidR="006C6F09">
        <w:t xml:space="preserve"> </w:t>
      </w:r>
      <w:r w:rsidRPr="00457754">
        <w:t>difficulty</w:t>
      </w:r>
      <w:r w:rsidR="006C6F09">
        <w:t xml:space="preserve"> </w:t>
      </w:r>
      <w:r w:rsidRPr="00457754">
        <w:t>communicating</w:t>
      </w:r>
      <w:r w:rsidR="006C6F09">
        <w:t xml:space="preserve"> </w:t>
      </w:r>
      <w:r w:rsidRPr="00457754">
        <w:t>effectively</w:t>
      </w:r>
      <w:r w:rsidR="006C6F09">
        <w:t xml:space="preserve"> </w:t>
      </w:r>
      <w:r w:rsidRPr="00457754">
        <w:t>in</w:t>
      </w:r>
      <w:r w:rsidR="006C6F09">
        <w:t xml:space="preserve"> </w:t>
      </w:r>
      <w:r w:rsidRPr="00457754">
        <w:t>English,</w:t>
      </w:r>
      <w:r w:rsidR="006C6F09">
        <w:t xml:space="preserve"> </w:t>
      </w:r>
      <w:r w:rsidRPr="00457754">
        <w:t>one</w:t>
      </w:r>
      <w:r w:rsidR="006C6F09">
        <w:t xml:space="preserve"> </w:t>
      </w:r>
      <w:r w:rsidRPr="00457754">
        <w:t>will</w:t>
      </w:r>
      <w:r w:rsidR="006C6F09">
        <w:t xml:space="preserve"> </w:t>
      </w:r>
      <w:r w:rsidRPr="00457754">
        <w:t>be</w:t>
      </w:r>
      <w:r w:rsidR="006C6F09">
        <w:t xml:space="preserve"> </w:t>
      </w:r>
      <w:r w:rsidRPr="00457754">
        <w:t>provided</w:t>
      </w:r>
      <w:r w:rsidR="006C6F09">
        <w:t xml:space="preserve"> </w:t>
      </w:r>
      <w:r w:rsidRPr="00457754">
        <w:t>to</w:t>
      </w:r>
      <w:r w:rsidR="006C6F09">
        <w:t xml:space="preserve"> </w:t>
      </w:r>
      <w:r w:rsidRPr="00457754">
        <w:t>you.</w:t>
      </w:r>
      <w:r w:rsidR="006C6F09">
        <w:t xml:space="preserve"> </w:t>
      </w:r>
      <w:r w:rsidRPr="00457754">
        <w:t>If</w:t>
      </w:r>
      <w:r w:rsidR="006C6F09">
        <w:t xml:space="preserve"> </w:t>
      </w:r>
      <w:r w:rsidRPr="00457754">
        <w:t>you</w:t>
      </w:r>
      <w:r w:rsidR="006C6F09">
        <w:t xml:space="preserve"> </w:t>
      </w:r>
      <w:r w:rsidRPr="00457754">
        <w:t>have</w:t>
      </w:r>
      <w:r w:rsidR="006C6F09">
        <w:t xml:space="preserve"> </w:t>
      </w:r>
      <w:r w:rsidRPr="00457754">
        <w:t>a</w:t>
      </w:r>
      <w:r w:rsidR="006C6F09">
        <w:t xml:space="preserve"> </w:t>
      </w:r>
      <w:r w:rsidRPr="00457754">
        <w:t>disability</w:t>
      </w:r>
      <w:r w:rsidR="006C6F09">
        <w:t xml:space="preserve"> </w:t>
      </w:r>
      <w:r w:rsidRPr="00457754">
        <w:t>and</w:t>
      </w:r>
      <w:r w:rsidR="006C6F09">
        <w:t xml:space="preserve"> </w:t>
      </w:r>
      <w:r w:rsidRPr="00457754">
        <w:t>need</w:t>
      </w:r>
      <w:r w:rsidR="006C6F09">
        <w:t xml:space="preserve"> </w:t>
      </w:r>
      <w:r w:rsidRPr="00457754">
        <w:t>assistance,</w:t>
      </w:r>
      <w:r w:rsidR="006C6F09">
        <w:t xml:space="preserve"> </w:t>
      </w:r>
      <w:r w:rsidRPr="00457754">
        <w:t>special</w:t>
      </w:r>
      <w:r w:rsidR="006C6F09">
        <w:t xml:space="preserve"> </w:t>
      </w:r>
      <w:r w:rsidRPr="00457754">
        <w:t>arrangements</w:t>
      </w:r>
      <w:r w:rsidR="006C6F09">
        <w:t xml:space="preserve"> </w:t>
      </w:r>
      <w:r w:rsidRPr="00457754">
        <w:t>can</w:t>
      </w:r>
      <w:r w:rsidR="006C6F09">
        <w:t xml:space="preserve"> </w:t>
      </w:r>
      <w:r w:rsidRPr="00457754">
        <w:t>be</w:t>
      </w:r>
      <w:r w:rsidR="006C6F09">
        <w:t xml:space="preserve"> </w:t>
      </w:r>
      <w:r w:rsidRPr="00457754">
        <w:t>made</w:t>
      </w:r>
      <w:r w:rsidR="006C6F09">
        <w:t xml:space="preserve"> </w:t>
      </w:r>
      <w:r w:rsidRPr="00457754">
        <w:t>to</w:t>
      </w:r>
      <w:r w:rsidR="006C6F09">
        <w:t xml:space="preserve"> </w:t>
      </w:r>
      <w:r w:rsidRPr="00457754">
        <w:t>accommodate</w:t>
      </w:r>
      <w:r w:rsidR="006C6F09">
        <w:t xml:space="preserve"> </w:t>
      </w:r>
      <w:r w:rsidRPr="00457754">
        <w:t>most</w:t>
      </w:r>
      <w:r w:rsidR="006C6F09">
        <w:t xml:space="preserve"> </w:t>
      </w:r>
      <w:r w:rsidRPr="00457754">
        <w:t>needs.</w:t>
      </w:r>
      <w:r w:rsidR="006C6F09">
        <w:t xml:space="preserve"> </w:t>
      </w:r>
      <w:r w:rsidRPr="00457754">
        <w:t>If</w:t>
      </w:r>
      <w:r w:rsidR="006C6F09">
        <w:t xml:space="preserve"> </w:t>
      </w:r>
      <w:r w:rsidRPr="00457754">
        <w:t>you</w:t>
      </w:r>
      <w:r w:rsidR="006C6F09">
        <w:t xml:space="preserve"> </w:t>
      </w:r>
      <w:r w:rsidRPr="00457754">
        <w:t>need</w:t>
      </w:r>
      <w:r w:rsidR="006C6F09">
        <w:t xml:space="preserve"> </w:t>
      </w:r>
      <w:r w:rsidRPr="00457754">
        <w:t>interpretation</w:t>
      </w:r>
      <w:r w:rsidR="006C6F09">
        <w:t xml:space="preserve"> </w:t>
      </w:r>
      <w:r w:rsidRPr="00457754">
        <w:t>or</w:t>
      </w:r>
      <w:r w:rsidR="006C6F09">
        <w:t xml:space="preserve"> </w:t>
      </w:r>
      <w:r w:rsidRPr="00457754">
        <w:t>translation</w:t>
      </w:r>
      <w:r w:rsidR="006C6F09">
        <w:t xml:space="preserve"> </w:t>
      </w:r>
      <w:r w:rsidRPr="00457754">
        <w:t>services</w:t>
      </w:r>
      <w:r w:rsidR="006C6F09">
        <w:t xml:space="preserve"> </w:t>
      </w:r>
      <w:r w:rsidRPr="00457754">
        <w:t>or</w:t>
      </w:r>
      <w:r w:rsidR="006C6F09">
        <w:t xml:space="preserve"> </w:t>
      </w:r>
      <w:r w:rsidRPr="00457754">
        <w:t>you</w:t>
      </w:r>
      <w:r w:rsidR="006C6F09">
        <w:t xml:space="preserve"> </w:t>
      </w:r>
      <w:r w:rsidRPr="00457754">
        <w:t>are</w:t>
      </w:r>
      <w:r w:rsidR="006C6F09">
        <w:t xml:space="preserve"> </w:t>
      </w:r>
      <w:r w:rsidRPr="00457754">
        <w:t>a</w:t>
      </w:r>
      <w:r w:rsidR="006C6F09">
        <w:t xml:space="preserve"> </w:t>
      </w:r>
      <w:r w:rsidRPr="00457754">
        <w:t>person</w:t>
      </w:r>
      <w:r w:rsidR="006C6F09">
        <w:t xml:space="preserve"> </w:t>
      </w:r>
      <w:r w:rsidRPr="00457754">
        <w:t>with</w:t>
      </w:r>
      <w:r w:rsidR="006C6F09">
        <w:t xml:space="preserve"> </w:t>
      </w:r>
      <w:r w:rsidRPr="00457754">
        <w:t>a</w:t>
      </w:r>
      <w:r w:rsidR="006C6F09">
        <w:t xml:space="preserve"> </w:t>
      </w:r>
      <w:r w:rsidRPr="00457754">
        <w:t>disability</w:t>
      </w:r>
      <w:r w:rsidR="006C6F09">
        <w:t xml:space="preserve"> </w:t>
      </w:r>
      <w:r w:rsidRPr="00457754">
        <w:t>who</w:t>
      </w:r>
      <w:r w:rsidR="006C6F09">
        <w:t xml:space="preserve"> </w:t>
      </w:r>
      <w:r w:rsidRPr="00457754">
        <w:t>requires</w:t>
      </w:r>
      <w:r w:rsidR="006C6F09">
        <w:t xml:space="preserve"> </w:t>
      </w:r>
      <w:r w:rsidRPr="00457754">
        <w:t>an</w:t>
      </w:r>
      <w:r w:rsidR="006C6F09">
        <w:t xml:space="preserve"> </w:t>
      </w:r>
      <w:r w:rsidRPr="00457754">
        <w:t>accommodation</w:t>
      </w:r>
      <w:r w:rsidR="006C6F09">
        <w:t xml:space="preserve"> </w:t>
      </w:r>
      <w:r w:rsidRPr="00457754">
        <w:t>to</w:t>
      </w:r>
      <w:r w:rsidR="006C6F09">
        <w:t xml:space="preserve"> </w:t>
      </w:r>
      <w:r w:rsidRPr="00457754">
        <w:t>attend</w:t>
      </w:r>
      <w:r w:rsidR="006C6F09">
        <w:t xml:space="preserve"> </w:t>
      </w:r>
      <w:r w:rsidRPr="00457754">
        <w:t>and</w:t>
      </w:r>
      <w:r w:rsidR="006C6F09">
        <w:t xml:space="preserve"> </w:t>
      </w:r>
      <w:r w:rsidRPr="00457754">
        <w:t>participate</w:t>
      </w:r>
      <w:r w:rsidR="006C6F09">
        <w:t xml:space="preserve"> </w:t>
      </w:r>
      <w:r w:rsidRPr="00457754">
        <w:t>in</w:t>
      </w:r>
      <w:r w:rsidR="006C6F09">
        <w:t xml:space="preserve"> </w:t>
      </w:r>
      <w:r w:rsidRPr="00457754">
        <w:rPr>
          <w:highlight w:val="darkGray"/>
        </w:rPr>
        <w:t>[Insert</w:t>
      </w:r>
      <w:r w:rsidR="006C6F09">
        <w:rPr>
          <w:highlight w:val="darkGray"/>
        </w:rPr>
        <w:t xml:space="preserve"> </w:t>
      </w:r>
      <w:r w:rsidRPr="00457754">
        <w:rPr>
          <w:highlight w:val="darkGray"/>
        </w:rPr>
        <w:t>text</w:t>
      </w:r>
      <w:r w:rsidR="006C6F09">
        <w:rPr>
          <w:highlight w:val="darkGray"/>
        </w:rPr>
        <w:t xml:space="preserve"> </w:t>
      </w:r>
      <w:r w:rsidRPr="00457754">
        <w:rPr>
          <w:highlight w:val="darkGray"/>
        </w:rPr>
        <w:t>-</w:t>
      </w:r>
      <w:r w:rsidR="006C6F09">
        <w:rPr>
          <w:highlight w:val="darkGray"/>
        </w:rPr>
        <w:t xml:space="preserve"> </w:t>
      </w:r>
      <w:r w:rsidRPr="00457754">
        <w:rPr>
          <w:highlight w:val="darkGray"/>
        </w:rPr>
        <w:t>event</w:t>
      </w:r>
      <w:r w:rsidR="006C6F09">
        <w:rPr>
          <w:highlight w:val="darkGray"/>
        </w:rPr>
        <w:t xml:space="preserve"> </w:t>
      </w:r>
      <w:r w:rsidRPr="00457754">
        <w:rPr>
          <w:highlight w:val="darkGray"/>
        </w:rPr>
        <w:t>name]</w:t>
      </w:r>
      <w:r w:rsidRPr="00457754">
        <w:t>,</w:t>
      </w:r>
      <w:r w:rsidR="006C6F09">
        <w:t xml:space="preserve"> </w:t>
      </w:r>
      <w:r w:rsidRPr="00457754">
        <w:t>please</w:t>
      </w:r>
      <w:r w:rsidR="006C6F09">
        <w:t xml:space="preserve"> </w:t>
      </w:r>
      <w:r w:rsidRPr="00457754">
        <w:t>contact</w:t>
      </w:r>
      <w:r w:rsidR="006C6F09">
        <w:t xml:space="preserve"> </w:t>
      </w:r>
      <w:r w:rsidRPr="00457754">
        <w:rPr>
          <w:highlight w:val="darkGray"/>
        </w:rPr>
        <w:t>[Insert</w:t>
      </w:r>
      <w:r w:rsidR="006C6F09">
        <w:rPr>
          <w:highlight w:val="darkGray"/>
        </w:rPr>
        <w:t xml:space="preserve"> </w:t>
      </w:r>
      <w:r w:rsidRPr="00457754">
        <w:rPr>
          <w:highlight w:val="darkGray"/>
        </w:rPr>
        <w:t>text</w:t>
      </w:r>
      <w:r w:rsidR="006C6F09">
        <w:rPr>
          <w:highlight w:val="darkGray"/>
        </w:rPr>
        <w:t xml:space="preserve"> </w:t>
      </w:r>
      <w:r w:rsidRPr="00457754">
        <w:rPr>
          <w:highlight w:val="darkGray"/>
        </w:rPr>
        <w:t>-</w:t>
      </w:r>
      <w:r w:rsidR="006C6F09">
        <w:rPr>
          <w:highlight w:val="darkGray"/>
        </w:rPr>
        <w:t xml:space="preserve"> </w:t>
      </w:r>
      <w:r w:rsidRPr="00457754">
        <w:rPr>
          <w:highlight w:val="darkGray"/>
        </w:rPr>
        <w:t>contact</w:t>
      </w:r>
      <w:r w:rsidR="006C6F09">
        <w:rPr>
          <w:highlight w:val="darkGray"/>
        </w:rPr>
        <w:t xml:space="preserve"> </w:t>
      </w:r>
      <w:r w:rsidRPr="00457754">
        <w:rPr>
          <w:highlight w:val="darkGray"/>
        </w:rPr>
        <w:t>name</w:t>
      </w:r>
      <w:r w:rsidR="006C6F09">
        <w:rPr>
          <w:highlight w:val="darkGray"/>
        </w:rPr>
        <w:t xml:space="preserve"> </w:t>
      </w:r>
      <w:r w:rsidRPr="00457754">
        <w:rPr>
          <w:highlight w:val="darkGray"/>
        </w:rPr>
        <w:t>(PIO</w:t>
      </w:r>
      <w:r w:rsidR="006C6F09">
        <w:rPr>
          <w:highlight w:val="darkGray"/>
        </w:rPr>
        <w:t xml:space="preserve"> </w:t>
      </w:r>
      <w:r w:rsidRPr="00457754">
        <w:rPr>
          <w:highlight w:val="darkGray"/>
        </w:rPr>
        <w:t>or</w:t>
      </w:r>
      <w:r w:rsidR="006C6F09">
        <w:rPr>
          <w:highlight w:val="darkGray"/>
        </w:rPr>
        <w:t xml:space="preserve"> </w:t>
      </w:r>
      <w:r w:rsidRPr="00457754">
        <w:rPr>
          <w:highlight w:val="darkGray"/>
        </w:rPr>
        <w:t>other</w:t>
      </w:r>
      <w:r w:rsidR="006C6F09">
        <w:rPr>
          <w:highlight w:val="darkGray"/>
        </w:rPr>
        <w:t xml:space="preserve"> </w:t>
      </w:r>
      <w:r w:rsidRPr="00457754">
        <w:rPr>
          <w:highlight w:val="darkGray"/>
        </w:rPr>
        <w:t>appropriate</w:t>
      </w:r>
      <w:r w:rsidR="006C6F09">
        <w:rPr>
          <w:highlight w:val="darkGray"/>
        </w:rPr>
        <w:t xml:space="preserve"> </w:t>
      </w:r>
      <w:r w:rsidRPr="00457754">
        <w:rPr>
          <w:highlight w:val="darkGray"/>
        </w:rPr>
        <w:t>contact),</w:t>
      </w:r>
      <w:r w:rsidR="006C6F09">
        <w:rPr>
          <w:highlight w:val="darkGray"/>
        </w:rPr>
        <w:t xml:space="preserve"> </w:t>
      </w:r>
      <w:r w:rsidRPr="00457754">
        <w:rPr>
          <w:highlight w:val="darkGray"/>
        </w:rPr>
        <w:t>District</w:t>
      </w:r>
      <w:r w:rsidR="006C6F09">
        <w:rPr>
          <w:highlight w:val="darkGray"/>
        </w:rPr>
        <w:t xml:space="preserve"> </w:t>
      </w:r>
      <w:r w:rsidRPr="00457754">
        <w:rPr>
          <w:highlight w:val="darkGray"/>
        </w:rPr>
        <w:t>or</w:t>
      </w:r>
      <w:r w:rsidR="006C6F09">
        <w:rPr>
          <w:highlight w:val="darkGray"/>
        </w:rPr>
        <w:t xml:space="preserve"> </w:t>
      </w:r>
      <w:r w:rsidRPr="00457754">
        <w:rPr>
          <w:highlight w:val="darkGray"/>
        </w:rPr>
        <w:t>Division</w:t>
      </w:r>
      <w:r w:rsidR="006C6F09">
        <w:rPr>
          <w:highlight w:val="darkGray"/>
        </w:rPr>
        <w:t xml:space="preserve"> </w:t>
      </w:r>
      <w:r w:rsidRPr="00457754">
        <w:rPr>
          <w:highlight w:val="darkGray"/>
        </w:rPr>
        <w:t>Name]</w:t>
      </w:r>
      <w:r w:rsidRPr="00457754">
        <w:t>,</w:t>
      </w:r>
      <w:r w:rsidR="006C6F09">
        <w:t xml:space="preserve"> </w:t>
      </w:r>
      <w:r w:rsidRPr="00457754">
        <w:t>at</w:t>
      </w:r>
      <w:r w:rsidR="006C6F09">
        <w:t xml:space="preserve"> </w:t>
      </w:r>
      <w:r w:rsidRPr="00457754">
        <w:rPr>
          <w:highlight w:val="darkGray"/>
        </w:rPr>
        <w:t>[Insert</w:t>
      </w:r>
      <w:r w:rsidR="006C6F09">
        <w:rPr>
          <w:highlight w:val="darkGray"/>
        </w:rPr>
        <w:t xml:space="preserve"> </w:t>
      </w:r>
      <w:r w:rsidRPr="00457754">
        <w:rPr>
          <w:highlight w:val="darkGray"/>
        </w:rPr>
        <w:t>text</w:t>
      </w:r>
      <w:r w:rsidR="006C6F09">
        <w:rPr>
          <w:highlight w:val="darkGray"/>
        </w:rPr>
        <w:t xml:space="preserve"> </w:t>
      </w:r>
      <w:r w:rsidRPr="00457754">
        <w:rPr>
          <w:highlight w:val="darkGray"/>
        </w:rPr>
        <w:t>-</w:t>
      </w:r>
      <w:r w:rsidR="006C6F09">
        <w:rPr>
          <w:highlight w:val="darkGray"/>
        </w:rPr>
        <w:t xml:space="preserve"> </w:t>
      </w:r>
      <w:r w:rsidRPr="00457754">
        <w:rPr>
          <w:highlight w:val="darkGray"/>
        </w:rPr>
        <w:t>phone</w:t>
      </w:r>
      <w:r w:rsidR="006C6F09">
        <w:rPr>
          <w:highlight w:val="darkGray"/>
        </w:rPr>
        <w:t xml:space="preserve"> </w:t>
      </w:r>
      <w:r w:rsidRPr="00457754">
        <w:rPr>
          <w:highlight w:val="darkGray"/>
        </w:rPr>
        <w:t>number</w:t>
      </w:r>
      <w:r w:rsidR="006C6F09">
        <w:rPr>
          <w:highlight w:val="darkGray"/>
        </w:rPr>
        <w:t xml:space="preserve"> </w:t>
      </w:r>
      <w:r w:rsidRPr="00457754">
        <w:rPr>
          <w:highlight w:val="darkGray"/>
        </w:rPr>
        <w:t>with</w:t>
      </w:r>
      <w:r w:rsidR="006C6F09">
        <w:rPr>
          <w:highlight w:val="darkGray"/>
        </w:rPr>
        <w:t xml:space="preserve"> </w:t>
      </w:r>
      <w:r w:rsidRPr="00457754">
        <w:rPr>
          <w:highlight w:val="darkGray"/>
        </w:rPr>
        <w:t>area</w:t>
      </w:r>
      <w:r w:rsidR="006C6F09">
        <w:rPr>
          <w:highlight w:val="darkGray"/>
        </w:rPr>
        <w:t xml:space="preserve"> </w:t>
      </w:r>
      <w:r w:rsidRPr="00457754">
        <w:rPr>
          <w:highlight w:val="darkGray"/>
        </w:rPr>
        <w:t>code]</w:t>
      </w:r>
      <w:r w:rsidR="006C6F09">
        <w:t xml:space="preserve"> </w:t>
      </w:r>
      <w:r w:rsidRPr="00457754">
        <w:t>no</w:t>
      </w:r>
      <w:r w:rsidR="006C6F09">
        <w:t xml:space="preserve"> </w:t>
      </w:r>
      <w:r w:rsidRPr="00457754">
        <w:t>later</w:t>
      </w:r>
      <w:r w:rsidR="006C6F09">
        <w:t xml:space="preserve"> </w:t>
      </w:r>
      <w:r w:rsidRPr="00457754">
        <w:t>than</w:t>
      </w:r>
      <w:r w:rsidR="006C6F09">
        <w:t xml:space="preserve"> </w:t>
      </w:r>
      <w:r w:rsidRPr="00457754">
        <w:t>4</w:t>
      </w:r>
      <w:r w:rsidR="006C6F09">
        <w:t xml:space="preserve"> </w:t>
      </w:r>
      <w:r w:rsidRPr="00457754">
        <w:t>p.m.</w:t>
      </w:r>
      <w:r w:rsidR="006C6F09">
        <w:t xml:space="preserve"> </w:t>
      </w:r>
      <w:r w:rsidRPr="00457754">
        <w:t>CT,</w:t>
      </w:r>
      <w:r w:rsidR="006C6F09">
        <w:t xml:space="preserve"> </w:t>
      </w:r>
      <w:r w:rsidRPr="00457754">
        <w:rPr>
          <w:highlight w:val="darkGray"/>
        </w:rPr>
        <w:t>[Insert</w:t>
      </w:r>
      <w:r w:rsidR="006C6F09">
        <w:rPr>
          <w:highlight w:val="darkGray"/>
        </w:rPr>
        <w:t xml:space="preserve"> </w:t>
      </w:r>
      <w:r w:rsidRPr="00457754">
        <w:rPr>
          <w:highlight w:val="darkGray"/>
        </w:rPr>
        <w:t>text</w:t>
      </w:r>
      <w:r w:rsidR="006C6F09">
        <w:rPr>
          <w:highlight w:val="darkGray"/>
        </w:rPr>
        <w:t xml:space="preserve"> </w:t>
      </w:r>
      <w:r w:rsidRPr="00457754">
        <w:rPr>
          <w:highlight w:val="darkGray"/>
        </w:rPr>
        <w:t>–</w:t>
      </w:r>
      <w:r w:rsidR="006C6F09">
        <w:rPr>
          <w:highlight w:val="darkGray"/>
        </w:rPr>
        <w:t xml:space="preserve"> </w:t>
      </w:r>
      <w:r w:rsidRPr="00457754">
        <w:rPr>
          <w:highlight w:val="darkGray"/>
        </w:rPr>
        <w:t>that</w:t>
      </w:r>
      <w:r w:rsidR="006C6F09">
        <w:rPr>
          <w:highlight w:val="darkGray"/>
        </w:rPr>
        <w:t xml:space="preserve"> </w:t>
      </w:r>
      <w:r w:rsidRPr="00457754">
        <w:rPr>
          <w:highlight w:val="darkGray"/>
        </w:rPr>
        <w:t>is</w:t>
      </w:r>
      <w:r w:rsidR="006C6F09">
        <w:rPr>
          <w:highlight w:val="darkGray"/>
        </w:rPr>
        <w:t xml:space="preserve"> </w:t>
      </w:r>
      <w:r w:rsidRPr="00457754">
        <w:rPr>
          <w:highlight w:val="darkGray"/>
        </w:rPr>
        <w:t>at</w:t>
      </w:r>
      <w:r w:rsidR="006C6F09">
        <w:rPr>
          <w:highlight w:val="darkGray"/>
        </w:rPr>
        <w:t xml:space="preserve"> </w:t>
      </w:r>
      <w:r w:rsidRPr="00457754">
        <w:rPr>
          <w:highlight w:val="darkGray"/>
        </w:rPr>
        <w:t>least</w:t>
      </w:r>
      <w:r w:rsidR="006C6F09">
        <w:rPr>
          <w:highlight w:val="darkGray"/>
        </w:rPr>
        <w:t xml:space="preserve"> </w:t>
      </w:r>
      <w:r w:rsidRPr="00457754">
        <w:rPr>
          <w:highlight w:val="darkGray"/>
        </w:rPr>
        <w:t>three</w:t>
      </w:r>
      <w:r w:rsidR="006C6F09">
        <w:rPr>
          <w:highlight w:val="darkGray"/>
        </w:rPr>
        <w:t xml:space="preserve"> </w:t>
      </w:r>
      <w:r w:rsidRPr="00457754">
        <w:rPr>
          <w:highlight w:val="darkGray"/>
        </w:rPr>
        <w:t>business</w:t>
      </w:r>
      <w:r w:rsidR="006C6F09">
        <w:rPr>
          <w:highlight w:val="darkGray"/>
        </w:rPr>
        <w:t xml:space="preserve"> </w:t>
      </w:r>
      <w:r w:rsidRPr="00457754">
        <w:rPr>
          <w:highlight w:val="darkGray"/>
        </w:rPr>
        <w:t>days</w:t>
      </w:r>
      <w:r w:rsidR="006C6F09">
        <w:rPr>
          <w:highlight w:val="darkGray"/>
        </w:rPr>
        <w:t xml:space="preserve"> </w:t>
      </w:r>
      <w:r w:rsidRPr="00457754">
        <w:rPr>
          <w:highlight w:val="darkGray"/>
        </w:rPr>
        <w:t>before</w:t>
      </w:r>
      <w:r w:rsidR="006C6F09">
        <w:rPr>
          <w:highlight w:val="darkGray"/>
        </w:rPr>
        <w:t xml:space="preserve"> </w:t>
      </w:r>
      <w:r w:rsidRPr="00457754">
        <w:rPr>
          <w:highlight w:val="darkGray"/>
        </w:rPr>
        <w:t>the</w:t>
      </w:r>
      <w:r w:rsidR="006C6F09">
        <w:rPr>
          <w:highlight w:val="darkGray"/>
        </w:rPr>
        <w:t xml:space="preserve"> </w:t>
      </w:r>
      <w:r w:rsidRPr="00457754">
        <w:rPr>
          <w:highlight w:val="darkGray"/>
        </w:rPr>
        <w:t>event]</w:t>
      </w:r>
      <w:r w:rsidRPr="00457754">
        <w:t>.</w:t>
      </w:r>
      <w:r w:rsidR="006C6F09">
        <w:t xml:space="preserve"> </w:t>
      </w:r>
      <w:r w:rsidRPr="00457754">
        <w:t>Please</w:t>
      </w:r>
      <w:r w:rsidR="006C6F09">
        <w:t xml:space="preserve"> </w:t>
      </w:r>
      <w:r w:rsidRPr="00457754">
        <w:t>be</w:t>
      </w:r>
      <w:r w:rsidR="006C6F09">
        <w:t xml:space="preserve"> </w:t>
      </w:r>
      <w:r w:rsidRPr="00457754">
        <w:t>aware</w:t>
      </w:r>
      <w:r w:rsidR="006C6F09">
        <w:t xml:space="preserve"> </w:t>
      </w:r>
      <w:r w:rsidRPr="00457754">
        <w:t>that</w:t>
      </w:r>
      <w:r w:rsidR="006C6F09">
        <w:t xml:space="preserve"> </w:t>
      </w:r>
      <w:r w:rsidRPr="00457754">
        <w:t>advance</w:t>
      </w:r>
      <w:r w:rsidR="006C6F09">
        <w:t xml:space="preserve"> </w:t>
      </w:r>
      <w:r w:rsidRPr="00457754">
        <w:t>notice</w:t>
      </w:r>
      <w:r w:rsidR="006C6F09">
        <w:t xml:space="preserve"> </w:t>
      </w:r>
      <w:r w:rsidRPr="00457754">
        <w:t>is</w:t>
      </w:r>
      <w:r w:rsidR="006C6F09">
        <w:t xml:space="preserve"> </w:t>
      </w:r>
      <w:r w:rsidRPr="00457754">
        <w:t>required</w:t>
      </w:r>
      <w:r w:rsidR="006C6F09">
        <w:t xml:space="preserve"> </w:t>
      </w:r>
      <w:r w:rsidRPr="00457754">
        <w:t>as</w:t>
      </w:r>
      <w:r w:rsidR="006C6F09">
        <w:t xml:space="preserve"> </w:t>
      </w:r>
      <w:r w:rsidRPr="00457754">
        <w:t>some</w:t>
      </w:r>
      <w:r w:rsidR="006C6F09">
        <w:t xml:space="preserve"> </w:t>
      </w:r>
      <w:r w:rsidRPr="00457754">
        <w:t>services</w:t>
      </w:r>
      <w:r w:rsidR="006C6F09">
        <w:t xml:space="preserve"> </w:t>
      </w:r>
      <w:r w:rsidRPr="00457754">
        <w:t>and</w:t>
      </w:r>
      <w:r w:rsidR="006C6F09">
        <w:t xml:space="preserve"> </w:t>
      </w:r>
      <w:proofErr w:type="gramStart"/>
      <w:r w:rsidRPr="00457754">
        <w:t>accommodations</w:t>
      </w:r>
      <w:proofErr w:type="gramEnd"/>
      <w:r w:rsidR="006C6F09">
        <w:t xml:space="preserve"> </w:t>
      </w:r>
      <w:r w:rsidRPr="00457754">
        <w:t>may</w:t>
      </w:r>
      <w:r w:rsidR="006C6F09">
        <w:t xml:space="preserve"> </w:t>
      </w:r>
      <w:r w:rsidRPr="00457754">
        <w:t>require</w:t>
      </w:r>
      <w:r w:rsidR="006C6F09">
        <w:t xml:space="preserve"> </w:t>
      </w:r>
      <w:r w:rsidRPr="00457754">
        <w:t>time</w:t>
      </w:r>
      <w:r w:rsidR="006C6F09">
        <w:t xml:space="preserve"> </w:t>
      </w:r>
      <w:r w:rsidRPr="00457754">
        <w:t>for</w:t>
      </w:r>
      <w:r w:rsidR="006C6F09">
        <w:t xml:space="preserve"> </w:t>
      </w:r>
      <w:r w:rsidRPr="00457754">
        <w:t>the</w:t>
      </w:r>
      <w:r w:rsidR="006C6F09">
        <w:t xml:space="preserve"> </w:t>
      </w:r>
      <w:r w:rsidRPr="00457754">
        <w:t>Texas</w:t>
      </w:r>
      <w:r w:rsidR="006C6F09">
        <w:t xml:space="preserve"> </w:t>
      </w:r>
      <w:r w:rsidRPr="00457754">
        <w:t>Department</w:t>
      </w:r>
      <w:r w:rsidR="006C6F09">
        <w:t xml:space="preserve"> </w:t>
      </w:r>
      <w:r w:rsidRPr="00457754">
        <w:t>of</w:t>
      </w:r>
      <w:r w:rsidR="006C6F09">
        <w:t xml:space="preserve"> </w:t>
      </w:r>
      <w:r w:rsidRPr="00457754">
        <w:t>Transportation</w:t>
      </w:r>
      <w:r w:rsidR="006C6F09">
        <w:t xml:space="preserve"> </w:t>
      </w:r>
      <w:r w:rsidRPr="00457754">
        <w:t>to</w:t>
      </w:r>
      <w:r w:rsidR="006C6F09">
        <w:t xml:space="preserve"> </w:t>
      </w:r>
      <w:r w:rsidRPr="00457754">
        <w:t>arrange.</w:t>
      </w:r>
    </w:p>
    <w:p w14:paraId="31A3D90C" w14:textId="258D379A" w:rsidR="00457754" w:rsidRPr="006B7B0E" w:rsidRDefault="00457754" w:rsidP="00457754">
      <w:pPr>
        <w:rPr>
          <w:i/>
          <w:iCs/>
          <w:lang w:val="es-MX"/>
        </w:rPr>
      </w:pPr>
      <w:r w:rsidRPr="00631F10">
        <w:rPr>
          <w:i/>
          <w:iCs/>
          <w:lang w:val="es-MX"/>
        </w:rPr>
        <w:t>El</w:t>
      </w:r>
      <w:r w:rsidR="006C6F09">
        <w:rPr>
          <w:i/>
          <w:iCs/>
          <w:lang w:val="es-MX"/>
        </w:rPr>
        <w:t xml:space="preserve"> </w:t>
      </w:r>
      <w:r w:rsidRPr="00631F10">
        <w:rPr>
          <w:i/>
          <w:iCs/>
          <w:highlight w:val="darkGray"/>
          <w:lang w:val="es-MX"/>
        </w:rPr>
        <w:t>[</w:t>
      </w:r>
      <w:proofErr w:type="spellStart"/>
      <w:r w:rsidRPr="00631F10">
        <w:rPr>
          <w:i/>
          <w:iCs/>
          <w:highlight w:val="darkGray"/>
          <w:lang w:val="es-MX"/>
        </w:rPr>
        <w:t>Insert</w:t>
      </w:r>
      <w:proofErr w:type="spellEnd"/>
      <w:r w:rsidR="006C6F09">
        <w:rPr>
          <w:i/>
          <w:iCs/>
          <w:highlight w:val="darkGray"/>
          <w:lang w:val="es-MX"/>
        </w:rPr>
        <w:t xml:space="preserve"> </w:t>
      </w:r>
      <w:proofErr w:type="spellStart"/>
      <w:r w:rsidRPr="00631F10">
        <w:rPr>
          <w:i/>
          <w:iCs/>
          <w:highlight w:val="darkGray"/>
          <w:lang w:val="es-MX"/>
        </w:rPr>
        <w:t>text</w:t>
      </w:r>
      <w:proofErr w:type="spellEnd"/>
      <w:r w:rsidR="006C6F09">
        <w:rPr>
          <w:i/>
          <w:iCs/>
          <w:highlight w:val="darkGray"/>
          <w:lang w:val="es-MX"/>
        </w:rPr>
        <w:t xml:space="preserve"> </w:t>
      </w:r>
      <w:r w:rsidRPr="00631F10">
        <w:rPr>
          <w:i/>
          <w:iCs/>
          <w:highlight w:val="darkGray"/>
          <w:lang w:val="es-MX"/>
        </w:rPr>
        <w:t>–</w:t>
      </w:r>
      <w:r w:rsidR="006C6F09">
        <w:rPr>
          <w:i/>
          <w:iCs/>
          <w:highlight w:val="darkGray"/>
          <w:lang w:val="es-MX"/>
        </w:rPr>
        <w:t xml:space="preserve"> </w:t>
      </w:r>
      <w:proofErr w:type="spellStart"/>
      <w:r w:rsidRPr="00631F10">
        <w:rPr>
          <w:i/>
          <w:iCs/>
          <w:highlight w:val="darkGray"/>
          <w:lang w:val="es-MX"/>
        </w:rPr>
        <w:t>Spanish</w:t>
      </w:r>
      <w:proofErr w:type="spellEnd"/>
      <w:r w:rsidR="006C6F09">
        <w:rPr>
          <w:i/>
          <w:iCs/>
          <w:highlight w:val="darkGray"/>
          <w:lang w:val="es-MX"/>
        </w:rPr>
        <w:t xml:space="preserve"> </w:t>
      </w:r>
      <w:proofErr w:type="spellStart"/>
      <w:r w:rsidRPr="00631F10">
        <w:rPr>
          <w:i/>
          <w:iCs/>
          <w:highlight w:val="darkGray"/>
          <w:lang w:val="es-MX"/>
        </w:rPr>
        <w:t>language</w:t>
      </w:r>
      <w:proofErr w:type="spellEnd"/>
      <w:r w:rsidR="006C6F09">
        <w:rPr>
          <w:i/>
          <w:iCs/>
          <w:highlight w:val="darkGray"/>
          <w:lang w:val="es-MX"/>
        </w:rPr>
        <w:t xml:space="preserve"> </w:t>
      </w:r>
      <w:proofErr w:type="spellStart"/>
      <w:r w:rsidRPr="00631F10">
        <w:rPr>
          <w:i/>
          <w:iCs/>
          <w:highlight w:val="darkGray"/>
          <w:lang w:val="es-MX"/>
        </w:rPr>
        <w:t>event</w:t>
      </w:r>
      <w:proofErr w:type="spellEnd"/>
      <w:r w:rsidR="006C6F09">
        <w:rPr>
          <w:i/>
          <w:iCs/>
          <w:highlight w:val="darkGray"/>
          <w:lang w:val="es-MX"/>
        </w:rPr>
        <w:t xml:space="preserve"> </w:t>
      </w:r>
      <w:proofErr w:type="spellStart"/>
      <w:r w:rsidRPr="00631F10">
        <w:rPr>
          <w:i/>
          <w:iCs/>
          <w:highlight w:val="darkGray"/>
          <w:lang w:val="es-MX"/>
        </w:rPr>
        <w:t>name</w:t>
      </w:r>
      <w:proofErr w:type="spellEnd"/>
      <w:r w:rsidR="006C6F09">
        <w:rPr>
          <w:i/>
          <w:iCs/>
          <w:highlight w:val="darkGray"/>
          <w:lang w:val="es-MX"/>
        </w:rPr>
        <w:t xml:space="preserve"> </w:t>
      </w:r>
      <w:r w:rsidRPr="00631F10">
        <w:rPr>
          <w:i/>
          <w:iCs/>
          <w:highlight w:val="darkGray"/>
          <w:lang w:val="es-MX"/>
        </w:rPr>
        <w:t>–</w:t>
      </w:r>
      <w:r w:rsidR="006C6F09">
        <w:rPr>
          <w:i/>
          <w:iCs/>
          <w:highlight w:val="darkGray"/>
          <w:lang w:val="es-MX"/>
        </w:rPr>
        <w:t xml:space="preserve"> </w:t>
      </w:r>
      <w:proofErr w:type="spellStart"/>
      <w:r w:rsidRPr="00631F10">
        <w:rPr>
          <w:i/>
          <w:iCs/>
          <w:highlight w:val="darkGray"/>
          <w:lang w:val="es-MX"/>
        </w:rPr>
        <w:t>Public</w:t>
      </w:r>
      <w:proofErr w:type="spellEnd"/>
      <w:r w:rsidR="006C6F09">
        <w:rPr>
          <w:i/>
          <w:iCs/>
          <w:highlight w:val="darkGray"/>
          <w:lang w:val="es-MX"/>
        </w:rPr>
        <w:t xml:space="preserve"> </w:t>
      </w:r>
      <w:proofErr w:type="spellStart"/>
      <w:r w:rsidRPr="00631F10">
        <w:rPr>
          <w:i/>
          <w:iCs/>
          <w:highlight w:val="darkGray"/>
          <w:lang w:val="es-MX"/>
        </w:rPr>
        <w:t>Hearing</w:t>
      </w:r>
      <w:proofErr w:type="spellEnd"/>
      <w:r w:rsidR="006C6F09">
        <w:rPr>
          <w:i/>
          <w:iCs/>
          <w:highlight w:val="darkGray"/>
          <w:lang w:val="es-MX"/>
        </w:rPr>
        <w:t xml:space="preserve"> </w:t>
      </w:r>
      <w:r w:rsidRPr="00631F10">
        <w:rPr>
          <w:i/>
          <w:iCs/>
          <w:highlight w:val="darkGray"/>
          <w:lang w:val="es-MX"/>
        </w:rPr>
        <w:t>–</w:t>
      </w:r>
      <w:r w:rsidR="006C6F09">
        <w:rPr>
          <w:i/>
          <w:iCs/>
          <w:highlight w:val="darkGray"/>
          <w:lang w:val="es-MX"/>
        </w:rPr>
        <w:t xml:space="preserve"> </w:t>
      </w:r>
      <w:r w:rsidRPr="00631F10">
        <w:rPr>
          <w:i/>
          <w:iCs/>
          <w:highlight w:val="darkGray"/>
          <w:lang w:val="es-MX"/>
        </w:rPr>
        <w:t>La</w:t>
      </w:r>
      <w:r w:rsidR="006C6F09">
        <w:rPr>
          <w:i/>
          <w:iCs/>
          <w:highlight w:val="darkGray"/>
          <w:lang w:val="es-MX"/>
        </w:rPr>
        <w:t xml:space="preserve"> </w:t>
      </w:r>
      <w:r w:rsidRPr="00631F10">
        <w:rPr>
          <w:i/>
          <w:iCs/>
          <w:highlight w:val="darkGray"/>
          <w:lang w:val="es-MX"/>
        </w:rPr>
        <w:t>audiencia</w:t>
      </w:r>
      <w:r w:rsidR="006C6F09">
        <w:rPr>
          <w:i/>
          <w:iCs/>
          <w:highlight w:val="darkGray"/>
          <w:lang w:val="es-MX"/>
        </w:rPr>
        <w:t xml:space="preserve"> </w:t>
      </w:r>
      <w:r w:rsidRPr="00631F10">
        <w:rPr>
          <w:i/>
          <w:iCs/>
          <w:highlight w:val="darkGray"/>
          <w:lang w:val="es-MX"/>
        </w:rPr>
        <w:t>pública,</w:t>
      </w:r>
      <w:r w:rsidR="006C6F09">
        <w:rPr>
          <w:i/>
          <w:iCs/>
          <w:highlight w:val="darkGray"/>
          <w:lang w:val="es-MX"/>
        </w:rPr>
        <w:t xml:space="preserve"> </w:t>
      </w:r>
      <w:r w:rsidRPr="00631F10">
        <w:rPr>
          <w:i/>
          <w:iCs/>
          <w:highlight w:val="darkGray"/>
          <w:lang w:val="es-MX"/>
        </w:rPr>
        <w:t>Virtual</w:t>
      </w:r>
      <w:r w:rsidR="006C6F09">
        <w:rPr>
          <w:i/>
          <w:iCs/>
          <w:highlight w:val="darkGray"/>
          <w:lang w:val="es-MX"/>
        </w:rPr>
        <w:t xml:space="preserve"> </w:t>
      </w:r>
      <w:proofErr w:type="spellStart"/>
      <w:r w:rsidRPr="00631F10">
        <w:rPr>
          <w:i/>
          <w:iCs/>
          <w:highlight w:val="darkGray"/>
          <w:lang w:val="es-MX"/>
        </w:rPr>
        <w:t>Public</w:t>
      </w:r>
      <w:proofErr w:type="spellEnd"/>
      <w:r w:rsidR="006C6F09">
        <w:rPr>
          <w:i/>
          <w:iCs/>
          <w:highlight w:val="darkGray"/>
          <w:lang w:val="es-MX"/>
        </w:rPr>
        <w:t xml:space="preserve"> </w:t>
      </w:r>
      <w:proofErr w:type="spellStart"/>
      <w:r w:rsidRPr="00631F10">
        <w:rPr>
          <w:i/>
          <w:iCs/>
          <w:highlight w:val="darkGray"/>
          <w:lang w:val="es-MX"/>
        </w:rPr>
        <w:t>Hearing</w:t>
      </w:r>
      <w:proofErr w:type="spellEnd"/>
      <w:r w:rsidR="006C6F09">
        <w:rPr>
          <w:i/>
          <w:iCs/>
          <w:highlight w:val="darkGray"/>
          <w:lang w:val="es-MX"/>
        </w:rPr>
        <w:t xml:space="preserve"> </w:t>
      </w:r>
      <w:r w:rsidRPr="00631F10">
        <w:rPr>
          <w:i/>
          <w:iCs/>
          <w:highlight w:val="darkGray"/>
          <w:lang w:val="es-MX"/>
        </w:rPr>
        <w:t>-</w:t>
      </w:r>
      <w:r w:rsidR="006C6F09">
        <w:rPr>
          <w:i/>
          <w:iCs/>
          <w:highlight w:val="darkGray"/>
          <w:lang w:val="es-MX"/>
        </w:rPr>
        <w:t xml:space="preserve"> </w:t>
      </w:r>
      <w:r w:rsidRPr="00631F10">
        <w:rPr>
          <w:i/>
          <w:iCs/>
          <w:highlight w:val="darkGray"/>
          <w:lang w:val="es-MX"/>
        </w:rPr>
        <w:t>La</w:t>
      </w:r>
      <w:r w:rsidR="006C6F09">
        <w:rPr>
          <w:i/>
          <w:iCs/>
          <w:highlight w:val="darkGray"/>
          <w:lang w:val="es-MX"/>
        </w:rPr>
        <w:t xml:space="preserve"> </w:t>
      </w:r>
      <w:r w:rsidRPr="00631F10">
        <w:rPr>
          <w:i/>
          <w:iCs/>
          <w:highlight w:val="darkGray"/>
          <w:lang w:val="es-MX"/>
        </w:rPr>
        <w:t>audiencia</w:t>
      </w:r>
      <w:r w:rsidR="006C6F09">
        <w:rPr>
          <w:i/>
          <w:iCs/>
          <w:highlight w:val="darkGray"/>
          <w:lang w:val="es-MX"/>
        </w:rPr>
        <w:t xml:space="preserve"> </w:t>
      </w:r>
      <w:r w:rsidRPr="00631F10">
        <w:rPr>
          <w:i/>
          <w:iCs/>
          <w:highlight w:val="darkGray"/>
          <w:lang w:val="es-MX"/>
        </w:rPr>
        <w:t>pública</w:t>
      </w:r>
      <w:r w:rsidR="006C6F09">
        <w:rPr>
          <w:i/>
          <w:iCs/>
          <w:highlight w:val="darkGray"/>
          <w:lang w:val="es-MX"/>
        </w:rPr>
        <w:t xml:space="preserve"> </w:t>
      </w:r>
      <w:r w:rsidRPr="00631F10">
        <w:rPr>
          <w:i/>
          <w:iCs/>
          <w:highlight w:val="darkGray"/>
          <w:lang w:val="es-MX"/>
        </w:rPr>
        <w:t>virtual]</w:t>
      </w:r>
      <w:r w:rsidR="006C6F09">
        <w:rPr>
          <w:i/>
          <w:iCs/>
          <w:lang w:val="es-MX"/>
        </w:rPr>
        <w:t xml:space="preserve"> </w:t>
      </w:r>
      <w:r w:rsidRPr="00631F10">
        <w:rPr>
          <w:i/>
          <w:iCs/>
          <w:lang w:val="es-MX"/>
        </w:rPr>
        <w:t>se</w:t>
      </w:r>
      <w:r w:rsidR="006C6F09">
        <w:rPr>
          <w:i/>
          <w:iCs/>
          <w:lang w:val="es-MX"/>
        </w:rPr>
        <w:t xml:space="preserve"> </w:t>
      </w:r>
      <w:r w:rsidRPr="00631F10">
        <w:rPr>
          <w:i/>
          <w:iCs/>
          <w:lang w:val="es-MX"/>
        </w:rPr>
        <w:t>llevará</w:t>
      </w:r>
      <w:r w:rsidR="006C6F09">
        <w:rPr>
          <w:i/>
          <w:iCs/>
          <w:lang w:val="es-MX"/>
        </w:rPr>
        <w:t xml:space="preserve"> </w:t>
      </w:r>
      <w:r w:rsidRPr="00631F10">
        <w:rPr>
          <w:i/>
          <w:iCs/>
          <w:lang w:val="es-MX"/>
        </w:rPr>
        <w:t>a</w:t>
      </w:r>
      <w:r w:rsidR="006C6F09">
        <w:rPr>
          <w:i/>
          <w:iCs/>
          <w:lang w:val="es-MX"/>
        </w:rPr>
        <w:t xml:space="preserve"> </w:t>
      </w:r>
      <w:r w:rsidRPr="00631F10">
        <w:rPr>
          <w:i/>
          <w:iCs/>
          <w:lang w:val="es-MX"/>
        </w:rPr>
        <w:t>cabo</w:t>
      </w:r>
      <w:r w:rsidR="006C6F09">
        <w:rPr>
          <w:i/>
          <w:iCs/>
          <w:lang w:val="es-MX"/>
        </w:rPr>
        <w:t xml:space="preserve"> </w:t>
      </w:r>
      <w:r w:rsidRPr="00631F10">
        <w:rPr>
          <w:i/>
          <w:iCs/>
          <w:lang w:val="es-MX"/>
        </w:rPr>
        <w:t>en</w:t>
      </w:r>
      <w:r w:rsidR="006C6F09">
        <w:rPr>
          <w:i/>
          <w:iCs/>
          <w:lang w:val="es-MX"/>
        </w:rPr>
        <w:t xml:space="preserve"> </w:t>
      </w:r>
      <w:r w:rsidRPr="00631F10">
        <w:rPr>
          <w:i/>
          <w:iCs/>
          <w:lang w:val="es-MX"/>
        </w:rPr>
        <w:t>inglés.</w:t>
      </w:r>
      <w:r w:rsidR="006C6F09">
        <w:rPr>
          <w:i/>
          <w:iCs/>
          <w:lang w:val="es-MX"/>
        </w:rPr>
        <w:t xml:space="preserve"> </w:t>
      </w:r>
      <w:r w:rsidRPr="00631F10">
        <w:rPr>
          <w:i/>
          <w:iCs/>
          <w:lang w:val="es-MX"/>
        </w:rPr>
        <w:t>Si</w:t>
      </w:r>
      <w:r w:rsidR="006C6F09">
        <w:rPr>
          <w:i/>
          <w:iCs/>
          <w:lang w:val="es-MX"/>
        </w:rPr>
        <w:t xml:space="preserve"> </w:t>
      </w:r>
      <w:r w:rsidRPr="00631F10">
        <w:rPr>
          <w:i/>
          <w:iCs/>
          <w:lang w:val="es-MX"/>
        </w:rPr>
        <w:t>usted</w:t>
      </w:r>
      <w:r w:rsidR="006C6F09">
        <w:rPr>
          <w:i/>
          <w:iCs/>
          <w:lang w:val="es-MX"/>
        </w:rPr>
        <w:t xml:space="preserve"> </w:t>
      </w:r>
      <w:r w:rsidRPr="00631F10">
        <w:rPr>
          <w:i/>
          <w:iCs/>
          <w:lang w:val="es-MX"/>
        </w:rPr>
        <w:t>necesita</w:t>
      </w:r>
      <w:r w:rsidR="006C6F09">
        <w:rPr>
          <w:i/>
          <w:iCs/>
          <w:lang w:val="es-MX"/>
        </w:rPr>
        <w:t xml:space="preserve"> </w:t>
      </w:r>
      <w:r w:rsidRPr="00631F10">
        <w:rPr>
          <w:i/>
          <w:iCs/>
          <w:lang w:val="es-MX"/>
        </w:rPr>
        <w:t>un</w:t>
      </w:r>
      <w:r w:rsidR="006C6F09">
        <w:rPr>
          <w:i/>
          <w:iCs/>
          <w:lang w:val="es-MX"/>
        </w:rPr>
        <w:t xml:space="preserve"> </w:t>
      </w:r>
      <w:r w:rsidRPr="00631F10">
        <w:rPr>
          <w:i/>
          <w:iCs/>
          <w:lang w:val="es-MX"/>
        </w:rPr>
        <w:t>intérprete</w:t>
      </w:r>
      <w:r w:rsidR="006C6F09">
        <w:rPr>
          <w:i/>
          <w:iCs/>
          <w:lang w:val="es-MX"/>
        </w:rPr>
        <w:t xml:space="preserve"> </w:t>
      </w:r>
      <w:r w:rsidRPr="00631F10">
        <w:rPr>
          <w:i/>
          <w:iCs/>
          <w:lang w:val="es-MX"/>
        </w:rPr>
        <w:t>o</w:t>
      </w:r>
      <w:r w:rsidR="006C6F09">
        <w:rPr>
          <w:i/>
          <w:iCs/>
          <w:lang w:val="es-MX"/>
        </w:rPr>
        <w:t xml:space="preserve"> </w:t>
      </w:r>
      <w:r w:rsidRPr="00631F10">
        <w:rPr>
          <w:i/>
          <w:iCs/>
          <w:lang w:val="es-MX"/>
        </w:rPr>
        <w:t>un</w:t>
      </w:r>
      <w:r w:rsidR="006C6F09">
        <w:rPr>
          <w:i/>
          <w:iCs/>
          <w:lang w:val="es-MX"/>
        </w:rPr>
        <w:t xml:space="preserve"> </w:t>
      </w:r>
      <w:r w:rsidRPr="00631F10">
        <w:rPr>
          <w:i/>
          <w:iCs/>
          <w:lang w:val="es-MX"/>
        </w:rPr>
        <w:t>traductor</w:t>
      </w:r>
      <w:r w:rsidR="006C6F09">
        <w:rPr>
          <w:i/>
          <w:iCs/>
          <w:lang w:val="es-MX"/>
        </w:rPr>
        <w:t xml:space="preserve"> </w:t>
      </w:r>
      <w:r w:rsidRPr="00631F10">
        <w:rPr>
          <w:i/>
          <w:iCs/>
          <w:lang w:val="es-MX"/>
        </w:rPr>
        <w:t>de</w:t>
      </w:r>
      <w:r w:rsidR="006C6F09">
        <w:rPr>
          <w:i/>
          <w:iCs/>
          <w:lang w:val="es-MX"/>
        </w:rPr>
        <w:t xml:space="preserve"> </w:t>
      </w:r>
      <w:r w:rsidRPr="00631F10">
        <w:rPr>
          <w:i/>
          <w:iCs/>
          <w:lang w:val="es-MX"/>
        </w:rPr>
        <w:t>documentos</w:t>
      </w:r>
      <w:r w:rsidR="006C6F09">
        <w:rPr>
          <w:i/>
          <w:iCs/>
          <w:lang w:val="es-MX"/>
        </w:rPr>
        <w:t xml:space="preserve"> </w:t>
      </w:r>
      <w:r w:rsidRPr="00631F10">
        <w:rPr>
          <w:i/>
          <w:iCs/>
          <w:lang w:val="es-MX"/>
        </w:rPr>
        <w:t>porque</w:t>
      </w:r>
      <w:r w:rsidR="006C6F09">
        <w:rPr>
          <w:i/>
          <w:iCs/>
          <w:lang w:val="es-MX"/>
        </w:rPr>
        <w:t xml:space="preserve"> </w:t>
      </w:r>
      <w:r w:rsidRPr="00631F10">
        <w:rPr>
          <w:i/>
          <w:iCs/>
          <w:lang w:val="es-MX"/>
        </w:rPr>
        <w:t>su</w:t>
      </w:r>
      <w:r w:rsidR="006C6F09">
        <w:rPr>
          <w:i/>
          <w:iCs/>
          <w:lang w:val="es-MX"/>
        </w:rPr>
        <w:t xml:space="preserve"> </w:t>
      </w:r>
      <w:r w:rsidRPr="00631F10">
        <w:rPr>
          <w:i/>
          <w:iCs/>
          <w:lang w:val="es-MX"/>
        </w:rPr>
        <w:t>idioma</w:t>
      </w:r>
      <w:r w:rsidR="006C6F09">
        <w:rPr>
          <w:i/>
          <w:iCs/>
          <w:lang w:val="es-MX"/>
        </w:rPr>
        <w:t xml:space="preserve"> </w:t>
      </w:r>
      <w:r w:rsidRPr="00631F10">
        <w:rPr>
          <w:i/>
          <w:iCs/>
          <w:lang w:val="es-MX"/>
        </w:rPr>
        <w:t>principal</w:t>
      </w:r>
      <w:r w:rsidR="006C6F09">
        <w:rPr>
          <w:i/>
          <w:iCs/>
          <w:lang w:val="es-MX"/>
        </w:rPr>
        <w:t xml:space="preserve"> </w:t>
      </w:r>
      <w:r w:rsidRPr="00631F10">
        <w:rPr>
          <w:i/>
          <w:iCs/>
          <w:lang w:val="es-MX"/>
        </w:rPr>
        <w:t>no</w:t>
      </w:r>
      <w:r w:rsidR="006C6F09">
        <w:rPr>
          <w:i/>
          <w:iCs/>
          <w:lang w:val="es-MX"/>
        </w:rPr>
        <w:t xml:space="preserve"> </w:t>
      </w:r>
      <w:r w:rsidRPr="00631F10">
        <w:rPr>
          <w:i/>
          <w:iCs/>
          <w:lang w:val="es-MX"/>
        </w:rPr>
        <w:t>es</w:t>
      </w:r>
      <w:r w:rsidR="006C6F09">
        <w:rPr>
          <w:i/>
          <w:iCs/>
          <w:lang w:val="es-MX"/>
        </w:rPr>
        <w:t xml:space="preserve"> </w:t>
      </w:r>
      <w:r w:rsidRPr="00631F10">
        <w:rPr>
          <w:i/>
          <w:iCs/>
          <w:lang w:val="es-MX"/>
        </w:rPr>
        <w:t>el</w:t>
      </w:r>
      <w:r w:rsidR="006C6F09">
        <w:rPr>
          <w:i/>
          <w:iCs/>
          <w:lang w:val="es-MX"/>
        </w:rPr>
        <w:t xml:space="preserve"> </w:t>
      </w:r>
      <w:r w:rsidRPr="00631F10">
        <w:rPr>
          <w:i/>
          <w:iCs/>
          <w:lang w:val="es-MX"/>
        </w:rPr>
        <w:t>inglés</w:t>
      </w:r>
      <w:r w:rsidR="006C6F09">
        <w:rPr>
          <w:i/>
          <w:iCs/>
          <w:lang w:val="es-MX"/>
        </w:rPr>
        <w:t xml:space="preserve"> </w:t>
      </w:r>
      <w:r w:rsidRPr="00631F10">
        <w:rPr>
          <w:i/>
          <w:iCs/>
          <w:lang w:val="es-MX"/>
        </w:rPr>
        <w:t>o</w:t>
      </w:r>
      <w:r w:rsidR="006C6F09">
        <w:rPr>
          <w:i/>
          <w:iCs/>
          <w:lang w:val="es-MX"/>
        </w:rPr>
        <w:t xml:space="preserve"> </w:t>
      </w:r>
      <w:r w:rsidRPr="00631F10">
        <w:rPr>
          <w:i/>
          <w:iCs/>
          <w:lang w:val="es-MX"/>
        </w:rPr>
        <w:t>tiene</w:t>
      </w:r>
      <w:r w:rsidR="006C6F09">
        <w:rPr>
          <w:i/>
          <w:iCs/>
          <w:lang w:val="es-MX"/>
        </w:rPr>
        <w:t xml:space="preserve"> </w:t>
      </w:r>
      <w:r w:rsidRPr="00631F10">
        <w:rPr>
          <w:i/>
          <w:iCs/>
          <w:lang w:val="es-MX"/>
        </w:rPr>
        <w:t>alguna</w:t>
      </w:r>
      <w:r w:rsidR="006C6F09">
        <w:rPr>
          <w:i/>
          <w:iCs/>
          <w:lang w:val="es-MX"/>
        </w:rPr>
        <w:t xml:space="preserve"> </w:t>
      </w:r>
      <w:r w:rsidRPr="00631F10">
        <w:rPr>
          <w:i/>
          <w:iCs/>
          <w:lang w:val="es-MX"/>
        </w:rPr>
        <w:t>dificultad</w:t>
      </w:r>
      <w:r w:rsidR="006C6F09">
        <w:rPr>
          <w:i/>
          <w:iCs/>
          <w:lang w:val="es-MX"/>
        </w:rPr>
        <w:t xml:space="preserve"> </w:t>
      </w:r>
      <w:r w:rsidRPr="00631F10">
        <w:rPr>
          <w:i/>
          <w:iCs/>
          <w:lang w:val="es-MX"/>
        </w:rPr>
        <w:t>para</w:t>
      </w:r>
      <w:r w:rsidR="006C6F09">
        <w:rPr>
          <w:i/>
          <w:iCs/>
          <w:lang w:val="es-MX"/>
        </w:rPr>
        <w:t xml:space="preserve"> </w:t>
      </w:r>
      <w:r w:rsidRPr="00631F10">
        <w:rPr>
          <w:i/>
          <w:iCs/>
          <w:lang w:val="es-MX"/>
        </w:rPr>
        <w:t>comunicarse</w:t>
      </w:r>
      <w:r w:rsidR="006C6F09">
        <w:rPr>
          <w:i/>
          <w:iCs/>
          <w:lang w:val="es-MX"/>
        </w:rPr>
        <w:t xml:space="preserve"> </w:t>
      </w:r>
      <w:r w:rsidRPr="00631F10">
        <w:rPr>
          <w:i/>
          <w:iCs/>
          <w:lang w:val="es-MX"/>
        </w:rPr>
        <w:t>eficazmente</w:t>
      </w:r>
      <w:r w:rsidR="006C6F09">
        <w:rPr>
          <w:i/>
          <w:iCs/>
          <w:lang w:val="es-MX"/>
        </w:rPr>
        <w:t xml:space="preserve"> </w:t>
      </w:r>
      <w:r w:rsidRPr="00631F10">
        <w:rPr>
          <w:i/>
          <w:iCs/>
          <w:lang w:val="es-MX"/>
        </w:rPr>
        <w:t>en</w:t>
      </w:r>
      <w:r w:rsidR="006C6F09">
        <w:rPr>
          <w:i/>
          <w:iCs/>
          <w:lang w:val="es-MX"/>
        </w:rPr>
        <w:t xml:space="preserve"> </w:t>
      </w:r>
      <w:r w:rsidRPr="00631F10">
        <w:rPr>
          <w:i/>
          <w:iCs/>
          <w:lang w:val="es-MX"/>
        </w:rPr>
        <w:t>inglés,</w:t>
      </w:r>
      <w:r w:rsidR="006C6F09">
        <w:rPr>
          <w:i/>
          <w:iCs/>
          <w:lang w:val="es-MX"/>
        </w:rPr>
        <w:t xml:space="preserve"> </w:t>
      </w:r>
      <w:r w:rsidRPr="00631F10">
        <w:rPr>
          <w:i/>
          <w:iCs/>
          <w:lang w:val="es-MX"/>
        </w:rPr>
        <w:t>se</w:t>
      </w:r>
      <w:r w:rsidR="006C6F09">
        <w:rPr>
          <w:i/>
          <w:iCs/>
          <w:lang w:val="es-MX"/>
        </w:rPr>
        <w:t xml:space="preserve"> </w:t>
      </w:r>
      <w:r w:rsidRPr="00631F10">
        <w:rPr>
          <w:i/>
          <w:iCs/>
          <w:lang w:val="es-MX"/>
        </w:rPr>
        <w:t>le</w:t>
      </w:r>
      <w:r w:rsidR="006C6F09">
        <w:rPr>
          <w:i/>
          <w:iCs/>
          <w:lang w:val="es-MX"/>
        </w:rPr>
        <w:t xml:space="preserve"> </w:t>
      </w:r>
      <w:r w:rsidRPr="00631F10">
        <w:rPr>
          <w:i/>
          <w:iCs/>
          <w:lang w:val="es-MX"/>
        </w:rPr>
        <w:t>proporcionará</w:t>
      </w:r>
      <w:r w:rsidR="006C6F09">
        <w:rPr>
          <w:i/>
          <w:iCs/>
          <w:lang w:val="es-MX"/>
        </w:rPr>
        <w:t xml:space="preserve"> </w:t>
      </w:r>
      <w:r w:rsidRPr="00631F10">
        <w:rPr>
          <w:i/>
          <w:iCs/>
          <w:lang w:val="es-MX"/>
        </w:rPr>
        <w:t>uno.</w:t>
      </w:r>
      <w:r w:rsidR="006C6F09">
        <w:rPr>
          <w:i/>
          <w:iCs/>
          <w:lang w:val="es-MX"/>
        </w:rPr>
        <w:t xml:space="preserve"> </w:t>
      </w:r>
      <w:r w:rsidRPr="00631F10">
        <w:rPr>
          <w:i/>
          <w:iCs/>
          <w:lang w:val="es-MX"/>
        </w:rPr>
        <w:t>Si</w:t>
      </w:r>
      <w:r w:rsidR="006C6F09">
        <w:rPr>
          <w:i/>
          <w:iCs/>
          <w:lang w:val="es-MX"/>
        </w:rPr>
        <w:t xml:space="preserve"> </w:t>
      </w:r>
      <w:r w:rsidRPr="00631F10">
        <w:rPr>
          <w:i/>
          <w:iCs/>
          <w:lang w:val="es-MX"/>
        </w:rPr>
        <w:t>usted</w:t>
      </w:r>
      <w:r w:rsidR="006C6F09">
        <w:rPr>
          <w:i/>
          <w:iCs/>
          <w:lang w:val="es-MX"/>
        </w:rPr>
        <w:t xml:space="preserve"> </w:t>
      </w:r>
      <w:r w:rsidRPr="00631F10">
        <w:rPr>
          <w:i/>
          <w:iCs/>
          <w:lang w:val="es-MX"/>
        </w:rPr>
        <w:t>tiene</w:t>
      </w:r>
      <w:r w:rsidR="006C6F09">
        <w:rPr>
          <w:i/>
          <w:iCs/>
          <w:lang w:val="es-MX"/>
        </w:rPr>
        <w:t xml:space="preserve"> </w:t>
      </w:r>
      <w:r w:rsidRPr="00631F10">
        <w:rPr>
          <w:i/>
          <w:iCs/>
          <w:lang w:val="es-MX"/>
        </w:rPr>
        <w:t>alguna</w:t>
      </w:r>
      <w:r w:rsidR="006C6F09">
        <w:rPr>
          <w:i/>
          <w:iCs/>
          <w:lang w:val="es-MX"/>
        </w:rPr>
        <w:t xml:space="preserve"> </w:t>
      </w:r>
      <w:r w:rsidRPr="00631F10">
        <w:rPr>
          <w:i/>
          <w:iCs/>
          <w:lang w:val="es-MX"/>
        </w:rPr>
        <w:t>discapacidad</w:t>
      </w:r>
      <w:r w:rsidR="006C6F09">
        <w:rPr>
          <w:i/>
          <w:iCs/>
          <w:lang w:val="es-MX"/>
        </w:rPr>
        <w:t xml:space="preserve"> </w:t>
      </w:r>
      <w:r w:rsidRPr="00631F10">
        <w:rPr>
          <w:i/>
          <w:iCs/>
          <w:lang w:val="es-MX"/>
        </w:rPr>
        <w:t>y</w:t>
      </w:r>
      <w:r w:rsidR="006C6F09">
        <w:rPr>
          <w:i/>
          <w:iCs/>
          <w:lang w:val="es-MX"/>
        </w:rPr>
        <w:t xml:space="preserve"> </w:t>
      </w:r>
      <w:r w:rsidRPr="00631F10">
        <w:rPr>
          <w:i/>
          <w:iCs/>
          <w:lang w:val="es-MX"/>
        </w:rPr>
        <w:t>necesita</w:t>
      </w:r>
      <w:r w:rsidR="006C6F09">
        <w:rPr>
          <w:i/>
          <w:iCs/>
          <w:lang w:val="es-MX"/>
        </w:rPr>
        <w:t xml:space="preserve"> </w:t>
      </w:r>
      <w:r w:rsidRPr="00631F10">
        <w:rPr>
          <w:i/>
          <w:iCs/>
          <w:lang w:val="es-MX"/>
        </w:rPr>
        <w:t>ayuda,</w:t>
      </w:r>
      <w:r w:rsidR="006C6F09">
        <w:rPr>
          <w:i/>
          <w:iCs/>
          <w:lang w:val="es-MX"/>
        </w:rPr>
        <w:t xml:space="preserve"> </w:t>
      </w:r>
      <w:r w:rsidRPr="00631F10">
        <w:rPr>
          <w:i/>
          <w:iCs/>
          <w:lang w:val="es-MX"/>
        </w:rPr>
        <w:t>se</w:t>
      </w:r>
      <w:r w:rsidR="006C6F09">
        <w:rPr>
          <w:i/>
          <w:iCs/>
          <w:lang w:val="es-MX"/>
        </w:rPr>
        <w:t xml:space="preserve"> </w:t>
      </w:r>
      <w:r w:rsidRPr="00631F10">
        <w:rPr>
          <w:i/>
          <w:iCs/>
          <w:lang w:val="es-MX"/>
        </w:rPr>
        <w:t>pueden</w:t>
      </w:r>
      <w:r w:rsidR="006C6F09">
        <w:rPr>
          <w:i/>
          <w:iCs/>
          <w:lang w:val="es-MX"/>
        </w:rPr>
        <w:t xml:space="preserve"> </w:t>
      </w:r>
      <w:r w:rsidRPr="00631F10">
        <w:rPr>
          <w:i/>
          <w:iCs/>
          <w:lang w:val="es-MX"/>
        </w:rPr>
        <w:t>hacer</w:t>
      </w:r>
      <w:r w:rsidR="006C6F09">
        <w:rPr>
          <w:i/>
          <w:iCs/>
          <w:lang w:val="es-MX"/>
        </w:rPr>
        <w:t xml:space="preserve"> </w:t>
      </w:r>
      <w:r w:rsidRPr="006B7B0E">
        <w:rPr>
          <w:i/>
          <w:iCs/>
          <w:lang w:val="es-MX"/>
        </w:rPr>
        <w:t>arreglos</w:t>
      </w:r>
      <w:r w:rsidR="006C6F09">
        <w:rPr>
          <w:i/>
          <w:iCs/>
          <w:lang w:val="es-MX"/>
        </w:rPr>
        <w:t xml:space="preserve"> </w:t>
      </w:r>
      <w:r w:rsidRPr="006B7B0E">
        <w:rPr>
          <w:i/>
          <w:iCs/>
          <w:lang w:val="es-MX"/>
        </w:rPr>
        <w:t>especiales</w:t>
      </w:r>
      <w:r w:rsidR="006C6F09">
        <w:rPr>
          <w:i/>
          <w:iCs/>
          <w:lang w:val="es-MX"/>
        </w:rPr>
        <w:t xml:space="preserve"> </w:t>
      </w:r>
      <w:r w:rsidRPr="006B7B0E">
        <w:rPr>
          <w:i/>
          <w:iCs/>
          <w:lang w:val="es-MX"/>
        </w:rPr>
        <w:t>para</w:t>
      </w:r>
      <w:r w:rsidR="006C6F09">
        <w:rPr>
          <w:i/>
          <w:iCs/>
          <w:lang w:val="es-MX"/>
        </w:rPr>
        <w:t xml:space="preserve"> </w:t>
      </w:r>
      <w:r w:rsidRPr="006B7B0E">
        <w:rPr>
          <w:i/>
          <w:iCs/>
          <w:lang w:val="es-MX"/>
        </w:rPr>
        <w:t>atender</w:t>
      </w:r>
      <w:r w:rsidR="006C6F09">
        <w:rPr>
          <w:i/>
          <w:iCs/>
          <w:lang w:val="es-MX"/>
        </w:rPr>
        <w:t xml:space="preserve"> </w:t>
      </w:r>
      <w:r w:rsidRPr="006B7B0E">
        <w:rPr>
          <w:i/>
          <w:iCs/>
          <w:lang w:val="es-MX"/>
        </w:rPr>
        <w:t>la</w:t>
      </w:r>
      <w:r w:rsidR="006C6F09">
        <w:rPr>
          <w:i/>
          <w:iCs/>
          <w:lang w:val="es-MX"/>
        </w:rPr>
        <w:t xml:space="preserve"> </w:t>
      </w:r>
      <w:r w:rsidRPr="006B7B0E">
        <w:rPr>
          <w:i/>
          <w:iCs/>
          <w:lang w:val="es-MX"/>
        </w:rPr>
        <w:t>mayoría</w:t>
      </w:r>
      <w:r w:rsidR="006C6F09">
        <w:rPr>
          <w:i/>
          <w:iCs/>
          <w:lang w:val="es-MX"/>
        </w:rPr>
        <w:t xml:space="preserve"> </w:t>
      </w:r>
      <w:r w:rsidRPr="006B7B0E">
        <w:rPr>
          <w:i/>
          <w:iCs/>
          <w:lang w:val="es-MX"/>
        </w:rPr>
        <w:t>de</w:t>
      </w:r>
      <w:r w:rsidR="006C6F09">
        <w:rPr>
          <w:i/>
          <w:iCs/>
          <w:lang w:val="es-MX"/>
        </w:rPr>
        <w:t xml:space="preserve"> </w:t>
      </w:r>
      <w:r w:rsidRPr="006B7B0E">
        <w:rPr>
          <w:i/>
          <w:iCs/>
          <w:lang w:val="es-MX"/>
        </w:rPr>
        <w:t>las</w:t>
      </w:r>
      <w:r w:rsidR="006C6F09">
        <w:rPr>
          <w:i/>
          <w:iCs/>
          <w:lang w:val="es-MX"/>
        </w:rPr>
        <w:t xml:space="preserve"> </w:t>
      </w:r>
      <w:r w:rsidRPr="006B7B0E">
        <w:rPr>
          <w:i/>
          <w:iCs/>
          <w:lang w:val="es-MX"/>
        </w:rPr>
        <w:t>necesidades.</w:t>
      </w:r>
      <w:r w:rsidR="006C6F09">
        <w:rPr>
          <w:i/>
          <w:iCs/>
          <w:lang w:val="es-MX"/>
        </w:rPr>
        <w:t xml:space="preserve"> </w:t>
      </w:r>
      <w:r w:rsidRPr="006B7B0E">
        <w:rPr>
          <w:i/>
          <w:iCs/>
          <w:lang w:val="es-MX"/>
        </w:rPr>
        <w:t>Si</w:t>
      </w:r>
      <w:r w:rsidR="006C6F09">
        <w:rPr>
          <w:i/>
          <w:iCs/>
          <w:lang w:val="es-MX"/>
        </w:rPr>
        <w:t xml:space="preserve"> </w:t>
      </w:r>
      <w:r w:rsidRPr="006B7B0E">
        <w:rPr>
          <w:i/>
          <w:iCs/>
          <w:lang w:val="es-MX"/>
        </w:rPr>
        <w:t>usted</w:t>
      </w:r>
      <w:r w:rsidR="006C6F09">
        <w:rPr>
          <w:i/>
          <w:iCs/>
          <w:lang w:val="es-MX"/>
        </w:rPr>
        <w:t xml:space="preserve"> </w:t>
      </w:r>
      <w:r w:rsidRPr="006B7B0E">
        <w:rPr>
          <w:i/>
          <w:iCs/>
          <w:lang w:val="es-MX"/>
        </w:rPr>
        <w:t>necesita</w:t>
      </w:r>
      <w:r w:rsidR="006C6F09">
        <w:rPr>
          <w:i/>
          <w:iCs/>
          <w:lang w:val="es-MX"/>
        </w:rPr>
        <w:t xml:space="preserve"> </w:t>
      </w:r>
      <w:r w:rsidRPr="006B7B0E">
        <w:rPr>
          <w:i/>
          <w:iCs/>
          <w:lang w:val="es-MX"/>
        </w:rPr>
        <w:t>servicios</w:t>
      </w:r>
      <w:r w:rsidR="006C6F09">
        <w:rPr>
          <w:i/>
          <w:iCs/>
          <w:lang w:val="es-MX"/>
        </w:rPr>
        <w:t xml:space="preserve"> </w:t>
      </w:r>
      <w:r w:rsidRPr="006B7B0E">
        <w:rPr>
          <w:i/>
          <w:iCs/>
          <w:lang w:val="es-MX"/>
        </w:rPr>
        <w:t>de</w:t>
      </w:r>
      <w:r w:rsidR="006C6F09">
        <w:rPr>
          <w:i/>
          <w:iCs/>
          <w:lang w:val="es-MX"/>
        </w:rPr>
        <w:t xml:space="preserve"> </w:t>
      </w:r>
      <w:r w:rsidRPr="006B7B0E">
        <w:rPr>
          <w:i/>
          <w:iCs/>
          <w:lang w:val="es-MX"/>
        </w:rPr>
        <w:t>interpretación</w:t>
      </w:r>
      <w:r w:rsidR="006C6F09">
        <w:rPr>
          <w:i/>
          <w:iCs/>
          <w:lang w:val="es-MX"/>
        </w:rPr>
        <w:t xml:space="preserve"> </w:t>
      </w:r>
      <w:r w:rsidRPr="006B7B0E">
        <w:rPr>
          <w:i/>
          <w:iCs/>
          <w:lang w:val="es-MX"/>
        </w:rPr>
        <w:t>o</w:t>
      </w:r>
      <w:r w:rsidR="006C6F09">
        <w:rPr>
          <w:i/>
          <w:iCs/>
          <w:lang w:val="es-MX"/>
        </w:rPr>
        <w:t xml:space="preserve"> </w:t>
      </w:r>
      <w:r w:rsidRPr="006B7B0E">
        <w:rPr>
          <w:i/>
          <w:iCs/>
          <w:lang w:val="es-MX"/>
        </w:rPr>
        <w:t>traducción</w:t>
      </w:r>
      <w:r w:rsidR="006C6F09">
        <w:rPr>
          <w:i/>
          <w:iCs/>
          <w:lang w:val="es-MX"/>
        </w:rPr>
        <w:t xml:space="preserve"> </w:t>
      </w:r>
      <w:r w:rsidRPr="006B7B0E">
        <w:rPr>
          <w:i/>
          <w:iCs/>
          <w:lang w:val="es-MX"/>
        </w:rPr>
        <w:t>o</w:t>
      </w:r>
      <w:r w:rsidR="006C6F09">
        <w:rPr>
          <w:i/>
          <w:iCs/>
          <w:lang w:val="es-MX"/>
        </w:rPr>
        <w:t xml:space="preserve"> </w:t>
      </w:r>
      <w:r w:rsidRPr="006B7B0E">
        <w:rPr>
          <w:i/>
          <w:iCs/>
          <w:lang w:val="es-MX"/>
        </w:rPr>
        <w:t>usted</w:t>
      </w:r>
      <w:r w:rsidR="006C6F09">
        <w:rPr>
          <w:i/>
          <w:iCs/>
          <w:lang w:val="es-MX"/>
        </w:rPr>
        <w:t xml:space="preserve"> </w:t>
      </w:r>
      <w:r w:rsidRPr="006B7B0E">
        <w:rPr>
          <w:i/>
          <w:iCs/>
          <w:lang w:val="es-MX"/>
        </w:rPr>
        <w:t>es</w:t>
      </w:r>
      <w:r w:rsidR="006C6F09">
        <w:rPr>
          <w:i/>
          <w:iCs/>
          <w:lang w:val="es-MX"/>
        </w:rPr>
        <w:t xml:space="preserve"> </w:t>
      </w:r>
      <w:r w:rsidRPr="006B7B0E">
        <w:rPr>
          <w:i/>
          <w:iCs/>
          <w:lang w:val="es-MX"/>
        </w:rPr>
        <w:t>una</w:t>
      </w:r>
      <w:r w:rsidR="006C6F09">
        <w:rPr>
          <w:i/>
          <w:iCs/>
          <w:lang w:val="es-MX"/>
        </w:rPr>
        <w:t xml:space="preserve"> </w:t>
      </w:r>
      <w:r w:rsidRPr="006B7B0E">
        <w:rPr>
          <w:i/>
          <w:iCs/>
          <w:lang w:val="es-MX"/>
        </w:rPr>
        <w:t>persona</w:t>
      </w:r>
      <w:r w:rsidR="006C6F09">
        <w:rPr>
          <w:i/>
          <w:iCs/>
          <w:lang w:val="es-MX"/>
        </w:rPr>
        <w:t xml:space="preserve"> </w:t>
      </w:r>
      <w:r w:rsidRPr="006B7B0E">
        <w:rPr>
          <w:i/>
          <w:iCs/>
          <w:lang w:val="es-MX"/>
        </w:rPr>
        <w:t>con</w:t>
      </w:r>
      <w:r w:rsidR="006C6F09">
        <w:rPr>
          <w:i/>
          <w:iCs/>
          <w:lang w:val="es-MX"/>
        </w:rPr>
        <w:t xml:space="preserve"> </w:t>
      </w:r>
      <w:r w:rsidRPr="006B7B0E">
        <w:rPr>
          <w:i/>
          <w:iCs/>
          <w:lang w:val="es-MX"/>
        </w:rPr>
        <w:t>alguna</w:t>
      </w:r>
      <w:r w:rsidR="006C6F09">
        <w:rPr>
          <w:i/>
          <w:iCs/>
          <w:lang w:val="es-MX"/>
        </w:rPr>
        <w:t xml:space="preserve"> </w:t>
      </w:r>
      <w:r w:rsidRPr="006B7B0E">
        <w:rPr>
          <w:i/>
          <w:iCs/>
          <w:lang w:val="es-MX"/>
        </w:rPr>
        <w:t>discapacidad</w:t>
      </w:r>
      <w:r w:rsidR="006C6F09">
        <w:rPr>
          <w:i/>
          <w:iCs/>
          <w:lang w:val="es-MX"/>
        </w:rPr>
        <w:t xml:space="preserve"> </w:t>
      </w:r>
      <w:r w:rsidRPr="006B7B0E">
        <w:rPr>
          <w:i/>
          <w:iCs/>
          <w:lang w:val="es-MX"/>
        </w:rPr>
        <w:t>que</w:t>
      </w:r>
      <w:r w:rsidR="006C6F09">
        <w:rPr>
          <w:i/>
          <w:iCs/>
          <w:lang w:val="es-MX"/>
        </w:rPr>
        <w:t xml:space="preserve"> </w:t>
      </w:r>
      <w:r w:rsidRPr="006B7B0E">
        <w:rPr>
          <w:i/>
          <w:iCs/>
          <w:lang w:val="es-MX"/>
        </w:rPr>
        <w:t>requiera</w:t>
      </w:r>
      <w:r w:rsidR="006C6F09">
        <w:rPr>
          <w:i/>
          <w:iCs/>
          <w:lang w:val="es-MX"/>
        </w:rPr>
        <w:t xml:space="preserve"> </w:t>
      </w:r>
      <w:r w:rsidRPr="006B7B0E">
        <w:rPr>
          <w:i/>
          <w:iCs/>
          <w:lang w:val="es-MX"/>
        </w:rPr>
        <w:t>una</w:t>
      </w:r>
      <w:r w:rsidR="006C6F09">
        <w:rPr>
          <w:i/>
          <w:iCs/>
          <w:lang w:val="es-MX"/>
        </w:rPr>
        <w:t xml:space="preserve"> </w:t>
      </w:r>
      <w:r w:rsidRPr="006B7B0E">
        <w:rPr>
          <w:i/>
          <w:iCs/>
          <w:lang w:val="es-MX"/>
        </w:rPr>
        <w:t>adaptación</w:t>
      </w:r>
      <w:r w:rsidR="006C6F09">
        <w:rPr>
          <w:i/>
          <w:iCs/>
          <w:lang w:val="es-MX"/>
        </w:rPr>
        <w:t xml:space="preserve"> </w:t>
      </w:r>
      <w:r w:rsidRPr="006B7B0E">
        <w:rPr>
          <w:i/>
          <w:iCs/>
          <w:lang w:val="es-MX"/>
        </w:rPr>
        <w:t>para</w:t>
      </w:r>
      <w:r w:rsidR="006C6F09">
        <w:rPr>
          <w:i/>
          <w:iCs/>
          <w:lang w:val="es-MX"/>
        </w:rPr>
        <w:t xml:space="preserve"> </w:t>
      </w:r>
      <w:r w:rsidRPr="006B7B0E">
        <w:rPr>
          <w:i/>
          <w:iCs/>
          <w:lang w:val="es-MX"/>
        </w:rPr>
        <w:t>asistir</w:t>
      </w:r>
      <w:r w:rsidR="006C6F09">
        <w:rPr>
          <w:i/>
          <w:iCs/>
          <w:lang w:val="es-MX"/>
        </w:rPr>
        <w:t xml:space="preserve"> </w:t>
      </w:r>
      <w:r w:rsidRPr="006B7B0E">
        <w:rPr>
          <w:i/>
          <w:iCs/>
          <w:lang w:val="es-MX"/>
        </w:rPr>
        <w:t>a</w:t>
      </w:r>
      <w:r w:rsidR="006C6F09">
        <w:rPr>
          <w:i/>
          <w:iCs/>
          <w:lang w:val="es-MX"/>
        </w:rPr>
        <w:t xml:space="preserve"> </w:t>
      </w:r>
      <w:r w:rsidRPr="006B7B0E">
        <w:rPr>
          <w:i/>
          <w:iCs/>
          <w:lang w:val="es-MX"/>
        </w:rPr>
        <w:t>y</w:t>
      </w:r>
      <w:r w:rsidR="006C6F09">
        <w:rPr>
          <w:i/>
          <w:iCs/>
          <w:lang w:val="es-MX"/>
        </w:rPr>
        <w:t xml:space="preserve"> </w:t>
      </w:r>
      <w:r w:rsidRPr="006B7B0E">
        <w:rPr>
          <w:i/>
          <w:iCs/>
          <w:lang w:val="es-MX"/>
        </w:rPr>
        <w:t>participar</w:t>
      </w:r>
      <w:r w:rsidR="006C6F09">
        <w:rPr>
          <w:i/>
          <w:iCs/>
          <w:lang w:val="es-MX"/>
        </w:rPr>
        <w:t xml:space="preserve"> </w:t>
      </w:r>
      <w:r w:rsidRPr="006B7B0E">
        <w:rPr>
          <w:i/>
          <w:iCs/>
          <w:lang w:val="es-MX"/>
        </w:rPr>
        <w:t>en</w:t>
      </w:r>
      <w:r w:rsidR="006C6F09">
        <w:rPr>
          <w:i/>
          <w:iCs/>
          <w:lang w:val="es-MX"/>
        </w:rPr>
        <w:t xml:space="preserve"> </w:t>
      </w:r>
      <w:r w:rsidRPr="006B7B0E">
        <w:rPr>
          <w:i/>
          <w:iCs/>
          <w:highlight w:val="darkGray"/>
          <w:lang w:val="es-MX"/>
        </w:rPr>
        <w:t>[</w:t>
      </w:r>
      <w:proofErr w:type="spellStart"/>
      <w:r w:rsidRPr="006B7B0E">
        <w:rPr>
          <w:i/>
          <w:iCs/>
          <w:highlight w:val="darkGray"/>
          <w:lang w:val="es-MX"/>
        </w:rPr>
        <w:t>Insert</w:t>
      </w:r>
      <w:proofErr w:type="spellEnd"/>
      <w:r w:rsidR="006C6F09">
        <w:rPr>
          <w:i/>
          <w:iCs/>
          <w:highlight w:val="darkGray"/>
          <w:lang w:val="es-MX"/>
        </w:rPr>
        <w:t xml:space="preserve"> </w:t>
      </w:r>
      <w:proofErr w:type="spellStart"/>
      <w:r w:rsidRPr="006B7B0E">
        <w:rPr>
          <w:i/>
          <w:iCs/>
          <w:highlight w:val="darkGray"/>
          <w:lang w:val="es-MX"/>
        </w:rPr>
        <w:t>text</w:t>
      </w:r>
      <w:proofErr w:type="spellEnd"/>
      <w:r w:rsidR="006C6F09">
        <w:rPr>
          <w:i/>
          <w:iCs/>
          <w:highlight w:val="darkGray"/>
          <w:lang w:val="es-MX"/>
        </w:rPr>
        <w:t xml:space="preserve"> </w:t>
      </w:r>
      <w:r w:rsidRPr="006B7B0E">
        <w:rPr>
          <w:i/>
          <w:iCs/>
          <w:highlight w:val="darkGray"/>
          <w:lang w:val="es-MX"/>
        </w:rPr>
        <w:t>–</w:t>
      </w:r>
      <w:r w:rsidR="006C6F09">
        <w:rPr>
          <w:i/>
          <w:iCs/>
          <w:highlight w:val="darkGray"/>
          <w:lang w:val="es-MX"/>
        </w:rPr>
        <w:t xml:space="preserve"> </w:t>
      </w:r>
      <w:proofErr w:type="spellStart"/>
      <w:r w:rsidRPr="006B7B0E">
        <w:rPr>
          <w:i/>
          <w:iCs/>
          <w:highlight w:val="darkGray"/>
          <w:lang w:val="es-MX"/>
        </w:rPr>
        <w:t>Spanish</w:t>
      </w:r>
      <w:proofErr w:type="spellEnd"/>
      <w:r w:rsidR="006C6F09">
        <w:rPr>
          <w:i/>
          <w:iCs/>
          <w:highlight w:val="darkGray"/>
          <w:lang w:val="es-MX"/>
        </w:rPr>
        <w:t xml:space="preserve"> </w:t>
      </w:r>
      <w:proofErr w:type="spellStart"/>
      <w:r w:rsidRPr="006B7B0E">
        <w:rPr>
          <w:i/>
          <w:iCs/>
          <w:highlight w:val="darkGray"/>
          <w:lang w:val="es-MX"/>
        </w:rPr>
        <w:t>language</w:t>
      </w:r>
      <w:proofErr w:type="spellEnd"/>
      <w:r w:rsidR="006C6F09">
        <w:rPr>
          <w:i/>
          <w:iCs/>
          <w:highlight w:val="darkGray"/>
          <w:lang w:val="es-MX"/>
        </w:rPr>
        <w:t xml:space="preserve"> </w:t>
      </w:r>
      <w:proofErr w:type="spellStart"/>
      <w:r w:rsidRPr="006B7B0E">
        <w:rPr>
          <w:i/>
          <w:iCs/>
          <w:highlight w:val="darkGray"/>
          <w:lang w:val="es-MX"/>
        </w:rPr>
        <w:t>event</w:t>
      </w:r>
      <w:proofErr w:type="spellEnd"/>
      <w:r w:rsidR="006C6F09">
        <w:rPr>
          <w:i/>
          <w:iCs/>
          <w:highlight w:val="darkGray"/>
          <w:lang w:val="es-MX"/>
        </w:rPr>
        <w:t xml:space="preserve"> </w:t>
      </w:r>
      <w:proofErr w:type="spellStart"/>
      <w:r w:rsidRPr="006B7B0E">
        <w:rPr>
          <w:i/>
          <w:iCs/>
          <w:highlight w:val="darkGray"/>
          <w:lang w:val="es-MX"/>
        </w:rPr>
        <w:t>name</w:t>
      </w:r>
      <w:proofErr w:type="spellEnd"/>
      <w:r w:rsidR="006C6F09">
        <w:rPr>
          <w:i/>
          <w:iCs/>
          <w:highlight w:val="darkGray"/>
          <w:lang w:val="es-MX"/>
        </w:rPr>
        <w:t xml:space="preserve"> </w:t>
      </w:r>
      <w:r w:rsidRPr="006B7B0E">
        <w:rPr>
          <w:i/>
          <w:iCs/>
          <w:highlight w:val="darkGray"/>
          <w:lang w:val="es-MX"/>
        </w:rPr>
        <w:t>–</w:t>
      </w:r>
      <w:r w:rsidR="006C6F09">
        <w:rPr>
          <w:i/>
          <w:iCs/>
          <w:highlight w:val="darkGray"/>
          <w:lang w:val="es-MX"/>
        </w:rPr>
        <w:t xml:space="preserve"> </w:t>
      </w:r>
      <w:proofErr w:type="spellStart"/>
      <w:r w:rsidRPr="006B7B0E">
        <w:rPr>
          <w:i/>
          <w:iCs/>
          <w:highlight w:val="darkGray"/>
          <w:lang w:val="es-MX"/>
        </w:rPr>
        <w:t>Public</w:t>
      </w:r>
      <w:proofErr w:type="spellEnd"/>
      <w:r w:rsidR="006C6F09">
        <w:rPr>
          <w:i/>
          <w:iCs/>
          <w:highlight w:val="darkGray"/>
          <w:lang w:val="es-MX"/>
        </w:rPr>
        <w:t xml:space="preserve"> </w:t>
      </w:r>
      <w:proofErr w:type="spellStart"/>
      <w:r w:rsidRPr="006B7B0E">
        <w:rPr>
          <w:i/>
          <w:iCs/>
          <w:highlight w:val="darkGray"/>
          <w:lang w:val="es-MX"/>
        </w:rPr>
        <w:t>Hearing</w:t>
      </w:r>
      <w:proofErr w:type="spellEnd"/>
      <w:r w:rsidR="006C6F09">
        <w:rPr>
          <w:i/>
          <w:iCs/>
          <w:highlight w:val="darkGray"/>
          <w:lang w:val="es-MX"/>
        </w:rPr>
        <w:t xml:space="preserve"> </w:t>
      </w:r>
      <w:r w:rsidRPr="006B7B0E">
        <w:rPr>
          <w:i/>
          <w:iCs/>
          <w:highlight w:val="darkGray"/>
          <w:lang w:val="es-MX"/>
        </w:rPr>
        <w:t>–</w:t>
      </w:r>
      <w:r w:rsidR="006C6F09">
        <w:rPr>
          <w:i/>
          <w:iCs/>
          <w:highlight w:val="darkGray"/>
          <w:lang w:val="es-MX"/>
        </w:rPr>
        <w:t xml:space="preserve"> </w:t>
      </w:r>
      <w:r w:rsidRPr="006B7B0E">
        <w:rPr>
          <w:i/>
          <w:iCs/>
          <w:highlight w:val="darkGray"/>
          <w:lang w:val="es-MX"/>
        </w:rPr>
        <w:t>La</w:t>
      </w:r>
      <w:r w:rsidR="006C6F09">
        <w:rPr>
          <w:i/>
          <w:iCs/>
          <w:highlight w:val="darkGray"/>
          <w:lang w:val="es-MX"/>
        </w:rPr>
        <w:t xml:space="preserve"> </w:t>
      </w:r>
      <w:r w:rsidRPr="006B7B0E">
        <w:rPr>
          <w:i/>
          <w:iCs/>
          <w:highlight w:val="darkGray"/>
          <w:lang w:val="es-MX"/>
        </w:rPr>
        <w:t>audiencia</w:t>
      </w:r>
      <w:r w:rsidR="006C6F09">
        <w:rPr>
          <w:i/>
          <w:iCs/>
          <w:highlight w:val="darkGray"/>
          <w:lang w:val="es-MX"/>
        </w:rPr>
        <w:t xml:space="preserve"> </w:t>
      </w:r>
      <w:r w:rsidRPr="006B7B0E">
        <w:rPr>
          <w:i/>
          <w:iCs/>
          <w:highlight w:val="darkGray"/>
          <w:lang w:val="es-MX"/>
        </w:rPr>
        <w:t>pública,</w:t>
      </w:r>
      <w:r w:rsidR="006C6F09">
        <w:rPr>
          <w:i/>
          <w:iCs/>
          <w:highlight w:val="darkGray"/>
          <w:lang w:val="es-MX"/>
        </w:rPr>
        <w:t xml:space="preserve"> </w:t>
      </w:r>
      <w:r w:rsidRPr="006B7B0E">
        <w:rPr>
          <w:i/>
          <w:iCs/>
          <w:highlight w:val="darkGray"/>
          <w:lang w:val="es-MX"/>
        </w:rPr>
        <w:t>Virtual</w:t>
      </w:r>
      <w:r w:rsidR="006C6F09">
        <w:rPr>
          <w:i/>
          <w:iCs/>
          <w:highlight w:val="darkGray"/>
          <w:lang w:val="es-MX"/>
        </w:rPr>
        <w:t xml:space="preserve"> </w:t>
      </w:r>
      <w:proofErr w:type="spellStart"/>
      <w:r w:rsidRPr="006B7B0E">
        <w:rPr>
          <w:i/>
          <w:iCs/>
          <w:highlight w:val="darkGray"/>
          <w:lang w:val="es-MX"/>
        </w:rPr>
        <w:t>Public</w:t>
      </w:r>
      <w:proofErr w:type="spellEnd"/>
      <w:r w:rsidR="006C6F09">
        <w:rPr>
          <w:i/>
          <w:iCs/>
          <w:highlight w:val="darkGray"/>
          <w:lang w:val="es-MX"/>
        </w:rPr>
        <w:t xml:space="preserve"> </w:t>
      </w:r>
      <w:proofErr w:type="spellStart"/>
      <w:r w:rsidRPr="006B7B0E">
        <w:rPr>
          <w:i/>
          <w:iCs/>
          <w:highlight w:val="darkGray"/>
          <w:lang w:val="es-MX"/>
        </w:rPr>
        <w:t>Hearing</w:t>
      </w:r>
      <w:proofErr w:type="spellEnd"/>
      <w:r w:rsidR="006C6F09">
        <w:rPr>
          <w:i/>
          <w:iCs/>
          <w:highlight w:val="darkGray"/>
          <w:lang w:val="es-MX"/>
        </w:rPr>
        <w:t xml:space="preserve"> </w:t>
      </w:r>
      <w:r w:rsidRPr="006B7B0E">
        <w:rPr>
          <w:i/>
          <w:iCs/>
          <w:highlight w:val="darkGray"/>
          <w:lang w:val="es-MX"/>
        </w:rPr>
        <w:t>-</w:t>
      </w:r>
      <w:r w:rsidR="006C6F09">
        <w:rPr>
          <w:i/>
          <w:iCs/>
          <w:highlight w:val="darkGray"/>
          <w:lang w:val="es-MX"/>
        </w:rPr>
        <w:t xml:space="preserve"> </w:t>
      </w:r>
      <w:r w:rsidRPr="006B7B0E">
        <w:rPr>
          <w:i/>
          <w:iCs/>
          <w:highlight w:val="darkGray"/>
          <w:lang w:val="es-MX"/>
        </w:rPr>
        <w:t>La</w:t>
      </w:r>
      <w:r w:rsidR="006C6F09">
        <w:rPr>
          <w:i/>
          <w:iCs/>
          <w:highlight w:val="darkGray"/>
          <w:lang w:val="es-MX"/>
        </w:rPr>
        <w:t xml:space="preserve"> </w:t>
      </w:r>
      <w:r w:rsidRPr="006B7B0E">
        <w:rPr>
          <w:i/>
          <w:iCs/>
          <w:highlight w:val="darkGray"/>
          <w:lang w:val="es-MX"/>
        </w:rPr>
        <w:t>audiencia</w:t>
      </w:r>
      <w:r w:rsidR="006C6F09">
        <w:rPr>
          <w:i/>
          <w:iCs/>
          <w:highlight w:val="darkGray"/>
          <w:lang w:val="es-MX"/>
        </w:rPr>
        <w:t xml:space="preserve"> </w:t>
      </w:r>
      <w:r w:rsidRPr="006B7B0E">
        <w:rPr>
          <w:i/>
          <w:iCs/>
          <w:highlight w:val="darkGray"/>
          <w:lang w:val="es-MX"/>
        </w:rPr>
        <w:t>pública</w:t>
      </w:r>
      <w:r w:rsidR="006C6F09">
        <w:rPr>
          <w:i/>
          <w:iCs/>
          <w:highlight w:val="darkGray"/>
          <w:lang w:val="es-MX"/>
        </w:rPr>
        <w:t xml:space="preserve"> </w:t>
      </w:r>
      <w:r w:rsidRPr="006B7B0E">
        <w:rPr>
          <w:i/>
          <w:iCs/>
          <w:highlight w:val="darkGray"/>
          <w:lang w:val="es-MX"/>
        </w:rPr>
        <w:t>virtual],</w:t>
      </w:r>
      <w:r w:rsidR="006C6F09">
        <w:rPr>
          <w:i/>
          <w:iCs/>
          <w:lang w:val="es-MX"/>
        </w:rPr>
        <w:t xml:space="preserve"> </w:t>
      </w:r>
      <w:r w:rsidRPr="006B7B0E">
        <w:rPr>
          <w:i/>
          <w:iCs/>
          <w:lang w:val="es-MX"/>
        </w:rPr>
        <w:t>por</w:t>
      </w:r>
      <w:r w:rsidR="006C6F09">
        <w:rPr>
          <w:i/>
          <w:iCs/>
          <w:lang w:val="es-MX"/>
        </w:rPr>
        <w:t xml:space="preserve"> </w:t>
      </w:r>
      <w:r w:rsidRPr="006B7B0E">
        <w:rPr>
          <w:i/>
          <w:iCs/>
          <w:lang w:val="es-MX"/>
        </w:rPr>
        <w:t>favor</w:t>
      </w:r>
      <w:r w:rsidR="006C6F09">
        <w:rPr>
          <w:i/>
          <w:iCs/>
          <w:lang w:val="es-MX"/>
        </w:rPr>
        <w:t xml:space="preserve"> </w:t>
      </w:r>
      <w:r w:rsidRPr="006B7B0E">
        <w:rPr>
          <w:i/>
          <w:iCs/>
          <w:lang w:val="es-MX"/>
        </w:rPr>
        <w:t>póngase</w:t>
      </w:r>
      <w:r w:rsidR="006C6F09">
        <w:rPr>
          <w:i/>
          <w:iCs/>
          <w:lang w:val="es-MX"/>
        </w:rPr>
        <w:t xml:space="preserve"> </w:t>
      </w:r>
      <w:r w:rsidRPr="006B7B0E">
        <w:rPr>
          <w:i/>
          <w:iCs/>
          <w:lang w:val="es-MX"/>
        </w:rPr>
        <w:t>en</w:t>
      </w:r>
      <w:r w:rsidR="006C6F09">
        <w:rPr>
          <w:i/>
          <w:iCs/>
          <w:lang w:val="es-MX"/>
        </w:rPr>
        <w:t xml:space="preserve"> </w:t>
      </w:r>
      <w:r w:rsidRPr="006B7B0E">
        <w:rPr>
          <w:i/>
          <w:iCs/>
          <w:lang w:val="es-MX"/>
        </w:rPr>
        <w:t>contacto</w:t>
      </w:r>
      <w:r w:rsidR="006C6F09">
        <w:rPr>
          <w:i/>
          <w:iCs/>
          <w:lang w:val="es-MX"/>
        </w:rPr>
        <w:t xml:space="preserve"> </w:t>
      </w:r>
      <w:r w:rsidRPr="006B7B0E">
        <w:rPr>
          <w:i/>
          <w:iCs/>
          <w:lang w:val="es-MX"/>
        </w:rPr>
        <w:t>con</w:t>
      </w:r>
      <w:r w:rsidR="006C6F09">
        <w:rPr>
          <w:i/>
          <w:iCs/>
          <w:lang w:val="es-MX"/>
        </w:rPr>
        <w:t xml:space="preserve"> </w:t>
      </w:r>
      <w:r w:rsidRPr="006B7B0E">
        <w:rPr>
          <w:i/>
          <w:iCs/>
          <w:highlight w:val="darkGray"/>
          <w:lang w:val="es-MX"/>
        </w:rPr>
        <w:t>[</w:t>
      </w:r>
      <w:proofErr w:type="spellStart"/>
      <w:r w:rsidRPr="0042237E">
        <w:rPr>
          <w:i/>
          <w:iCs/>
          <w:highlight w:val="darkGray"/>
          <w:lang w:val="es-MX"/>
        </w:rPr>
        <w:t>Insert</w:t>
      </w:r>
      <w:proofErr w:type="spellEnd"/>
      <w:r w:rsidR="006C6F09" w:rsidRPr="0042237E">
        <w:rPr>
          <w:i/>
          <w:iCs/>
          <w:highlight w:val="darkGray"/>
          <w:lang w:val="es-MX"/>
        </w:rPr>
        <w:t xml:space="preserve"> </w:t>
      </w:r>
      <w:proofErr w:type="spellStart"/>
      <w:r w:rsidRPr="0042237E">
        <w:rPr>
          <w:i/>
          <w:iCs/>
          <w:highlight w:val="darkGray"/>
          <w:lang w:val="es-MX"/>
        </w:rPr>
        <w:t>text</w:t>
      </w:r>
      <w:proofErr w:type="spellEnd"/>
      <w:r w:rsidR="006C6F09" w:rsidRPr="0042237E">
        <w:rPr>
          <w:i/>
          <w:iCs/>
          <w:highlight w:val="darkGray"/>
          <w:lang w:val="es-MX"/>
        </w:rPr>
        <w:t xml:space="preserve"> </w:t>
      </w:r>
      <w:r w:rsidRPr="0042237E">
        <w:rPr>
          <w:i/>
          <w:iCs/>
          <w:highlight w:val="darkGray"/>
          <w:lang w:val="es-MX"/>
        </w:rPr>
        <w:t>-</w:t>
      </w:r>
      <w:r w:rsidR="006C6F09" w:rsidRPr="0042237E">
        <w:rPr>
          <w:i/>
          <w:iCs/>
          <w:highlight w:val="darkGray"/>
          <w:lang w:val="es-MX"/>
        </w:rPr>
        <w:t xml:space="preserve"> </w:t>
      </w:r>
      <w:proofErr w:type="spellStart"/>
      <w:r w:rsidRPr="0042237E">
        <w:rPr>
          <w:i/>
          <w:iCs/>
          <w:highlight w:val="darkGray"/>
          <w:lang w:val="es-MX"/>
        </w:rPr>
        <w:t>contact</w:t>
      </w:r>
      <w:proofErr w:type="spellEnd"/>
      <w:r w:rsidR="006C6F09" w:rsidRPr="0042237E">
        <w:rPr>
          <w:i/>
          <w:iCs/>
          <w:highlight w:val="darkGray"/>
          <w:lang w:val="es-MX"/>
        </w:rPr>
        <w:t xml:space="preserve"> </w:t>
      </w:r>
      <w:proofErr w:type="spellStart"/>
      <w:r w:rsidRPr="0042237E">
        <w:rPr>
          <w:i/>
          <w:iCs/>
          <w:highlight w:val="darkGray"/>
          <w:lang w:val="es-MX"/>
        </w:rPr>
        <w:t>name</w:t>
      </w:r>
      <w:proofErr w:type="spellEnd"/>
      <w:r w:rsidR="006C6F09" w:rsidRPr="0042237E">
        <w:rPr>
          <w:i/>
          <w:iCs/>
          <w:highlight w:val="darkGray"/>
          <w:lang w:val="es-MX"/>
        </w:rPr>
        <w:t xml:space="preserve"> </w:t>
      </w:r>
      <w:r w:rsidRPr="0042237E">
        <w:rPr>
          <w:i/>
          <w:iCs/>
          <w:highlight w:val="darkGray"/>
          <w:lang w:val="es-MX"/>
        </w:rPr>
        <w:t>(PIO</w:t>
      </w:r>
      <w:r w:rsidR="006C6F09" w:rsidRPr="0042237E">
        <w:rPr>
          <w:i/>
          <w:iCs/>
          <w:highlight w:val="darkGray"/>
          <w:lang w:val="es-MX"/>
        </w:rPr>
        <w:t xml:space="preserve"> </w:t>
      </w:r>
      <w:proofErr w:type="spellStart"/>
      <w:r w:rsidRPr="0042237E">
        <w:rPr>
          <w:i/>
          <w:iCs/>
          <w:highlight w:val="darkGray"/>
          <w:lang w:val="es-MX"/>
        </w:rPr>
        <w:t>or</w:t>
      </w:r>
      <w:proofErr w:type="spellEnd"/>
      <w:r w:rsidR="006C6F09" w:rsidRPr="0042237E">
        <w:rPr>
          <w:i/>
          <w:iCs/>
          <w:highlight w:val="darkGray"/>
          <w:lang w:val="es-MX"/>
        </w:rPr>
        <w:t xml:space="preserve"> </w:t>
      </w:r>
      <w:proofErr w:type="spellStart"/>
      <w:r w:rsidRPr="0042237E">
        <w:rPr>
          <w:i/>
          <w:iCs/>
          <w:highlight w:val="darkGray"/>
          <w:lang w:val="es-MX"/>
        </w:rPr>
        <w:t>other</w:t>
      </w:r>
      <w:proofErr w:type="spellEnd"/>
      <w:r w:rsidR="006C6F09" w:rsidRPr="0042237E">
        <w:rPr>
          <w:i/>
          <w:iCs/>
          <w:highlight w:val="darkGray"/>
          <w:lang w:val="es-MX"/>
        </w:rPr>
        <w:t xml:space="preserve"> </w:t>
      </w:r>
      <w:proofErr w:type="spellStart"/>
      <w:r w:rsidRPr="0042237E">
        <w:rPr>
          <w:i/>
          <w:iCs/>
          <w:highlight w:val="darkGray"/>
          <w:lang w:val="es-MX"/>
        </w:rPr>
        <w:t>appropriate</w:t>
      </w:r>
      <w:proofErr w:type="spellEnd"/>
      <w:r w:rsidR="006C6F09" w:rsidRPr="0042237E">
        <w:rPr>
          <w:i/>
          <w:iCs/>
          <w:highlight w:val="darkGray"/>
          <w:lang w:val="es-MX"/>
        </w:rPr>
        <w:t xml:space="preserve"> </w:t>
      </w:r>
      <w:proofErr w:type="spellStart"/>
      <w:r w:rsidRPr="0042237E">
        <w:rPr>
          <w:i/>
          <w:iCs/>
          <w:highlight w:val="darkGray"/>
          <w:lang w:val="es-MX"/>
        </w:rPr>
        <w:t>contact</w:t>
      </w:r>
      <w:proofErr w:type="spellEnd"/>
      <w:r w:rsidRPr="0042237E">
        <w:rPr>
          <w:i/>
          <w:iCs/>
          <w:highlight w:val="darkGray"/>
          <w:lang w:val="es-MX"/>
        </w:rPr>
        <w:t>),</w:t>
      </w:r>
      <w:r w:rsidR="006C6F09" w:rsidRPr="0042237E">
        <w:rPr>
          <w:i/>
          <w:iCs/>
          <w:highlight w:val="darkGray"/>
          <w:lang w:val="es-MX"/>
        </w:rPr>
        <w:t xml:space="preserve"> </w:t>
      </w:r>
      <w:proofErr w:type="spellStart"/>
      <w:r w:rsidRPr="0042237E">
        <w:rPr>
          <w:i/>
          <w:iCs/>
          <w:highlight w:val="darkGray"/>
          <w:lang w:val="es-MX"/>
        </w:rPr>
        <w:t>District</w:t>
      </w:r>
      <w:proofErr w:type="spellEnd"/>
      <w:r w:rsidR="006C6F09" w:rsidRPr="0042237E">
        <w:rPr>
          <w:i/>
          <w:iCs/>
          <w:highlight w:val="darkGray"/>
          <w:lang w:val="es-MX"/>
        </w:rPr>
        <w:t xml:space="preserve"> </w:t>
      </w:r>
      <w:proofErr w:type="spellStart"/>
      <w:r w:rsidRPr="0042237E">
        <w:rPr>
          <w:i/>
          <w:iCs/>
          <w:highlight w:val="darkGray"/>
          <w:lang w:val="es-MX"/>
        </w:rPr>
        <w:t>or</w:t>
      </w:r>
      <w:proofErr w:type="spellEnd"/>
      <w:r w:rsidR="006C6F09" w:rsidRPr="0042237E">
        <w:rPr>
          <w:i/>
          <w:iCs/>
          <w:highlight w:val="darkGray"/>
          <w:lang w:val="es-MX"/>
        </w:rPr>
        <w:t xml:space="preserve"> </w:t>
      </w:r>
      <w:proofErr w:type="spellStart"/>
      <w:r w:rsidRPr="0042237E">
        <w:rPr>
          <w:i/>
          <w:iCs/>
          <w:highlight w:val="darkGray"/>
          <w:lang w:val="es-MX"/>
        </w:rPr>
        <w:t>Division</w:t>
      </w:r>
      <w:proofErr w:type="spellEnd"/>
      <w:r w:rsidR="006C6F09" w:rsidRPr="0042237E">
        <w:rPr>
          <w:i/>
          <w:iCs/>
          <w:highlight w:val="darkGray"/>
          <w:lang w:val="es-MX"/>
        </w:rPr>
        <w:t xml:space="preserve"> </w:t>
      </w:r>
      <w:proofErr w:type="spellStart"/>
      <w:r w:rsidRPr="0042237E">
        <w:rPr>
          <w:i/>
          <w:iCs/>
          <w:highlight w:val="darkGray"/>
          <w:lang w:val="es-MX"/>
        </w:rPr>
        <w:t>Name</w:t>
      </w:r>
      <w:proofErr w:type="spellEnd"/>
      <w:r w:rsidRPr="006B7B0E">
        <w:rPr>
          <w:i/>
          <w:iCs/>
          <w:highlight w:val="darkGray"/>
          <w:lang w:val="es-MX"/>
        </w:rPr>
        <w:t>]</w:t>
      </w:r>
      <w:r w:rsidRPr="006B7B0E">
        <w:rPr>
          <w:i/>
          <w:iCs/>
          <w:lang w:val="es-MX"/>
        </w:rPr>
        <w:t>,</w:t>
      </w:r>
      <w:r w:rsidR="006C6F09">
        <w:rPr>
          <w:i/>
          <w:iCs/>
          <w:lang w:val="es-MX"/>
        </w:rPr>
        <w:t xml:space="preserve"> </w:t>
      </w:r>
      <w:r w:rsidRPr="006B7B0E">
        <w:rPr>
          <w:i/>
          <w:iCs/>
          <w:lang w:val="es-MX"/>
        </w:rPr>
        <w:t>al</w:t>
      </w:r>
      <w:r w:rsidR="006C6F09">
        <w:rPr>
          <w:i/>
          <w:iCs/>
          <w:lang w:val="es-MX"/>
        </w:rPr>
        <w:t xml:space="preserve"> </w:t>
      </w:r>
      <w:r w:rsidRPr="006B7B0E">
        <w:rPr>
          <w:i/>
          <w:iCs/>
          <w:lang w:val="es-MX"/>
        </w:rPr>
        <w:t>número</w:t>
      </w:r>
      <w:r w:rsidR="006C6F09">
        <w:rPr>
          <w:i/>
          <w:iCs/>
          <w:lang w:val="es-MX"/>
        </w:rPr>
        <w:t xml:space="preserve"> </w:t>
      </w:r>
      <w:r w:rsidRPr="0042237E">
        <w:rPr>
          <w:i/>
          <w:iCs/>
          <w:highlight w:val="darkGray"/>
          <w:lang w:val="es-MX"/>
        </w:rPr>
        <w:t>[</w:t>
      </w:r>
      <w:proofErr w:type="spellStart"/>
      <w:r w:rsidRPr="0042237E">
        <w:rPr>
          <w:i/>
          <w:iCs/>
          <w:highlight w:val="darkGray"/>
          <w:lang w:val="es-MX"/>
        </w:rPr>
        <w:t>Insert</w:t>
      </w:r>
      <w:proofErr w:type="spellEnd"/>
      <w:r w:rsidR="006C6F09" w:rsidRPr="0042237E">
        <w:rPr>
          <w:i/>
          <w:iCs/>
          <w:highlight w:val="darkGray"/>
          <w:lang w:val="es-MX"/>
        </w:rPr>
        <w:t xml:space="preserve"> </w:t>
      </w:r>
      <w:proofErr w:type="spellStart"/>
      <w:r w:rsidRPr="0042237E">
        <w:rPr>
          <w:i/>
          <w:iCs/>
          <w:highlight w:val="darkGray"/>
          <w:lang w:val="es-MX"/>
        </w:rPr>
        <w:t>text</w:t>
      </w:r>
      <w:proofErr w:type="spellEnd"/>
      <w:r w:rsidR="006C6F09" w:rsidRPr="0042237E">
        <w:rPr>
          <w:i/>
          <w:iCs/>
          <w:highlight w:val="darkGray"/>
          <w:lang w:val="es-MX"/>
        </w:rPr>
        <w:t xml:space="preserve"> </w:t>
      </w:r>
      <w:r w:rsidRPr="0042237E">
        <w:rPr>
          <w:i/>
          <w:iCs/>
          <w:highlight w:val="darkGray"/>
          <w:lang w:val="es-MX"/>
        </w:rPr>
        <w:t>-</w:t>
      </w:r>
      <w:r w:rsidR="006C6F09" w:rsidRPr="0042237E">
        <w:rPr>
          <w:i/>
          <w:iCs/>
          <w:highlight w:val="darkGray"/>
          <w:lang w:val="es-MX"/>
        </w:rPr>
        <w:t xml:space="preserve"> </w:t>
      </w:r>
      <w:proofErr w:type="spellStart"/>
      <w:r w:rsidRPr="0042237E">
        <w:rPr>
          <w:i/>
          <w:iCs/>
          <w:highlight w:val="darkGray"/>
          <w:lang w:val="es-MX"/>
        </w:rPr>
        <w:t>phone</w:t>
      </w:r>
      <w:proofErr w:type="spellEnd"/>
      <w:r w:rsidR="006C6F09" w:rsidRPr="0042237E">
        <w:rPr>
          <w:i/>
          <w:iCs/>
          <w:highlight w:val="darkGray"/>
          <w:lang w:val="es-MX"/>
        </w:rPr>
        <w:t xml:space="preserve"> </w:t>
      </w:r>
      <w:proofErr w:type="spellStart"/>
      <w:r w:rsidRPr="0042237E">
        <w:rPr>
          <w:i/>
          <w:iCs/>
          <w:highlight w:val="darkGray"/>
          <w:lang w:val="es-MX"/>
        </w:rPr>
        <w:t>number</w:t>
      </w:r>
      <w:proofErr w:type="spellEnd"/>
      <w:r w:rsidR="006C6F09" w:rsidRPr="0042237E">
        <w:rPr>
          <w:i/>
          <w:iCs/>
          <w:highlight w:val="darkGray"/>
          <w:lang w:val="es-MX"/>
        </w:rPr>
        <w:t xml:space="preserve"> </w:t>
      </w:r>
      <w:proofErr w:type="spellStart"/>
      <w:r w:rsidRPr="0042237E">
        <w:rPr>
          <w:i/>
          <w:iCs/>
          <w:highlight w:val="darkGray"/>
          <w:lang w:val="es-MX"/>
        </w:rPr>
        <w:t>with</w:t>
      </w:r>
      <w:proofErr w:type="spellEnd"/>
      <w:r w:rsidR="006C6F09" w:rsidRPr="0042237E">
        <w:rPr>
          <w:i/>
          <w:iCs/>
          <w:highlight w:val="darkGray"/>
          <w:lang w:val="es-MX"/>
        </w:rPr>
        <w:t xml:space="preserve"> </w:t>
      </w:r>
      <w:proofErr w:type="spellStart"/>
      <w:r w:rsidRPr="0042237E">
        <w:rPr>
          <w:i/>
          <w:iCs/>
          <w:highlight w:val="darkGray"/>
          <w:lang w:val="es-MX"/>
        </w:rPr>
        <w:t>area</w:t>
      </w:r>
      <w:proofErr w:type="spellEnd"/>
      <w:r w:rsidR="006C6F09" w:rsidRPr="0042237E">
        <w:rPr>
          <w:i/>
          <w:iCs/>
          <w:highlight w:val="darkGray"/>
          <w:lang w:val="es-MX"/>
        </w:rPr>
        <w:t xml:space="preserve"> </w:t>
      </w:r>
      <w:proofErr w:type="spellStart"/>
      <w:r w:rsidRPr="0042237E">
        <w:rPr>
          <w:i/>
          <w:iCs/>
          <w:highlight w:val="darkGray"/>
          <w:lang w:val="es-MX"/>
        </w:rPr>
        <w:t>code</w:t>
      </w:r>
      <w:proofErr w:type="spellEnd"/>
      <w:r w:rsidRPr="006B7B0E">
        <w:rPr>
          <w:i/>
          <w:iCs/>
          <w:highlight w:val="darkGray"/>
          <w:lang w:val="es-MX"/>
        </w:rPr>
        <w:t>]</w:t>
      </w:r>
      <w:r w:rsidR="006C6F09">
        <w:rPr>
          <w:i/>
          <w:iCs/>
          <w:lang w:val="es-MX"/>
        </w:rPr>
        <w:t xml:space="preserve"> </w:t>
      </w:r>
      <w:r w:rsidRPr="006B7B0E">
        <w:rPr>
          <w:i/>
          <w:iCs/>
          <w:lang w:val="es-MX"/>
        </w:rPr>
        <w:t>a</w:t>
      </w:r>
      <w:r w:rsidR="006C6F09">
        <w:rPr>
          <w:i/>
          <w:iCs/>
          <w:lang w:val="es-MX"/>
        </w:rPr>
        <w:t xml:space="preserve"> </w:t>
      </w:r>
      <w:r w:rsidRPr="006B7B0E">
        <w:rPr>
          <w:i/>
          <w:iCs/>
          <w:lang w:val="es-MX"/>
        </w:rPr>
        <w:t>más</w:t>
      </w:r>
      <w:r w:rsidR="006C6F09">
        <w:rPr>
          <w:i/>
          <w:iCs/>
          <w:lang w:val="es-MX"/>
        </w:rPr>
        <w:t xml:space="preserve"> </w:t>
      </w:r>
      <w:r w:rsidRPr="006B7B0E">
        <w:rPr>
          <w:i/>
          <w:iCs/>
          <w:lang w:val="es-MX"/>
        </w:rPr>
        <w:t>tardar</w:t>
      </w:r>
      <w:r w:rsidR="006C6F09">
        <w:rPr>
          <w:i/>
          <w:iCs/>
          <w:lang w:val="es-MX"/>
        </w:rPr>
        <w:t xml:space="preserve"> </w:t>
      </w:r>
      <w:r w:rsidRPr="006B7B0E">
        <w:rPr>
          <w:i/>
          <w:iCs/>
          <w:lang w:val="es-MX"/>
        </w:rPr>
        <w:t>a</w:t>
      </w:r>
      <w:r w:rsidR="006C6F09">
        <w:rPr>
          <w:i/>
          <w:iCs/>
          <w:lang w:val="es-MX"/>
        </w:rPr>
        <w:t xml:space="preserve"> </w:t>
      </w:r>
      <w:r w:rsidRPr="006B7B0E">
        <w:rPr>
          <w:i/>
          <w:iCs/>
          <w:lang w:val="es-MX"/>
        </w:rPr>
        <w:t>las</w:t>
      </w:r>
      <w:r w:rsidR="006C6F09">
        <w:rPr>
          <w:i/>
          <w:iCs/>
          <w:lang w:val="es-MX"/>
        </w:rPr>
        <w:t xml:space="preserve"> </w:t>
      </w:r>
      <w:r w:rsidRPr="006B7B0E">
        <w:rPr>
          <w:i/>
          <w:iCs/>
          <w:lang w:val="es-MX"/>
        </w:rPr>
        <w:t>4:00</w:t>
      </w:r>
      <w:r w:rsidR="006C6F09">
        <w:rPr>
          <w:i/>
          <w:iCs/>
          <w:lang w:val="es-MX"/>
        </w:rPr>
        <w:t xml:space="preserve"> </w:t>
      </w:r>
      <w:r w:rsidRPr="006B7B0E">
        <w:rPr>
          <w:i/>
          <w:iCs/>
          <w:lang w:val="es-MX"/>
        </w:rPr>
        <w:t>p.m.</w:t>
      </w:r>
      <w:r w:rsidR="006C6F09">
        <w:rPr>
          <w:i/>
          <w:iCs/>
          <w:lang w:val="es-MX"/>
        </w:rPr>
        <w:t xml:space="preserve"> </w:t>
      </w:r>
      <w:r w:rsidRPr="0042237E">
        <w:rPr>
          <w:i/>
          <w:iCs/>
          <w:lang w:val="es-MX"/>
        </w:rPr>
        <w:t>hora</w:t>
      </w:r>
      <w:r w:rsidR="006C6F09" w:rsidRPr="0042237E">
        <w:rPr>
          <w:i/>
          <w:iCs/>
          <w:lang w:val="es-MX"/>
        </w:rPr>
        <w:t xml:space="preserve"> </w:t>
      </w:r>
      <w:r w:rsidRPr="0042237E">
        <w:rPr>
          <w:i/>
          <w:iCs/>
          <w:lang w:val="es-MX"/>
        </w:rPr>
        <w:t>central,</w:t>
      </w:r>
      <w:r w:rsidR="006C6F09" w:rsidRPr="0042237E">
        <w:rPr>
          <w:i/>
          <w:iCs/>
          <w:lang w:val="es-MX"/>
        </w:rPr>
        <w:t xml:space="preserve"> </w:t>
      </w:r>
      <w:r w:rsidRPr="0042237E">
        <w:rPr>
          <w:i/>
          <w:iCs/>
          <w:highlight w:val="darkGray"/>
          <w:lang w:val="es-MX"/>
        </w:rPr>
        <w:t>[</w:t>
      </w:r>
      <w:proofErr w:type="spellStart"/>
      <w:r w:rsidRPr="0042237E">
        <w:rPr>
          <w:i/>
          <w:iCs/>
          <w:highlight w:val="darkGray"/>
          <w:lang w:val="es-MX"/>
        </w:rPr>
        <w:t>Insert</w:t>
      </w:r>
      <w:proofErr w:type="spellEnd"/>
      <w:r w:rsidR="006C6F09" w:rsidRPr="0042237E">
        <w:rPr>
          <w:i/>
          <w:iCs/>
          <w:highlight w:val="darkGray"/>
          <w:lang w:val="es-MX"/>
        </w:rPr>
        <w:t xml:space="preserve"> </w:t>
      </w:r>
      <w:proofErr w:type="spellStart"/>
      <w:r w:rsidRPr="0042237E">
        <w:rPr>
          <w:i/>
          <w:iCs/>
          <w:highlight w:val="darkGray"/>
          <w:lang w:val="es-MX"/>
        </w:rPr>
        <w:t>text</w:t>
      </w:r>
      <w:proofErr w:type="spellEnd"/>
      <w:r w:rsidR="006C6F09" w:rsidRPr="0042237E">
        <w:rPr>
          <w:i/>
          <w:iCs/>
          <w:highlight w:val="darkGray"/>
          <w:lang w:val="es-MX"/>
        </w:rPr>
        <w:t xml:space="preserve"> </w:t>
      </w:r>
      <w:r w:rsidRPr="0042237E">
        <w:rPr>
          <w:i/>
          <w:iCs/>
          <w:highlight w:val="darkGray"/>
          <w:lang w:val="es-MX"/>
        </w:rPr>
        <w:t>-</w:t>
      </w:r>
      <w:r w:rsidR="006C6F09" w:rsidRPr="0042237E">
        <w:rPr>
          <w:i/>
          <w:iCs/>
          <w:highlight w:val="darkGray"/>
          <w:lang w:val="es-MX"/>
        </w:rPr>
        <w:t xml:space="preserve"> </w:t>
      </w:r>
      <w:proofErr w:type="spellStart"/>
      <w:r w:rsidRPr="0042237E">
        <w:rPr>
          <w:i/>
          <w:iCs/>
          <w:highlight w:val="darkGray"/>
          <w:lang w:val="es-MX"/>
        </w:rPr>
        <w:t>Enter</w:t>
      </w:r>
      <w:proofErr w:type="spellEnd"/>
      <w:r w:rsidR="006C6F09" w:rsidRPr="0042237E">
        <w:rPr>
          <w:i/>
          <w:iCs/>
          <w:highlight w:val="darkGray"/>
          <w:lang w:val="es-MX"/>
        </w:rPr>
        <w:t xml:space="preserve"> </w:t>
      </w:r>
      <w:r w:rsidRPr="0042237E">
        <w:rPr>
          <w:i/>
          <w:iCs/>
          <w:highlight w:val="darkGray"/>
          <w:lang w:val="es-MX"/>
        </w:rPr>
        <w:t>a</w:t>
      </w:r>
      <w:r w:rsidR="006C6F09" w:rsidRPr="0042237E">
        <w:rPr>
          <w:i/>
          <w:iCs/>
          <w:highlight w:val="darkGray"/>
          <w:lang w:val="es-MX"/>
        </w:rPr>
        <w:t xml:space="preserve"> </w:t>
      </w:r>
      <w:proofErr w:type="spellStart"/>
      <w:r w:rsidRPr="0042237E">
        <w:rPr>
          <w:i/>
          <w:iCs/>
          <w:highlight w:val="darkGray"/>
          <w:lang w:val="es-MX"/>
        </w:rPr>
        <w:t>specific</w:t>
      </w:r>
      <w:proofErr w:type="spellEnd"/>
      <w:r w:rsidR="006C6F09" w:rsidRPr="0042237E">
        <w:rPr>
          <w:i/>
          <w:iCs/>
          <w:highlight w:val="darkGray"/>
          <w:lang w:val="es-MX"/>
        </w:rPr>
        <w:t xml:space="preserve"> </w:t>
      </w:r>
      <w:r w:rsidRPr="0042237E">
        <w:rPr>
          <w:i/>
          <w:iCs/>
          <w:highlight w:val="darkGray"/>
          <w:lang w:val="es-MX"/>
        </w:rPr>
        <w:t>date</w:t>
      </w:r>
      <w:r w:rsidR="006C6F09" w:rsidRPr="0042237E">
        <w:rPr>
          <w:i/>
          <w:iCs/>
          <w:highlight w:val="darkGray"/>
          <w:lang w:val="es-MX"/>
        </w:rPr>
        <w:t xml:space="preserve"> </w:t>
      </w:r>
      <w:r w:rsidRPr="0042237E">
        <w:rPr>
          <w:i/>
          <w:iCs/>
          <w:highlight w:val="darkGray"/>
          <w:lang w:val="es-MX"/>
        </w:rPr>
        <w:t>in</w:t>
      </w:r>
      <w:r w:rsidR="006C6F09" w:rsidRPr="0042237E">
        <w:rPr>
          <w:i/>
          <w:iCs/>
          <w:highlight w:val="darkGray"/>
          <w:lang w:val="es-MX"/>
        </w:rPr>
        <w:t xml:space="preserve"> </w:t>
      </w:r>
      <w:proofErr w:type="spellStart"/>
      <w:r w:rsidRPr="0042237E">
        <w:rPr>
          <w:i/>
          <w:iCs/>
          <w:highlight w:val="darkGray"/>
          <w:lang w:val="es-MX"/>
        </w:rPr>
        <w:t>Spanish-language</w:t>
      </w:r>
      <w:proofErr w:type="spellEnd"/>
      <w:r w:rsidR="006C6F09" w:rsidRPr="0042237E">
        <w:rPr>
          <w:i/>
          <w:iCs/>
          <w:highlight w:val="darkGray"/>
          <w:lang w:val="es-MX"/>
        </w:rPr>
        <w:t xml:space="preserve"> </w:t>
      </w:r>
      <w:proofErr w:type="spellStart"/>
      <w:r w:rsidRPr="0042237E">
        <w:rPr>
          <w:i/>
          <w:iCs/>
          <w:highlight w:val="darkGray"/>
          <w:lang w:val="es-MX"/>
        </w:rPr>
        <w:t>format</w:t>
      </w:r>
      <w:proofErr w:type="spellEnd"/>
      <w:r w:rsidR="006C6F09" w:rsidRPr="0042237E">
        <w:rPr>
          <w:i/>
          <w:iCs/>
          <w:highlight w:val="darkGray"/>
          <w:lang w:val="es-MX"/>
        </w:rPr>
        <w:t xml:space="preserve"> </w:t>
      </w:r>
      <w:r w:rsidRPr="0042237E">
        <w:rPr>
          <w:i/>
          <w:iCs/>
          <w:highlight w:val="darkGray"/>
          <w:lang w:val="es-MX"/>
        </w:rPr>
        <w:t>(</w:t>
      </w:r>
      <w:proofErr w:type="spellStart"/>
      <w:r w:rsidRPr="0042237E">
        <w:rPr>
          <w:i/>
          <w:iCs/>
          <w:highlight w:val="darkGray"/>
          <w:lang w:val="es-MX"/>
        </w:rPr>
        <w:t>for</w:t>
      </w:r>
      <w:proofErr w:type="spellEnd"/>
      <w:r w:rsidR="006C6F09" w:rsidRPr="0042237E">
        <w:rPr>
          <w:i/>
          <w:iCs/>
          <w:highlight w:val="darkGray"/>
          <w:lang w:val="es-MX"/>
        </w:rPr>
        <w:t xml:space="preserve"> </w:t>
      </w:r>
      <w:proofErr w:type="spellStart"/>
      <w:r w:rsidRPr="0042237E">
        <w:rPr>
          <w:i/>
          <w:iCs/>
          <w:highlight w:val="darkGray"/>
          <w:lang w:val="es-MX"/>
        </w:rPr>
        <w:t>example</w:t>
      </w:r>
      <w:proofErr w:type="spellEnd"/>
      <w:r w:rsidRPr="0042237E">
        <w:rPr>
          <w:i/>
          <w:iCs/>
          <w:highlight w:val="darkGray"/>
          <w:lang w:val="es-MX"/>
        </w:rPr>
        <w:t>,</w:t>
      </w:r>
      <w:r w:rsidR="006C6F09" w:rsidRPr="0042237E">
        <w:rPr>
          <w:i/>
          <w:iCs/>
          <w:highlight w:val="darkGray"/>
          <w:lang w:val="es-MX"/>
        </w:rPr>
        <w:t xml:space="preserve"> </w:t>
      </w:r>
      <w:r w:rsidRPr="00263E76">
        <w:rPr>
          <w:i/>
          <w:iCs/>
          <w:highlight w:val="darkGray"/>
          <w:lang w:val="es-MX"/>
        </w:rPr>
        <w:t>15</w:t>
      </w:r>
      <w:r w:rsidR="006C6F09" w:rsidRPr="00263E76">
        <w:rPr>
          <w:i/>
          <w:iCs/>
          <w:highlight w:val="darkGray"/>
          <w:lang w:val="es-MX"/>
        </w:rPr>
        <w:t xml:space="preserve"> </w:t>
      </w:r>
      <w:r w:rsidRPr="00263E76">
        <w:rPr>
          <w:i/>
          <w:iCs/>
          <w:highlight w:val="darkGray"/>
          <w:lang w:val="es-MX"/>
        </w:rPr>
        <w:t>de</w:t>
      </w:r>
      <w:r w:rsidR="006C6F09" w:rsidRPr="00263E76">
        <w:rPr>
          <w:i/>
          <w:iCs/>
          <w:highlight w:val="darkGray"/>
          <w:lang w:val="es-MX"/>
        </w:rPr>
        <w:t xml:space="preserve"> </w:t>
      </w:r>
      <w:r w:rsidRPr="00263E76">
        <w:rPr>
          <w:i/>
          <w:iCs/>
          <w:highlight w:val="darkGray"/>
          <w:lang w:val="es-MX"/>
        </w:rPr>
        <w:t>marzo</w:t>
      </w:r>
      <w:r w:rsidR="006C6F09" w:rsidRPr="00263E76">
        <w:rPr>
          <w:i/>
          <w:iCs/>
          <w:highlight w:val="darkGray"/>
          <w:lang w:val="es-MX"/>
        </w:rPr>
        <w:t xml:space="preserve"> </w:t>
      </w:r>
      <w:r w:rsidRPr="0042237E">
        <w:rPr>
          <w:i/>
          <w:iCs/>
          <w:highlight w:val="darkGray"/>
          <w:lang w:val="es-MX"/>
        </w:rPr>
        <w:t>de</w:t>
      </w:r>
      <w:r w:rsidR="006C6F09" w:rsidRPr="0042237E">
        <w:rPr>
          <w:i/>
          <w:iCs/>
          <w:highlight w:val="darkGray"/>
          <w:lang w:val="es-MX"/>
        </w:rPr>
        <w:t xml:space="preserve"> </w:t>
      </w:r>
      <w:r w:rsidRPr="0042237E">
        <w:rPr>
          <w:i/>
          <w:iCs/>
          <w:highlight w:val="darkGray"/>
          <w:lang w:val="es-MX"/>
        </w:rPr>
        <w:t>2026)</w:t>
      </w:r>
      <w:r w:rsidR="006C6F09" w:rsidRPr="0042237E">
        <w:rPr>
          <w:i/>
          <w:iCs/>
          <w:highlight w:val="darkGray"/>
          <w:lang w:val="es-MX"/>
        </w:rPr>
        <w:t xml:space="preserve"> </w:t>
      </w:r>
      <w:proofErr w:type="spellStart"/>
      <w:r w:rsidRPr="0042237E">
        <w:rPr>
          <w:i/>
          <w:iCs/>
          <w:highlight w:val="darkGray"/>
          <w:lang w:val="es-MX"/>
        </w:rPr>
        <w:t>that</w:t>
      </w:r>
      <w:proofErr w:type="spellEnd"/>
      <w:r w:rsidR="006C6F09" w:rsidRPr="0042237E">
        <w:rPr>
          <w:i/>
          <w:iCs/>
          <w:highlight w:val="darkGray"/>
          <w:lang w:val="es-MX"/>
        </w:rPr>
        <w:t xml:space="preserve"> </w:t>
      </w:r>
      <w:proofErr w:type="spellStart"/>
      <w:r w:rsidRPr="0042237E">
        <w:rPr>
          <w:i/>
          <w:iCs/>
          <w:highlight w:val="darkGray"/>
          <w:lang w:val="es-MX"/>
        </w:rPr>
        <w:t>is</w:t>
      </w:r>
      <w:proofErr w:type="spellEnd"/>
      <w:r w:rsidR="006C6F09" w:rsidRPr="0042237E">
        <w:rPr>
          <w:i/>
          <w:iCs/>
          <w:highlight w:val="darkGray"/>
          <w:lang w:val="es-MX"/>
        </w:rPr>
        <w:t xml:space="preserve"> </w:t>
      </w:r>
      <w:r w:rsidRPr="0042237E">
        <w:rPr>
          <w:i/>
          <w:iCs/>
          <w:highlight w:val="darkGray"/>
          <w:lang w:val="es-MX"/>
        </w:rPr>
        <w:t>at</w:t>
      </w:r>
      <w:r w:rsidR="006C6F09" w:rsidRPr="0042237E">
        <w:rPr>
          <w:i/>
          <w:iCs/>
          <w:highlight w:val="darkGray"/>
          <w:lang w:val="es-MX"/>
        </w:rPr>
        <w:t xml:space="preserve"> </w:t>
      </w:r>
      <w:proofErr w:type="spellStart"/>
      <w:r w:rsidRPr="0042237E">
        <w:rPr>
          <w:i/>
          <w:iCs/>
          <w:highlight w:val="darkGray"/>
          <w:lang w:val="es-MX"/>
        </w:rPr>
        <w:t>least</w:t>
      </w:r>
      <w:proofErr w:type="spellEnd"/>
      <w:r w:rsidR="006C6F09" w:rsidRPr="0042237E">
        <w:rPr>
          <w:i/>
          <w:iCs/>
          <w:highlight w:val="darkGray"/>
          <w:lang w:val="es-MX"/>
        </w:rPr>
        <w:t xml:space="preserve"> </w:t>
      </w:r>
      <w:proofErr w:type="spellStart"/>
      <w:r w:rsidRPr="0042237E">
        <w:rPr>
          <w:i/>
          <w:iCs/>
          <w:highlight w:val="darkGray"/>
          <w:lang w:val="es-MX"/>
        </w:rPr>
        <w:t>three</w:t>
      </w:r>
      <w:proofErr w:type="spellEnd"/>
      <w:r w:rsidR="006C6F09" w:rsidRPr="0042237E">
        <w:rPr>
          <w:i/>
          <w:iCs/>
          <w:highlight w:val="darkGray"/>
          <w:lang w:val="es-MX"/>
        </w:rPr>
        <w:t xml:space="preserve"> </w:t>
      </w:r>
      <w:proofErr w:type="spellStart"/>
      <w:r w:rsidRPr="0042237E">
        <w:rPr>
          <w:i/>
          <w:iCs/>
          <w:highlight w:val="darkGray"/>
          <w:lang w:val="es-MX"/>
        </w:rPr>
        <w:t>business</w:t>
      </w:r>
      <w:proofErr w:type="spellEnd"/>
      <w:r w:rsidR="006C6F09" w:rsidRPr="0042237E">
        <w:rPr>
          <w:i/>
          <w:iCs/>
          <w:highlight w:val="darkGray"/>
          <w:lang w:val="es-MX"/>
        </w:rPr>
        <w:t xml:space="preserve"> </w:t>
      </w:r>
      <w:proofErr w:type="spellStart"/>
      <w:r w:rsidRPr="0042237E">
        <w:rPr>
          <w:i/>
          <w:iCs/>
          <w:highlight w:val="darkGray"/>
          <w:lang w:val="es-MX"/>
        </w:rPr>
        <w:t>days</w:t>
      </w:r>
      <w:proofErr w:type="spellEnd"/>
      <w:r w:rsidR="006C6F09" w:rsidRPr="0042237E">
        <w:rPr>
          <w:i/>
          <w:iCs/>
          <w:highlight w:val="darkGray"/>
          <w:lang w:val="es-MX"/>
        </w:rPr>
        <w:t xml:space="preserve"> </w:t>
      </w:r>
      <w:proofErr w:type="spellStart"/>
      <w:r w:rsidRPr="0042237E">
        <w:rPr>
          <w:i/>
          <w:iCs/>
          <w:highlight w:val="darkGray"/>
          <w:lang w:val="es-MX"/>
        </w:rPr>
        <w:t>before</w:t>
      </w:r>
      <w:proofErr w:type="spellEnd"/>
      <w:r w:rsidR="006C6F09" w:rsidRPr="0042237E">
        <w:rPr>
          <w:i/>
          <w:iCs/>
          <w:highlight w:val="darkGray"/>
          <w:lang w:val="es-MX"/>
        </w:rPr>
        <w:t xml:space="preserve"> </w:t>
      </w:r>
      <w:proofErr w:type="spellStart"/>
      <w:r w:rsidRPr="0042237E">
        <w:rPr>
          <w:i/>
          <w:iCs/>
          <w:highlight w:val="darkGray"/>
          <w:lang w:val="es-MX"/>
        </w:rPr>
        <w:t>the</w:t>
      </w:r>
      <w:proofErr w:type="spellEnd"/>
      <w:r w:rsidR="006C6F09" w:rsidRPr="0042237E">
        <w:rPr>
          <w:i/>
          <w:iCs/>
          <w:highlight w:val="darkGray"/>
          <w:lang w:val="es-MX"/>
        </w:rPr>
        <w:t xml:space="preserve"> </w:t>
      </w:r>
      <w:proofErr w:type="spellStart"/>
      <w:r w:rsidRPr="0042237E">
        <w:rPr>
          <w:i/>
          <w:iCs/>
          <w:highlight w:val="darkGray"/>
          <w:lang w:val="es-MX"/>
        </w:rPr>
        <w:t>event</w:t>
      </w:r>
      <w:proofErr w:type="spellEnd"/>
      <w:r w:rsidRPr="0042237E">
        <w:rPr>
          <w:i/>
          <w:iCs/>
          <w:highlight w:val="darkGray"/>
          <w:lang w:val="es-MX"/>
        </w:rPr>
        <w:t>]</w:t>
      </w:r>
      <w:r w:rsidRPr="0042237E">
        <w:rPr>
          <w:i/>
          <w:iCs/>
          <w:lang w:val="es-MX"/>
        </w:rPr>
        <w:t>.</w:t>
      </w:r>
      <w:r w:rsidR="006C6F09" w:rsidRPr="0042237E">
        <w:rPr>
          <w:i/>
          <w:iCs/>
          <w:lang w:val="es-MX"/>
        </w:rPr>
        <w:t xml:space="preserve"> </w:t>
      </w:r>
      <w:r w:rsidRPr="006B7B0E">
        <w:rPr>
          <w:i/>
          <w:iCs/>
          <w:lang w:val="es-MX"/>
        </w:rPr>
        <w:t>Por</w:t>
      </w:r>
      <w:r w:rsidR="006C6F09">
        <w:rPr>
          <w:i/>
          <w:iCs/>
          <w:lang w:val="es-MX"/>
        </w:rPr>
        <w:t xml:space="preserve"> </w:t>
      </w:r>
      <w:r w:rsidRPr="006B7B0E">
        <w:rPr>
          <w:i/>
          <w:iCs/>
          <w:lang w:val="es-MX"/>
        </w:rPr>
        <w:t>favor</w:t>
      </w:r>
      <w:r w:rsidR="006C6F09">
        <w:rPr>
          <w:i/>
          <w:iCs/>
          <w:lang w:val="es-MX"/>
        </w:rPr>
        <w:t xml:space="preserve"> </w:t>
      </w:r>
      <w:r w:rsidRPr="006B7B0E">
        <w:rPr>
          <w:i/>
          <w:iCs/>
          <w:lang w:val="es-MX"/>
        </w:rPr>
        <w:t>sepa</w:t>
      </w:r>
      <w:r w:rsidR="006C6F09">
        <w:rPr>
          <w:i/>
          <w:iCs/>
          <w:lang w:val="es-MX"/>
        </w:rPr>
        <w:t xml:space="preserve"> </w:t>
      </w:r>
      <w:r w:rsidRPr="006B7B0E">
        <w:rPr>
          <w:i/>
          <w:iCs/>
          <w:lang w:val="es-MX"/>
        </w:rPr>
        <w:t>que</w:t>
      </w:r>
      <w:r w:rsidR="006C6F09">
        <w:rPr>
          <w:i/>
          <w:iCs/>
          <w:lang w:val="es-MX"/>
        </w:rPr>
        <w:t xml:space="preserve"> </w:t>
      </w:r>
      <w:r w:rsidRPr="006B7B0E">
        <w:rPr>
          <w:i/>
          <w:iCs/>
          <w:lang w:val="es-MX"/>
        </w:rPr>
        <w:t>es</w:t>
      </w:r>
      <w:r w:rsidR="006C6F09">
        <w:rPr>
          <w:i/>
          <w:iCs/>
          <w:lang w:val="es-MX"/>
        </w:rPr>
        <w:t xml:space="preserve"> </w:t>
      </w:r>
      <w:r w:rsidRPr="006B7B0E">
        <w:rPr>
          <w:i/>
          <w:iCs/>
          <w:lang w:val="es-MX"/>
        </w:rPr>
        <w:t>necesario</w:t>
      </w:r>
      <w:r w:rsidR="006C6F09">
        <w:rPr>
          <w:i/>
          <w:iCs/>
          <w:lang w:val="es-MX"/>
        </w:rPr>
        <w:t xml:space="preserve"> </w:t>
      </w:r>
      <w:r w:rsidRPr="006B7B0E">
        <w:rPr>
          <w:i/>
          <w:iCs/>
          <w:lang w:val="es-MX"/>
        </w:rPr>
        <w:t>dar</w:t>
      </w:r>
      <w:r w:rsidR="006C6F09">
        <w:rPr>
          <w:i/>
          <w:iCs/>
          <w:lang w:val="es-MX"/>
        </w:rPr>
        <w:t xml:space="preserve"> </w:t>
      </w:r>
      <w:r w:rsidRPr="006B7B0E">
        <w:rPr>
          <w:i/>
          <w:iCs/>
          <w:lang w:val="es-MX"/>
        </w:rPr>
        <w:t>aviso</w:t>
      </w:r>
      <w:r w:rsidR="006C6F09">
        <w:rPr>
          <w:i/>
          <w:iCs/>
          <w:lang w:val="es-MX"/>
        </w:rPr>
        <w:t xml:space="preserve"> </w:t>
      </w:r>
      <w:r w:rsidRPr="006B7B0E">
        <w:rPr>
          <w:i/>
          <w:iCs/>
          <w:lang w:val="es-MX"/>
        </w:rPr>
        <w:t>con</w:t>
      </w:r>
      <w:r w:rsidR="006C6F09">
        <w:rPr>
          <w:i/>
          <w:iCs/>
          <w:lang w:val="es-MX"/>
        </w:rPr>
        <w:t xml:space="preserve"> </w:t>
      </w:r>
      <w:r w:rsidRPr="006B7B0E">
        <w:rPr>
          <w:i/>
          <w:iCs/>
          <w:lang w:val="es-MX"/>
        </w:rPr>
        <w:t>anticipación,</w:t>
      </w:r>
      <w:r w:rsidR="006C6F09">
        <w:rPr>
          <w:i/>
          <w:iCs/>
          <w:lang w:val="es-MX"/>
        </w:rPr>
        <w:t xml:space="preserve"> </w:t>
      </w:r>
      <w:r w:rsidRPr="006B7B0E">
        <w:rPr>
          <w:i/>
          <w:iCs/>
          <w:lang w:val="es-MX"/>
        </w:rPr>
        <w:t>ya</w:t>
      </w:r>
      <w:r w:rsidR="006C6F09">
        <w:rPr>
          <w:i/>
          <w:iCs/>
          <w:lang w:val="es-MX"/>
        </w:rPr>
        <w:t xml:space="preserve"> </w:t>
      </w:r>
      <w:r w:rsidRPr="006B7B0E">
        <w:rPr>
          <w:i/>
          <w:iCs/>
          <w:lang w:val="es-MX"/>
        </w:rPr>
        <w:t>que</w:t>
      </w:r>
      <w:r w:rsidR="006C6F09">
        <w:rPr>
          <w:i/>
          <w:iCs/>
          <w:lang w:val="es-MX"/>
        </w:rPr>
        <w:t xml:space="preserve"> </w:t>
      </w:r>
      <w:r w:rsidRPr="006B7B0E">
        <w:rPr>
          <w:i/>
          <w:iCs/>
          <w:lang w:val="es-MX"/>
        </w:rPr>
        <w:t>algunos</w:t>
      </w:r>
      <w:r w:rsidR="006C6F09">
        <w:rPr>
          <w:i/>
          <w:iCs/>
          <w:lang w:val="es-MX"/>
        </w:rPr>
        <w:t xml:space="preserve"> </w:t>
      </w:r>
      <w:r w:rsidRPr="006B7B0E">
        <w:rPr>
          <w:i/>
          <w:iCs/>
          <w:lang w:val="es-MX"/>
        </w:rPr>
        <w:lastRenderedPageBreak/>
        <w:t>servicios</w:t>
      </w:r>
      <w:r w:rsidR="006C6F09">
        <w:rPr>
          <w:i/>
          <w:iCs/>
          <w:lang w:val="es-MX"/>
        </w:rPr>
        <w:t xml:space="preserve"> </w:t>
      </w:r>
      <w:r w:rsidRPr="006B7B0E">
        <w:rPr>
          <w:i/>
          <w:iCs/>
          <w:lang w:val="es-MX"/>
        </w:rPr>
        <w:t>y</w:t>
      </w:r>
      <w:r w:rsidR="006C6F09">
        <w:rPr>
          <w:i/>
          <w:iCs/>
          <w:lang w:val="es-MX"/>
        </w:rPr>
        <w:t xml:space="preserve"> </w:t>
      </w:r>
      <w:r w:rsidRPr="006B7B0E">
        <w:rPr>
          <w:i/>
          <w:iCs/>
          <w:lang w:val="es-MX"/>
        </w:rPr>
        <w:t>adaptaciones</w:t>
      </w:r>
      <w:r w:rsidR="006C6F09">
        <w:rPr>
          <w:i/>
          <w:iCs/>
          <w:lang w:val="es-MX"/>
        </w:rPr>
        <w:t xml:space="preserve"> </w:t>
      </w:r>
      <w:r w:rsidRPr="006B7B0E">
        <w:rPr>
          <w:i/>
          <w:iCs/>
          <w:lang w:val="es-MX"/>
        </w:rPr>
        <w:t>pueden</w:t>
      </w:r>
      <w:r w:rsidR="006C6F09">
        <w:rPr>
          <w:i/>
          <w:iCs/>
          <w:lang w:val="es-MX"/>
        </w:rPr>
        <w:t xml:space="preserve"> </w:t>
      </w:r>
      <w:r w:rsidRPr="006B7B0E">
        <w:rPr>
          <w:i/>
          <w:iCs/>
          <w:lang w:val="es-MX"/>
        </w:rPr>
        <w:t>requerir</w:t>
      </w:r>
      <w:r w:rsidR="006C6F09">
        <w:rPr>
          <w:i/>
          <w:iCs/>
          <w:lang w:val="es-MX"/>
        </w:rPr>
        <w:t xml:space="preserve"> </w:t>
      </w:r>
      <w:r w:rsidRPr="006B7B0E">
        <w:rPr>
          <w:i/>
          <w:iCs/>
          <w:lang w:val="es-MX"/>
        </w:rPr>
        <w:t>tiempo</w:t>
      </w:r>
      <w:r w:rsidR="006C6F09">
        <w:rPr>
          <w:i/>
          <w:iCs/>
          <w:lang w:val="es-MX"/>
        </w:rPr>
        <w:t xml:space="preserve"> </w:t>
      </w:r>
      <w:r w:rsidRPr="006B7B0E">
        <w:rPr>
          <w:i/>
          <w:iCs/>
          <w:lang w:val="es-MX"/>
        </w:rPr>
        <w:t>para</w:t>
      </w:r>
      <w:r w:rsidR="006C6F09">
        <w:rPr>
          <w:i/>
          <w:iCs/>
          <w:lang w:val="es-MX"/>
        </w:rPr>
        <w:t xml:space="preserve"> </w:t>
      </w:r>
      <w:r w:rsidRPr="006B7B0E">
        <w:rPr>
          <w:i/>
          <w:iCs/>
          <w:lang w:val="es-MX"/>
        </w:rPr>
        <w:t>que</w:t>
      </w:r>
      <w:r w:rsidR="006C6F09">
        <w:rPr>
          <w:i/>
          <w:iCs/>
          <w:lang w:val="es-MX"/>
        </w:rPr>
        <w:t xml:space="preserve"> </w:t>
      </w:r>
      <w:r w:rsidRPr="0042237E">
        <w:rPr>
          <w:i/>
          <w:iCs/>
          <w:lang w:val="es-ES"/>
        </w:rPr>
        <w:t>TxDOT</w:t>
      </w:r>
      <w:r w:rsidR="006C6F09">
        <w:rPr>
          <w:i/>
          <w:iCs/>
          <w:lang w:val="es-MX"/>
        </w:rPr>
        <w:t xml:space="preserve"> </w:t>
      </w:r>
      <w:r w:rsidRPr="006B7B0E">
        <w:rPr>
          <w:i/>
          <w:iCs/>
          <w:lang w:val="es-MX"/>
        </w:rPr>
        <w:t>los</w:t>
      </w:r>
      <w:r w:rsidR="006C6F09">
        <w:rPr>
          <w:i/>
          <w:iCs/>
          <w:lang w:val="es-MX"/>
        </w:rPr>
        <w:t xml:space="preserve"> </w:t>
      </w:r>
      <w:r w:rsidRPr="006B7B0E">
        <w:rPr>
          <w:i/>
          <w:iCs/>
          <w:lang w:val="es-MX"/>
        </w:rPr>
        <w:t>organice.</w:t>
      </w:r>
    </w:p>
    <w:p w14:paraId="75CA7BA5" w14:textId="4B4CCADA" w:rsidR="00457754" w:rsidRPr="002255B4" w:rsidRDefault="00457754" w:rsidP="00457754">
      <w:pPr>
        <w:pStyle w:val="ListBullet"/>
      </w:pPr>
      <w:r w:rsidRPr="002255B4">
        <w:t>Include</w:t>
      </w:r>
      <w:r w:rsidR="006C6F09">
        <w:t xml:space="preserve"> </w:t>
      </w:r>
      <w:r w:rsidRPr="002255B4">
        <w:t>a</w:t>
      </w:r>
      <w:r w:rsidR="006C6F09">
        <w:t xml:space="preserve"> </w:t>
      </w:r>
      <w:r w:rsidRPr="002255B4">
        <w:t>map</w:t>
      </w:r>
      <w:r w:rsidR="006C6F09">
        <w:t xml:space="preserve"> </w:t>
      </w:r>
      <w:r w:rsidRPr="002255B4">
        <w:t>showing</w:t>
      </w:r>
      <w:r w:rsidR="006C6F09">
        <w:t xml:space="preserve"> </w:t>
      </w:r>
      <w:r w:rsidRPr="002255B4">
        <w:t>the</w:t>
      </w:r>
      <w:r w:rsidR="006C6F09">
        <w:t xml:space="preserve"> </w:t>
      </w:r>
      <w:r w:rsidRPr="002255B4">
        <w:t>location</w:t>
      </w:r>
      <w:r w:rsidR="006C6F09">
        <w:t xml:space="preserve"> </w:t>
      </w:r>
      <w:r w:rsidRPr="002255B4">
        <w:t>of</w:t>
      </w:r>
      <w:r w:rsidR="006C6F09">
        <w:t xml:space="preserve"> </w:t>
      </w:r>
      <w:r w:rsidRPr="002255B4">
        <w:t>the</w:t>
      </w:r>
      <w:r w:rsidR="006C6F09">
        <w:t xml:space="preserve"> </w:t>
      </w:r>
      <w:r w:rsidRPr="002255B4">
        <w:t>public</w:t>
      </w:r>
      <w:r w:rsidR="006C6F09">
        <w:t xml:space="preserve"> </w:t>
      </w:r>
      <w:r w:rsidRPr="002255B4">
        <w:t>hearing</w:t>
      </w:r>
      <w:r w:rsidR="006C6F09">
        <w:t xml:space="preserve"> </w:t>
      </w:r>
      <w:r w:rsidRPr="002255B4">
        <w:t>(optional).</w:t>
      </w:r>
    </w:p>
    <w:p w14:paraId="73F6646C" w14:textId="336D3B27" w:rsidR="00457754" w:rsidRPr="002255B4" w:rsidRDefault="00457754" w:rsidP="00457754">
      <w:pPr>
        <w:pStyle w:val="ListBullet"/>
      </w:pPr>
      <w:r w:rsidRPr="002255B4">
        <w:t>Include</w:t>
      </w:r>
      <w:r w:rsidR="006C6F09">
        <w:t xml:space="preserve"> </w:t>
      </w:r>
      <w:r w:rsidRPr="002255B4">
        <w:t>a</w:t>
      </w:r>
      <w:r w:rsidR="006C6F09">
        <w:t xml:space="preserve"> </w:t>
      </w:r>
      <w:r w:rsidRPr="002255B4">
        <w:t>statement</w:t>
      </w:r>
      <w:r w:rsidR="006C6F09">
        <w:t xml:space="preserve"> </w:t>
      </w:r>
      <w:r w:rsidRPr="002255B4">
        <w:t>identifying</w:t>
      </w:r>
      <w:r w:rsidR="006C6F09">
        <w:t xml:space="preserve"> </w:t>
      </w:r>
      <w:r w:rsidRPr="002255B4">
        <w:t>a</w:t>
      </w:r>
      <w:r w:rsidR="006C6F09">
        <w:t xml:space="preserve"> </w:t>
      </w:r>
      <w:r w:rsidRPr="002255B4">
        <w:t>contact</w:t>
      </w:r>
      <w:r w:rsidR="006C6F09">
        <w:t xml:space="preserve"> </w:t>
      </w:r>
      <w:r w:rsidRPr="002255B4">
        <w:t>person</w:t>
      </w:r>
      <w:r w:rsidR="006C6F09">
        <w:t xml:space="preserve"> </w:t>
      </w:r>
      <w:r w:rsidRPr="002255B4">
        <w:t>or</w:t>
      </w:r>
      <w:r w:rsidR="006C6F09">
        <w:t xml:space="preserve"> </w:t>
      </w:r>
      <w:r w:rsidRPr="002255B4">
        <w:t>office</w:t>
      </w:r>
      <w:r w:rsidR="006C6F09">
        <w:t xml:space="preserve"> </w:t>
      </w:r>
      <w:r w:rsidRPr="002255B4">
        <w:t>for</w:t>
      </w:r>
      <w:r w:rsidR="006C6F09">
        <w:t xml:space="preserve"> </w:t>
      </w:r>
      <w:r w:rsidRPr="002255B4">
        <w:t>questions.</w:t>
      </w:r>
    </w:p>
    <w:p w14:paraId="4E776A43" w14:textId="4C91E46A" w:rsidR="00457754" w:rsidRPr="002255B4" w:rsidRDefault="00457754" w:rsidP="00457754">
      <w:pPr>
        <w:pStyle w:val="ListBullet"/>
      </w:pPr>
      <w:r w:rsidRPr="002255B4">
        <w:t>For</w:t>
      </w:r>
      <w:r w:rsidR="006C6F09">
        <w:t xml:space="preserve"> </w:t>
      </w:r>
      <w:r w:rsidRPr="002255B4">
        <w:t>federal</w:t>
      </w:r>
      <w:r w:rsidR="006C6F09">
        <w:t xml:space="preserve"> </w:t>
      </w:r>
      <w:r w:rsidRPr="002255B4">
        <w:t>assigned</w:t>
      </w:r>
      <w:r w:rsidR="006C6F09">
        <w:t xml:space="preserve"> </w:t>
      </w:r>
      <w:r w:rsidRPr="002255B4">
        <w:t>projects</w:t>
      </w:r>
      <w:r w:rsidR="006C6F09">
        <w:t xml:space="preserve"> </w:t>
      </w:r>
      <w:r w:rsidRPr="002255B4">
        <w:t>in</w:t>
      </w:r>
      <w:r w:rsidR="006C6F09">
        <w:t xml:space="preserve"> </w:t>
      </w:r>
      <w:r w:rsidRPr="002255B4">
        <w:t>accordance</w:t>
      </w:r>
      <w:r w:rsidR="006C6F09">
        <w:t xml:space="preserve"> </w:t>
      </w:r>
      <w:r w:rsidRPr="002255B4">
        <w:t>with</w:t>
      </w:r>
      <w:r w:rsidR="006C6F09">
        <w:t xml:space="preserve"> </w:t>
      </w:r>
      <w:r w:rsidRPr="002255B4">
        <w:t>the</w:t>
      </w:r>
      <w:r w:rsidR="006C6F09">
        <w:t xml:space="preserve"> </w:t>
      </w:r>
      <w:r w:rsidRPr="002255B4">
        <w:t>Assignment</w:t>
      </w:r>
      <w:r w:rsidR="006C6F09">
        <w:t xml:space="preserve"> </w:t>
      </w:r>
      <w:r w:rsidRPr="002255B4">
        <w:t>MOU,</w:t>
      </w:r>
      <w:r w:rsidR="006C6F09">
        <w:t xml:space="preserve"> </w:t>
      </w:r>
      <w:r w:rsidRPr="002255B4">
        <w:t>the</w:t>
      </w:r>
      <w:r w:rsidR="006C6F09">
        <w:t xml:space="preserve"> </w:t>
      </w:r>
      <w:r w:rsidRPr="002255B4">
        <w:t>following</w:t>
      </w:r>
      <w:r w:rsidR="006C6F09">
        <w:t xml:space="preserve"> </w:t>
      </w:r>
      <w:r w:rsidRPr="002255B4">
        <w:t>language</w:t>
      </w:r>
      <w:r w:rsidR="006C6F09">
        <w:t xml:space="preserve"> </w:t>
      </w:r>
      <w:r w:rsidRPr="002255B4">
        <w:t>must</w:t>
      </w:r>
      <w:r w:rsidR="006C6F09">
        <w:t xml:space="preserve"> </w:t>
      </w:r>
      <w:r w:rsidRPr="002255B4">
        <w:t>be</w:t>
      </w:r>
      <w:r w:rsidR="006C6F09">
        <w:t xml:space="preserve"> </w:t>
      </w:r>
      <w:r w:rsidRPr="002255B4">
        <w:t>included</w:t>
      </w:r>
      <w:r w:rsidR="006C6F09">
        <w:t xml:space="preserve"> </w:t>
      </w:r>
      <w:r w:rsidRPr="002255B4">
        <w:t>in</w:t>
      </w:r>
      <w:r w:rsidR="006C6F09">
        <w:t xml:space="preserve"> </w:t>
      </w:r>
      <w:r w:rsidRPr="002255B4">
        <w:t>the</w:t>
      </w:r>
      <w:r w:rsidR="006C6F09">
        <w:t xml:space="preserve"> </w:t>
      </w:r>
      <w:r w:rsidRPr="002255B4">
        <w:t>public</w:t>
      </w:r>
      <w:r w:rsidR="006C6F09">
        <w:t xml:space="preserve"> </w:t>
      </w:r>
      <w:r w:rsidRPr="002255B4">
        <w:t>notice.</w:t>
      </w:r>
    </w:p>
    <w:p w14:paraId="56345CE3" w14:textId="1ECF5FDE" w:rsidR="00457754" w:rsidRPr="00BD6709" w:rsidRDefault="00457754" w:rsidP="00457754">
      <w:pPr>
        <w:rPr>
          <w:i/>
          <w:iCs/>
        </w:rPr>
      </w:pPr>
      <w:r w:rsidRPr="00BD6709">
        <w:rPr>
          <w:i/>
          <w:iCs/>
        </w:rPr>
        <w:t>The</w:t>
      </w:r>
      <w:r w:rsidR="006C6F09">
        <w:rPr>
          <w:i/>
          <w:iCs/>
        </w:rPr>
        <w:t xml:space="preserve"> </w:t>
      </w:r>
      <w:r w:rsidRPr="00BD6709">
        <w:rPr>
          <w:i/>
          <w:iCs/>
        </w:rPr>
        <w:t>environmental</w:t>
      </w:r>
      <w:r w:rsidR="006C6F09">
        <w:rPr>
          <w:i/>
          <w:iCs/>
        </w:rPr>
        <w:t xml:space="preserve"> </w:t>
      </w:r>
      <w:r w:rsidRPr="00BD6709">
        <w:rPr>
          <w:i/>
          <w:iCs/>
        </w:rPr>
        <w:t>review,</w:t>
      </w:r>
      <w:r w:rsidR="006C6F09">
        <w:rPr>
          <w:i/>
          <w:iCs/>
        </w:rPr>
        <w:t xml:space="preserve"> </w:t>
      </w:r>
      <w:r w:rsidRPr="00BD6709">
        <w:rPr>
          <w:i/>
          <w:iCs/>
        </w:rPr>
        <w:t>consultation,</w:t>
      </w:r>
      <w:r w:rsidR="006C6F09">
        <w:rPr>
          <w:i/>
          <w:iCs/>
        </w:rPr>
        <w:t xml:space="preserve"> </w:t>
      </w:r>
      <w:r w:rsidRPr="00BD6709">
        <w:rPr>
          <w:i/>
          <w:iCs/>
        </w:rPr>
        <w:t>and</w:t>
      </w:r>
      <w:r w:rsidR="006C6F09">
        <w:rPr>
          <w:i/>
          <w:iCs/>
        </w:rPr>
        <w:t xml:space="preserve"> </w:t>
      </w:r>
      <w:r w:rsidRPr="00BD6709">
        <w:rPr>
          <w:i/>
          <w:iCs/>
        </w:rPr>
        <w:t>other</w:t>
      </w:r>
      <w:r w:rsidR="006C6F09">
        <w:rPr>
          <w:i/>
          <w:iCs/>
        </w:rPr>
        <w:t xml:space="preserve"> </w:t>
      </w:r>
      <w:r w:rsidRPr="00BD6709">
        <w:rPr>
          <w:i/>
          <w:iCs/>
        </w:rPr>
        <w:t>actions</w:t>
      </w:r>
      <w:r w:rsidR="006C6F09">
        <w:rPr>
          <w:i/>
          <w:iCs/>
        </w:rPr>
        <w:t xml:space="preserve"> </w:t>
      </w:r>
      <w:r w:rsidRPr="00BD6709">
        <w:rPr>
          <w:i/>
          <w:iCs/>
        </w:rPr>
        <w:t>required</w:t>
      </w:r>
      <w:r w:rsidR="006C6F09">
        <w:rPr>
          <w:i/>
          <w:iCs/>
        </w:rPr>
        <w:t xml:space="preserve"> </w:t>
      </w:r>
      <w:r w:rsidRPr="00BD6709">
        <w:rPr>
          <w:i/>
          <w:iCs/>
        </w:rPr>
        <w:t>by</w:t>
      </w:r>
      <w:r w:rsidR="006C6F09">
        <w:rPr>
          <w:i/>
          <w:iCs/>
        </w:rPr>
        <w:t xml:space="preserve"> </w:t>
      </w:r>
      <w:r w:rsidRPr="00BD6709">
        <w:rPr>
          <w:i/>
          <w:iCs/>
        </w:rPr>
        <w:t>applicable</w:t>
      </w:r>
      <w:r w:rsidR="006C6F09">
        <w:rPr>
          <w:i/>
          <w:iCs/>
        </w:rPr>
        <w:t xml:space="preserve"> </w:t>
      </w:r>
      <w:r w:rsidRPr="00BD6709">
        <w:rPr>
          <w:i/>
          <w:iCs/>
        </w:rPr>
        <w:t>Federal</w:t>
      </w:r>
      <w:r w:rsidR="006C6F09">
        <w:rPr>
          <w:i/>
          <w:iCs/>
        </w:rPr>
        <w:t xml:space="preserve"> </w:t>
      </w:r>
      <w:r w:rsidRPr="00BD6709">
        <w:rPr>
          <w:i/>
          <w:iCs/>
        </w:rPr>
        <w:t>environmental</w:t>
      </w:r>
      <w:r w:rsidR="006C6F09">
        <w:rPr>
          <w:i/>
          <w:iCs/>
        </w:rPr>
        <w:t xml:space="preserve"> </w:t>
      </w:r>
      <w:r w:rsidRPr="00BD6709">
        <w:rPr>
          <w:i/>
          <w:iCs/>
        </w:rPr>
        <w:t>laws</w:t>
      </w:r>
      <w:r w:rsidR="006C6F09">
        <w:rPr>
          <w:i/>
          <w:iCs/>
        </w:rPr>
        <w:t xml:space="preserve"> </w:t>
      </w:r>
      <w:r w:rsidRPr="00BD6709">
        <w:rPr>
          <w:i/>
          <w:iCs/>
        </w:rPr>
        <w:t>for</w:t>
      </w:r>
      <w:r w:rsidR="006C6F09">
        <w:rPr>
          <w:i/>
          <w:iCs/>
        </w:rPr>
        <w:t xml:space="preserve"> </w:t>
      </w:r>
      <w:r w:rsidRPr="00BD6709">
        <w:rPr>
          <w:i/>
          <w:iCs/>
        </w:rPr>
        <w:t>this</w:t>
      </w:r>
      <w:r w:rsidR="006C6F09">
        <w:rPr>
          <w:i/>
          <w:iCs/>
        </w:rPr>
        <w:t xml:space="preserve"> </w:t>
      </w:r>
      <w:r w:rsidRPr="00BD6709">
        <w:rPr>
          <w:i/>
          <w:iCs/>
        </w:rPr>
        <w:t>project</w:t>
      </w:r>
      <w:r w:rsidR="006C6F09">
        <w:rPr>
          <w:i/>
          <w:iCs/>
        </w:rPr>
        <w:t xml:space="preserve"> </w:t>
      </w:r>
      <w:r w:rsidRPr="00BD6709">
        <w:rPr>
          <w:i/>
          <w:iCs/>
        </w:rPr>
        <w:t>are</w:t>
      </w:r>
      <w:r w:rsidR="006C6F09">
        <w:rPr>
          <w:i/>
          <w:iCs/>
        </w:rPr>
        <w:t xml:space="preserve"> </w:t>
      </w:r>
      <w:r w:rsidRPr="00BD6709">
        <w:rPr>
          <w:i/>
          <w:iCs/>
        </w:rPr>
        <w:t>being,</w:t>
      </w:r>
      <w:r w:rsidR="006C6F09">
        <w:rPr>
          <w:i/>
          <w:iCs/>
        </w:rPr>
        <w:t xml:space="preserve"> </w:t>
      </w:r>
      <w:r w:rsidRPr="00BD6709">
        <w:rPr>
          <w:i/>
          <w:iCs/>
        </w:rPr>
        <w:t>or</w:t>
      </w:r>
      <w:r w:rsidR="006C6F09">
        <w:rPr>
          <w:i/>
          <w:iCs/>
        </w:rPr>
        <w:t xml:space="preserve"> </w:t>
      </w:r>
      <w:r w:rsidRPr="00BD6709">
        <w:rPr>
          <w:i/>
          <w:iCs/>
        </w:rPr>
        <w:t>have</w:t>
      </w:r>
      <w:r w:rsidR="006C6F09">
        <w:rPr>
          <w:i/>
          <w:iCs/>
        </w:rPr>
        <w:t xml:space="preserve"> </w:t>
      </w:r>
      <w:r w:rsidRPr="00BD6709">
        <w:rPr>
          <w:i/>
          <w:iCs/>
        </w:rPr>
        <w:t>been,</w:t>
      </w:r>
      <w:r w:rsidR="006C6F09">
        <w:rPr>
          <w:i/>
          <w:iCs/>
        </w:rPr>
        <w:t xml:space="preserve"> </w:t>
      </w:r>
      <w:r w:rsidR="003651C6" w:rsidRPr="00BD6709">
        <w:rPr>
          <w:i/>
          <w:iCs/>
        </w:rPr>
        <w:t>carried</w:t>
      </w:r>
      <w:r w:rsidR="003651C6">
        <w:rPr>
          <w:i/>
          <w:iCs/>
        </w:rPr>
        <w:t xml:space="preserve"> out</w:t>
      </w:r>
      <w:r w:rsidR="006C6F09">
        <w:rPr>
          <w:i/>
          <w:iCs/>
        </w:rPr>
        <w:t xml:space="preserve"> </w:t>
      </w:r>
      <w:r w:rsidRPr="00BD6709">
        <w:rPr>
          <w:i/>
          <w:iCs/>
        </w:rPr>
        <w:t>by</w:t>
      </w:r>
      <w:r w:rsidR="006C6F09">
        <w:rPr>
          <w:i/>
          <w:iCs/>
        </w:rPr>
        <w:t xml:space="preserve"> </w:t>
      </w:r>
      <w:r w:rsidRPr="00BD6709">
        <w:rPr>
          <w:i/>
          <w:iCs/>
        </w:rPr>
        <w:t>TxDOT</w:t>
      </w:r>
      <w:r w:rsidR="006C6F09">
        <w:rPr>
          <w:i/>
          <w:iCs/>
        </w:rPr>
        <w:t xml:space="preserve"> </w:t>
      </w:r>
      <w:r w:rsidRPr="00BD6709">
        <w:rPr>
          <w:i/>
          <w:iCs/>
        </w:rPr>
        <w:t>pursuant</w:t>
      </w:r>
      <w:r w:rsidR="006C6F09">
        <w:rPr>
          <w:i/>
          <w:iCs/>
        </w:rPr>
        <w:t xml:space="preserve"> </w:t>
      </w:r>
      <w:r w:rsidRPr="00BD6709">
        <w:rPr>
          <w:i/>
          <w:iCs/>
        </w:rPr>
        <w:t>to</w:t>
      </w:r>
      <w:r w:rsidR="006C6F09">
        <w:rPr>
          <w:i/>
          <w:iCs/>
        </w:rPr>
        <w:t xml:space="preserve"> </w:t>
      </w:r>
      <w:r w:rsidRPr="00BD6709">
        <w:rPr>
          <w:i/>
          <w:iCs/>
        </w:rPr>
        <w:t>23</w:t>
      </w:r>
      <w:r w:rsidR="006C6F09">
        <w:rPr>
          <w:i/>
          <w:iCs/>
        </w:rPr>
        <w:t xml:space="preserve"> </w:t>
      </w:r>
      <w:r w:rsidRPr="00BD6709">
        <w:rPr>
          <w:i/>
          <w:iCs/>
        </w:rPr>
        <w:t>U.S.C.</w:t>
      </w:r>
      <w:r w:rsidR="006C6F09">
        <w:rPr>
          <w:i/>
          <w:iCs/>
        </w:rPr>
        <w:t xml:space="preserve"> </w:t>
      </w:r>
      <w:r w:rsidRPr="00BD6709">
        <w:rPr>
          <w:i/>
          <w:iCs/>
        </w:rPr>
        <w:t>327</w:t>
      </w:r>
      <w:r w:rsidR="006C6F09">
        <w:rPr>
          <w:i/>
          <w:iCs/>
        </w:rPr>
        <w:t xml:space="preserve"> </w:t>
      </w:r>
      <w:r w:rsidRPr="00BD6709">
        <w:rPr>
          <w:i/>
          <w:iCs/>
        </w:rPr>
        <w:t>and</w:t>
      </w:r>
      <w:r w:rsidR="006C6F09">
        <w:rPr>
          <w:i/>
          <w:iCs/>
        </w:rPr>
        <w:t xml:space="preserve"> </w:t>
      </w:r>
      <w:r w:rsidRPr="00BD6709">
        <w:rPr>
          <w:i/>
          <w:iCs/>
        </w:rPr>
        <w:t>a</w:t>
      </w:r>
      <w:r w:rsidR="006C6F09">
        <w:rPr>
          <w:i/>
          <w:iCs/>
        </w:rPr>
        <w:t xml:space="preserve"> </w:t>
      </w:r>
      <w:r w:rsidRPr="00BD6709">
        <w:rPr>
          <w:i/>
          <w:iCs/>
        </w:rPr>
        <w:t>Memorandum</w:t>
      </w:r>
      <w:r w:rsidR="006C6F09">
        <w:rPr>
          <w:i/>
          <w:iCs/>
        </w:rPr>
        <w:t xml:space="preserve"> </w:t>
      </w:r>
      <w:r w:rsidRPr="00BD6709">
        <w:rPr>
          <w:i/>
          <w:iCs/>
        </w:rPr>
        <w:t>of</w:t>
      </w:r>
      <w:r w:rsidR="006C6F09">
        <w:rPr>
          <w:i/>
          <w:iCs/>
        </w:rPr>
        <w:t xml:space="preserve"> </w:t>
      </w:r>
      <w:r w:rsidRPr="00BD6709">
        <w:rPr>
          <w:i/>
          <w:iCs/>
        </w:rPr>
        <w:t>Understanding</w:t>
      </w:r>
      <w:r w:rsidR="006C6F09">
        <w:rPr>
          <w:i/>
          <w:iCs/>
        </w:rPr>
        <w:t xml:space="preserve"> </w:t>
      </w:r>
      <w:r w:rsidRPr="00BD6709">
        <w:rPr>
          <w:i/>
          <w:iCs/>
        </w:rPr>
        <w:t>dated</w:t>
      </w:r>
      <w:r w:rsidR="006C6F09">
        <w:rPr>
          <w:i/>
          <w:iCs/>
        </w:rPr>
        <w:t xml:space="preserve"> </w:t>
      </w:r>
      <w:r w:rsidRPr="00BD6709">
        <w:rPr>
          <w:i/>
          <w:iCs/>
        </w:rPr>
        <w:t>July</w:t>
      </w:r>
      <w:r w:rsidR="006C6F09">
        <w:rPr>
          <w:i/>
          <w:iCs/>
        </w:rPr>
        <w:t xml:space="preserve"> </w:t>
      </w:r>
      <w:r w:rsidRPr="00BD6709">
        <w:rPr>
          <w:i/>
          <w:iCs/>
        </w:rPr>
        <w:t>17,</w:t>
      </w:r>
      <w:r w:rsidR="006C6F09">
        <w:rPr>
          <w:i/>
          <w:iCs/>
        </w:rPr>
        <w:t xml:space="preserve"> </w:t>
      </w:r>
      <w:r w:rsidRPr="00BD6709">
        <w:rPr>
          <w:i/>
          <w:iCs/>
        </w:rPr>
        <w:t>2025,</w:t>
      </w:r>
      <w:r w:rsidR="006C6F09">
        <w:rPr>
          <w:i/>
          <w:iCs/>
        </w:rPr>
        <w:t xml:space="preserve"> </w:t>
      </w:r>
      <w:r w:rsidRPr="00BD6709">
        <w:rPr>
          <w:i/>
          <w:iCs/>
        </w:rPr>
        <w:t>and</w:t>
      </w:r>
      <w:r w:rsidR="006C6F09">
        <w:rPr>
          <w:i/>
          <w:iCs/>
        </w:rPr>
        <w:t xml:space="preserve"> </w:t>
      </w:r>
      <w:r w:rsidRPr="00BD6709">
        <w:rPr>
          <w:i/>
          <w:iCs/>
        </w:rPr>
        <w:t>executed</w:t>
      </w:r>
      <w:r w:rsidR="006C6F09">
        <w:rPr>
          <w:i/>
          <w:iCs/>
        </w:rPr>
        <w:t xml:space="preserve"> </w:t>
      </w:r>
      <w:r w:rsidRPr="00BD6709">
        <w:rPr>
          <w:i/>
          <w:iCs/>
        </w:rPr>
        <w:t>by</w:t>
      </w:r>
      <w:r w:rsidR="006C6F09">
        <w:rPr>
          <w:i/>
          <w:iCs/>
        </w:rPr>
        <w:t xml:space="preserve"> </w:t>
      </w:r>
      <w:r w:rsidRPr="00BD6709">
        <w:rPr>
          <w:i/>
          <w:iCs/>
        </w:rPr>
        <w:t>FHWA</w:t>
      </w:r>
      <w:r w:rsidR="006C6F09">
        <w:rPr>
          <w:i/>
          <w:iCs/>
        </w:rPr>
        <w:t xml:space="preserve"> </w:t>
      </w:r>
      <w:r w:rsidRPr="00BD6709">
        <w:rPr>
          <w:i/>
          <w:iCs/>
        </w:rPr>
        <w:t>and</w:t>
      </w:r>
      <w:r w:rsidR="006C6F09">
        <w:rPr>
          <w:i/>
          <w:iCs/>
        </w:rPr>
        <w:t xml:space="preserve"> </w:t>
      </w:r>
      <w:r w:rsidRPr="00BD6709">
        <w:rPr>
          <w:i/>
          <w:iCs/>
        </w:rPr>
        <w:t>TxDOT.</w:t>
      </w:r>
      <w:r w:rsidR="006C6F09">
        <w:rPr>
          <w:i/>
          <w:iCs/>
        </w:rPr>
        <w:t xml:space="preserve"> </w:t>
      </w:r>
    </w:p>
    <w:p w14:paraId="31DC546C" w14:textId="1241BBB2" w:rsidR="00457754" w:rsidRDefault="00457754" w:rsidP="00457754">
      <w:r>
        <w:t>The</w:t>
      </w:r>
      <w:r w:rsidR="006C6F09">
        <w:t xml:space="preserve"> </w:t>
      </w:r>
      <w:r>
        <w:t>notice</w:t>
      </w:r>
      <w:r w:rsidR="006C6F09">
        <w:t xml:space="preserve"> </w:t>
      </w:r>
      <w:r>
        <w:t>must</w:t>
      </w:r>
      <w:r w:rsidR="006C6F09">
        <w:t xml:space="preserve"> </w:t>
      </w:r>
      <w:r>
        <w:t>also</w:t>
      </w:r>
      <w:r w:rsidR="006C6F09">
        <w:t xml:space="preserve"> </w:t>
      </w:r>
      <w:r>
        <w:t>be</w:t>
      </w:r>
      <w:r w:rsidR="006C6F09">
        <w:t xml:space="preserve"> </w:t>
      </w:r>
      <w:r>
        <w:t>posted</w:t>
      </w:r>
      <w:r w:rsidR="006C6F09">
        <w:t xml:space="preserve"> </w:t>
      </w:r>
      <w:r>
        <w:t>on</w:t>
      </w:r>
      <w:r w:rsidR="006C6F09">
        <w:t xml:space="preserve"> </w:t>
      </w:r>
      <w:r>
        <w:t>the</w:t>
      </w:r>
      <w:r w:rsidR="006C6F09">
        <w:t xml:space="preserve"> </w:t>
      </w:r>
      <w:r>
        <w:t>“Hearings,</w:t>
      </w:r>
      <w:r w:rsidR="006C6F09">
        <w:t xml:space="preserve"> </w:t>
      </w:r>
      <w:r>
        <w:t>meetings</w:t>
      </w:r>
      <w:r w:rsidR="006C6F09">
        <w:t xml:space="preserve"> </w:t>
      </w:r>
      <w:r>
        <w:t>and</w:t>
      </w:r>
      <w:r w:rsidR="006C6F09">
        <w:t xml:space="preserve"> </w:t>
      </w:r>
      <w:r>
        <w:t>notices</w:t>
      </w:r>
      <w:r w:rsidR="006C6F09">
        <w:t xml:space="preserve"> </w:t>
      </w:r>
      <w:r>
        <w:t>schedule”</w:t>
      </w:r>
      <w:r w:rsidR="006C6F09">
        <w:t xml:space="preserve"> </w:t>
      </w:r>
      <w:r>
        <w:t>web</w:t>
      </w:r>
      <w:r w:rsidR="006C6F09">
        <w:t xml:space="preserve"> </w:t>
      </w:r>
      <w:r>
        <w:t>page</w:t>
      </w:r>
      <w:r w:rsidR="006C6F09">
        <w:t xml:space="preserve"> </w:t>
      </w:r>
      <w:r>
        <w:t>on</w:t>
      </w:r>
      <w:r w:rsidR="006C6F09">
        <w:t xml:space="preserve"> </w:t>
      </w:r>
      <w:r>
        <w:t>txdot.gov</w:t>
      </w:r>
      <w:r w:rsidR="006C6F09">
        <w:t xml:space="preserve"> </w:t>
      </w:r>
      <w:r>
        <w:t>15</w:t>
      </w:r>
      <w:r w:rsidR="006C6F09">
        <w:t xml:space="preserve"> </w:t>
      </w:r>
      <w:r>
        <w:t>calendar</w:t>
      </w:r>
      <w:r w:rsidR="006C6F09">
        <w:t xml:space="preserve"> </w:t>
      </w:r>
      <w:r>
        <w:t>days</w:t>
      </w:r>
      <w:r w:rsidR="006C6F09">
        <w:t xml:space="preserve"> </w:t>
      </w:r>
      <w:r>
        <w:t>before</w:t>
      </w:r>
      <w:r w:rsidR="006C6F09">
        <w:t xml:space="preserve"> </w:t>
      </w:r>
      <w:r>
        <w:t>the</w:t>
      </w:r>
      <w:r w:rsidR="006C6F09">
        <w:t xml:space="preserve"> </w:t>
      </w:r>
      <w:r>
        <w:t>hearing.</w:t>
      </w:r>
    </w:p>
    <w:p w14:paraId="6C9F728C" w14:textId="490D9530" w:rsidR="00457754" w:rsidRDefault="00457754" w:rsidP="00457754">
      <w:r>
        <w:t>Keep</w:t>
      </w:r>
      <w:r w:rsidR="006C6F09">
        <w:t xml:space="preserve"> </w:t>
      </w:r>
      <w:r>
        <w:t>in</w:t>
      </w:r>
      <w:r w:rsidR="006C6F09">
        <w:t xml:space="preserve"> </w:t>
      </w:r>
      <w:r>
        <w:t>mind</w:t>
      </w:r>
      <w:r w:rsidR="006C6F09">
        <w:t xml:space="preserve"> </w:t>
      </w:r>
      <w:r>
        <w:t>that,</w:t>
      </w:r>
      <w:r w:rsidR="006C6F09">
        <w:t xml:space="preserve"> </w:t>
      </w:r>
      <w:r>
        <w:t>for</w:t>
      </w:r>
      <w:r w:rsidR="006C6F09">
        <w:t xml:space="preserve"> </w:t>
      </w:r>
      <w:r>
        <w:t>environmental</w:t>
      </w:r>
      <w:r w:rsidR="006C6F09">
        <w:t xml:space="preserve"> </w:t>
      </w:r>
      <w:r>
        <w:t>assessments</w:t>
      </w:r>
      <w:r w:rsidR="006C6F09">
        <w:t xml:space="preserve"> </w:t>
      </w:r>
      <w:r>
        <w:t>and</w:t>
      </w:r>
      <w:r w:rsidR="006C6F09">
        <w:t xml:space="preserve"> </w:t>
      </w:r>
      <w:r>
        <w:t>environmental</w:t>
      </w:r>
      <w:r w:rsidR="006C6F09">
        <w:t xml:space="preserve"> </w:t>
      </w:r>
      <w:r>
        <w:t>impact</w:t>
      </w:r>
      <w:r w:rsidR="006C6F09">
        <w:t xml:space="preserve"> </w:t>
      </w:r>
      <w:r>
        <w:t>statements,</w:t>
      </w:r>
      <w:r w:rsidR="006C6F09">
        <w:t xml:space="preserve"> </w:t>
      </w:r>
      <w:r>
        <w:t>the</w:t>
      </w:r>
      <w:r w:rsidR="006C6F09">
        <w:t xml:space="preserve"> </w:t>
      </w:r>
      <w:r>
        <w:t>notice</w:t>
      </w:r>
      <w:r w:rsidR="006C6F09">
        <w:t xml:space="preserve"> </w:t>
      </w:r>
      <w:r>
        <w:t>of</w:t>
      </w:r>
      <w:r w:rsidR="006C6F09">
        <w:t xml:space="preserve"> </w:t>
      </w:r>
      <w:r>
        <w:t>public</w:t>
      </w:r>
      <w:r w:rsidR="006C6F09">
        <w:t xml:space="preserve"> </w:t>
      </w:r>
      <w:r>
        <w:t>hearing</w:t>
      </w:r>
      <w:r w:rsidR="006C6F09">
        <w:t xml:space="preserve"> </w:t>
      </w:r>
      <w:r>
        <w:t>is</w:t>
      </w:r>
      <w:r w:rsidR="006C6F09">
        <w:t xml:space="preserve"> </w:t>
      </w:r>
      <w:r>
        <w:t>usually</w:t>
      </w:r>
      <w:r w:rsidR="006C6F09">
        <w:t xml:space="preserve"> </w:t>
      </w:r>
      <w:r>
        <w:t>combined</w:t>
      </w:r>
      <w:r w:rsidR="006C6F09">
        <w:t xml:space="preserve"> </w:t>
      </w:r>
      <w:r>
        <w:t>with</w:t>
      </w:r>
      <w:r w:rsidR="006C6F09">
        <w:t xml:space="preserve"> </w:t>
      </w:r>
      <w:r>
        <w:t>the</w:t>
      </w:r>
      <w:r w:rsidR="006C6F09">
        <w:t xml:space="preserve"> </w:t>
      </w:r>
      <w:r>
        <w:t>notice</w:t>
      </w:r>
      <w:r w:rsidR="006C6F09">
        <w:t xml:space="preserve"> </w:t>
      </w:r>
      <w:r>
        <w:t>of</w:t>
      </w:r>
      <w:r w:rsidR="006C6F09">
        <w:t xml:space="preserve"> </w:t>
      </w:r>
      <w:r>
        <w:t>availability</w:t>
      </w:r>
      <w:r w:rsidR="006C6F09">
        <w:t xml:space="preserve"> </w:t>
      </w:r>
      <w:r>
        <w:t>of</w:t>
      </w:r>
      <w:r w:rsidR="006C6F09">
        <w:t xml:space="preserve"> </w:t>
      </w:r>
      <w:r>
        <w:t>the</w:t>
      </w:r>
      <w:r w:rsidR="006C6F09">
        <w:t xml:space="preserve"> </w:t>
      </w:r>
      <w:r>
        <w:t>draft</w:t>
      </w:r>
      <w:r w:rsidR="006C6F09">
        <w:t xml:space="preserve"> </w:t>
      </w:r>
      <w:r>
        <w:t>EA</w:t>
      </w:r>
      <w:r w:rsidR="006C6F09">
        <w:t xml:space="preserve"> </w:t>
      </w:r>
      <w:r>
        <w:t>or</w:t>
      </w:r>
      <w:r w:rsidR="006C6F09">
        <w:t xml:space="preserve"> </w:t>
      </w:r>
      <w:r>
        <w:t>draft</w:t>
      </w:r>
      <w:r w:rsidR="006C6F09">
        <w:t xml:space="preserve"> </w:t>
      </w:r>
      <w:r>
        <w:t>EIS.</w:t>
      </w:r>
      <w:r w:rsidR="006C6F09">
        <w:t xml:space="preserve"> </w:t>
      </w:r>
      <w:r>
        <w:t>See</w:t>
      </w:r>
      <w:r w:rsidR="006C6F09">
        <w:t xml:space="preserve"> </w:t>
      </w:r>
      <w:r>
        <w:t>ENV’s</w:t>
      </w:r>
      <w:r w:rsidR="006C6F09">
        <w:t xml:space="preserve"> </w:t>
      </w:r>
      <w:r>
        <w:t>Template:</w:t>
      </w:r>
      <w:r w:rsidR="006C6F09">
        <w:t xml:space="preserve"> </w:t>
      </w:r>
      <w:r>
        <w:t>Draft</w:t>
      </w:r>
      <w:r w:rsidR="006C6F09">
        <w:t xml:space="preserve"> </w:t>
      </w:r>
      <w:r>
        <w:t>EA</w:t>
      </w:r>
      <w:r w:rsidR="006C6F09">
        <w:t xml:space="preserve"> </w:t>
      </w:r>
      <w:r>
        <w:t>Notice</w:t>
      </w:r>
      <w:r w:rsidR="006C6F09">
        <w:t xml:space="preserve"> </w:t>
      </w:r>
      <w:r>
        <w:t>of</w:t>
      </w:r>
      <w:r w:rsidR="006C6F09">
        <w:t xml:space="preserve"> </w:t>
      </w:r>
      <w:r>
        <w:t>Availability</w:t>
      </w:r>
      <w:r w:rsidR="006C6F09">
        <w:t xml:space="preserve"> </w:t>
      </w:r>
      <w:r>
        <w:t>and</w:t>
      </w:r>
      <w:r w:rsidR="006C6F09">
        <w:t xml:space="preserve"> </w:t>
      </w:r>
      <w:r>
        <w:t>Public</w:t>
      </w:r>
      <w:r w:rsidR="006C6F09">
        <w:t xml:space="preserve"> </w:t>
      </w:r>
      <w:r>
        <w:t>Hearing</w:t>
      </w:r>
      <w:r w:rsidR="006C6F09">
        <w:t xml:space="preserve"> </w:t>
      </w:r>
      <w:r>
        <w:t>and</w:t>
      </w:r>
      <w:r w:rsidR="006C6F09">
        <w:t xml:space="preserve"> </w:t>
      </w:r>
      <w:r>
        <w:t>Template:</w:t>
      </w:r>
      <w:r w:rsidR="006C6F09">
        <w:t xml:space="preserve"> </w:t>
      </w:r>
      <w:r>
        <w:t>Draft</w:t>
      </w:r>
      <w:r w:rsidR="006C6F09">
        <w:t xml:space="preserve"> </w:t>
      </w:r>
      <w:r>
        <w:t>EIS</w:t>
      </w:r>
      <w:r w:rsidR="006C6F09">
        <w:t xml:space="preserve"> </w:t>
      </w:r>
      <w:r>
        <w:t>and</w:t>
      </w:r>
      <w:r w:rsidR="006C6F09">
        <w:t xml:space="preserve"> </w:t>
      </w:r>
      <w:r>
        <w:t>Notice</w:t>
      </w:r>
      <w:r w:rsidR="006C6F09">
        <w:t xml:space="preserve"> </w:t>
      </w:r>
      <w:r>
        <w:t>of</w:t>
      </w:r>
      <w:r w:rsidR="006C6F09">
        <w:t xml:space="preserve"> </w:t>
      </w:r>
      <w:r>
        <w:t>Availability</w:t>
      </w:r>
      <w:r w:rsidR="006C6F09">
        <w:t xml:space="preserve"> </w:t>
      </w:r>
      <w:r>
        <w:t>and</w:t>
      </w:r>
      <w:r w:rsidR="006C6F09">
        <w:t xml:space="preserve"> </w:t>
      </w:r>
      <w:r>
        <w:t>Public</w:t>
      </w:r>
      <w:r w:rsidR="006C6F09">
        <w:t xml:space="preserve"> </w:t>
      </w:r>
      <w:r>
        <w:t>Hearing,</w:t>
      </w:r>
      <w:r w:rsidR="006C6F09">
        <w:t xml:space="preserve"> </w:t>
      </w:r>
      <w:r>
        <w:t>which</w:t>
      </w:r>
      <w:r w:rsidR="006C6F09">
        <w:t xml:space="preserve"> </w:t>
      </w:r>
      <w:r>
        <w:t>are</w:t>
      </w:r>
      <w:r w:rsidR="006C6F09">
        <w:t xml:space="preserve"> </w:t>
      </w:r>
      <w:r>
        <w:t>available</w:t>
      </w:r>
      <w:r w:rsidR="006C6F09">
        <w:t xml:space="preserve"> </w:t>
      </w:r>
      <w:r>
        <w:t>in</w:t>
      </w:r>
      <w:r w:rsidR="006C6F09">
        <w:t xml:space="preserve"> </w:t>
      </w:r>
      <w:r>
        <w:t>th</w:t>
      </w:r>
      <w:r w:rsidRPr="00BD6709">
        <w:t>e</w:t>
      </w:r>
      <w:r w:rsidR="006C6F09">
        <w:t xml:space="preserve"> </w:t>
      </w:r>
      <w:hyperlink r:id="rId58" w:history="1">
        <w:r w:rsidRPr="00BD6709">
          <w:rPr>
            <w:rStyle w:val="Hyperlink"/>
          </w:rPr>
          <w:t>Public</w:t>
        </w:r>
        <w:r w:rsidR="006C6F09">
          <w:rPr>
            <w:rStyle w:val="Hyperlink"/>
          </w:rPr>
          <w:t xml:space="preserve"> </w:t>
        </w:r>
        <w:r w:rsidRPr="00BD6709">
          <w:rPr>
            <w:rStyle w:val="Hyperlink"/>
          </w:rPr>
          <w:t>Involvement</w:t>
        </w:r>
        <w:r w:rsidR="006C6F09">
          <w:rPr>
            <w:rStyle w:val="Hyperlink"/>
          </w:rPr>
          <w:t xml:space="preserve"> </w:t>
        </w:r>
        <w:r w:rsidRPr="00BD6709">
          <w:rPr>
            <w:rStyle w:val="Hyperlink"/>
          </w:rPr>
          <w:t>Toolkit</w:t>
        </w:r>
      </w:hyperlink>
      <w:r>
        <w:t>.</w:t>
      </w:r>
      <w:r w:rsidR="006C6F09">
        <w:t xml:space="preserve"> </w:t>
      </w:r>
      <w:r>
        <w:t>For</w:t>
      </w:r>
      <w:r w:rsidR="006C6F09">
        <w:t xml:space="preserve"> </w:t>
      </w:r>
      <w:r>
        <w:t>an</w:t>
      </w:r>
      <w:r w:rsidR="006C6F09">
        <w:t xml:space="preserve"> </w:t>
      </w:r>
      <w:r>
        <w:t>EIS</w:t>
      </w:r>
      <w:r w:rsidR="006C6F09">
        <w:t xml:space="preserve"> </w:t>
      </w:r>
      <w:r>
        <w:t>project,</w:t>
      </w:r>
      <w:r w:rsidR="006C6F09">
        <w:t xml:space="preserve"> </w:t>
      </w:r>
      <w:r>
        <w:t>there</w:t>
      </w:r>
      <w:r w:rsidR="006C6F09">
        <w:t xml:space="preserve"> </w:t>
      </w:r>
      <w:r>
        <w:t>is</w:t>
      </w:r>
      <w:r w:rsidR="006C6F09">
        <w:t xml:space="preserve"> </w:t>
      </w:r>
      <w:r>
        <w:t>a</w:t>
      </w:r>
      <w:r w:rsidR="006C6F09">
        <w:t xml:space="preserve"> </w:t>
      </w:r>
      <w:r>
        <w:t>separate</w:t>
      </w:r>
      <w:r w:rsidR="006C6F09">
        <w:t xml:space="preserve"> </w:t>
      </w:r>
      <w:r>
        <w:t>45-calendar-day</w:t>
      </w:r>
      <w:r w:rsidR="006C6F09">
        <w:t xml:space="preserve"> </w:t>
      </w:r>
      <w:r>
        <w:t>comment</w:t>
      </w:r>
      <w:r w:rsidR="006C6F09">
        <w:t xml:space="preserve"> </w:t>
      </w:r>
      <w:r>
        <w:t>period</w:t>
      </w:r>
      <w:r w:rsidR="006C6F09">
        <w:t xml:space="preserve"> </w:t>
      </w:r>
      <w:r>
        <w:t>following</w:t>
      </w:r>
      <w:r w:rsidR="006C6F09">
        <w:t xml:space="preserve"> </w:t>
      </w:r>
      <w:r>
        <w:t>publication</w:t>
      </w:r>
      <w:r w:rsidR="006C6F09">
        <w:t xml:space="preserve"> </w:t>
      </w:r>
      <w:r>
        <w:t>of</w:t>
      </w:r>
      <w:r w:rsidR="006C6F09">
        <w:t xml:space="preserve"> </w:t>
      </w:r>
      <w:r>
        <w:t>the</w:t>
      </w:r>
      <w:r w:rsidR="006C6F09">
        <w:t xml:space="preserve"> </w:t>
      </w:r>
      <w:r>
        <w:t>notice</w:t>
      </w:r>
      <w:r w:rsidR="006C6F09">
        <w:t xml:space="preserve"> </w:t>
      </w:r>
      <w:r>
        <w:t>of</w:t>
      </w:r>
      <w:r w:rsidR="006C6F09">
        <w:t xml:space="preserve"> </w:t>
      </w:r>
      <w:r>
        <w:t>availability</w:t>
      </w:r>
      <w:r w:rsidR="006C6F09">
        <w:t xml:space="preserve"> </w:t>
      </w:r>
      <w:r>
        <w:t>of</w:t>
      </w:r>
      <w:r w:rsidR="006C6F09">
        <w:t xml:space="preserve"> </w:t>
      </w:r>
      <w:r>
        <w:t>the</w:t>
      </w:r>
      <w:r w:rsidR="006C6F09">
        <w:t xml:space="preserve"> </w:t>
      </w:r>
      <w:r>
        <w:t>draft</w:t>
      </w:r>
      <w:r w:rsidR="006C6F09">
        <w:t xml:space="preserve"> </w:t>
      </w:r>
      <w:r>
        <w:t>EIS</w:t>
      </w:r>
      <w:r w:rsidR="006C6F09">
        <w:t xml:space="preserve"> </w:t>
      </w:r>
      <w:r>
        <w:t>in</w:t>
      </w:r>
      <w:r w:rsidR="006C6F09">
        <w:t xml:space="preserve"> </w:t>
      </w:r>
      <w:r>
        <w:t>the</w:t>
      </w:r>
      <w:r w:rsidR="006C6F09">
        <w:t xml:space="preserve"> </w:t>
      </w:r>
      <w:r w:rsidRPr="00263E76">
        <w:t>Texas</w:t>
      </w:r>
      <w:r w:rsidR="006C6F09">
        <w:t xml:space="preserve"> </w:t>
      </w:r>
      <w:r w:rsidRPr="00263E76">
        <w:t>or</w:t>
      </w:r>
      <w:r w:rsidR="006C6F09">
        <w:t xml:space="preserve"> </w:t>
      </w:r>
      <w:r w:rsidRPr="00263E76">
        <w:t>Federal</w:t>
      </w:r>
      <w:r w:rsidR="006C6F09">
        <w:t xml:space="preserve"> </w:t>
      </w:r>
      <w:r w:rsidRPr="00263E76">
        <w:t>Register</w:t>
      </w:r>
      <w:r>
        <w:t>,</w:t>
      </w:r>
      <w:r w:rsidR="006C6F09">
        <w:t xml:space="preserve"> </w:t>
      </w:r>
      <w:r>
        <w:t>as</w:t>
      </w:r>
      <w:r w:rsidR="006C6F09">
        <w:t xml:space="preserve"> </w:t>
      </w:r>
      <w:r>
        <w:t>explained</w:t>
      </w:r>
      <w:r w:rsidR="006C6F09">
        <w:t xml:space="preserve"> </w:t>
      </w:r>
      <w:r>
        <w:t>in</w:t>
      </w:r>
      <w:r w:rsidR="006C6F09">
        <w:t xml:space="preserve"> </w:t>
      </w:r>
      <w:r>
        <w:t>Section</w:t>
      </w:r>
      <w:r w:rsidR="006C6F09">
        <w:t xml:space="preserve"> </w:t>
      </w:r>
      <w:r w:rsidRPr="007F2709">
        <w:rPr>
          <w:i/>
          <w:iCs/>
          <w:u w:val="single"/>
        </w:rPr>
        <w:fldChar w:fldCharType="begin"/>
      </w:r>
      <w:r w:rsidRPr="007F2709">
        <w:rPr>
          <w:i/>
          <w:iCs/>
          <w:u w:val="single"/>
        </w:rPr>
        <w:instrText xml:space="preserve"> REF _Ref219790868 \h </w:instrText>
      </w:r>
      <w:r>
        <w:rPr>
          <w:i/>
          <w:iCs/>
          <w:u w:val="single"/>
        </w:rPr>
        <w:instrText xml:space="preserve"> \* MERGEFORMAT </w:instrText>
      </w:r>
      <w:r w:rsidRPr="007F2709">
        <w:rPr>
          <w:i/>
          <w:iCs/>
          <w:u w:val="single"/>
        </w:rPr>
      </w:r>
      <w:r w:rsidRPr="007F2709">
        <w:rPr>
          <w:i/>
          <w:iCs/>
          <w:u w:val="single"/>
        </w:rPr>
        <w:fldChar w:fldCharType="separate"/>
      </w:r>
      <w:r w:rsidRPr="007F2709">
        <w:rPr>
          <w:i/>
          <w:iCs/>
          <w:color w:val="0056A9"/>
          <w:u w:val="single"/>
        </w:rPr>
        <w:t>9.3</w:t>
      </w:r>
      <w:r w:rsidRPr="007F2709">
        <w:rPr>
          <w:i/>
          <w:iCs/>
          <w:u w:val="single"/>
        </w:rPr>
        <w:fldChar w:fldCharType="end"/>
      </w:r>
      <w:r>
        <w:t>.</w:t>
      </w:r>
    </w:p>
    <w:p w14:paraId="3BFA515B" w14:textId="43E0F725" w:rsidR="00457754" w:rsidRPr="005C2C82" w:rsidRDefault="00457754" w:rsidP="005C2C82">
      <w:pPr>
        <w:pStyle w:val="Heading3"/>
      </w:pPr>
      <w:bookmarkStart w:id="70" w:name="_Toc224026221"/>
      <w:r w:rsidRPr="005C2C82">
        <w:t>6.3</w:t>
      </w:r>
      <w:r w:rsidR="006C6F09" w:rsidRPr="005C2C82">
        <w:t xml:space="preserve"> </w:t>
      </w:r>
      <w:r w:rsidRPr="005C2C82">
        <w:t>Public</w:t>
      </w:r>
      <w:r w:rsidR="006C6F09" w:rsidRPr="005C2C82">
        <w:t xml:space="preserve"> </w:t>
      </w:r>
      <w:r w:rsidRPr="005C2C82">
        <w:t>Hearing</w:t>
      </w:r>
      <w:r w:rsidR="006C6F09" w:rsidRPr="005C2C82">
        <w:t xml:space="preserve"> </w:t>
      </w:r>
      <w:r w:rsidRPr="005C2C82">
        <w:t>Types</w:t>
      </w:r>
      <w:bookmarkEnd w:id="70"/>
      <w:r w:rsidR="006C6F09" w:rsidRPr="005C2C82">
        <w:t xml:space="preserve"> </w:t>
      </w:r>
    </w:p>
    <w:p w14:paraId="0D0FEA80" w14:textId="582514AA" w:rsidR="00457754" w:rsidRDefault="00457754" w:rsidP="00457754">
      <w:r>
        <w:t>There</w:t>
      </w:r>
      <w:r w:rsidR="006C6F09">
        <w:t xml:space="preserve"> </w:t>
      </w:r>
      <w:r>
        <w:t>are</w:t>
      </w:r>
      <w:r w:rsidR="006C6F09">
        <w:t xml:space="preserve"> </w:t>
      </w:r>
      <w:r>
        <w:t>two</w:t>
      </w:r>
      <w:r w:rsidR="006C6F09">
        <w:t xml:space="preserve"> </w:t>
      </w:r>
      <w:r>
        <w:t>types</w:t>
      </w:r>
      <w:r w:rsidR="006C6F09">
        <w:t xml:space="preserve"> </w:t>
      </w:r>
      <w:r>
        <w:t>of</w:t>
      </w:r>
      <w:r w:rsidR="006C6F09">
        <w:t xml:space="preserve"> </w:t>
      </w:r>
      <w:r>
        <w:t>public</w:t>
      </w:r>
      <w:r w:rsidR="006C6F09">
        <w:t xml:space="preserve"> </w:t>
      </w:r>
      <w:r>
        <w:t>hearings:</w:t>
      </w:r>
    </w:p>
    <w:p w14:paraId="36A3ED31" w14:textId="1915B389" w:rsidR="00457754" w:rsidRPr="002255B4" w:rsidRDefault="00457754" w:rsidP="00457754">
      <w:pPr>
        <w:pStyle w:val="ListBullet"/>
      </w:pPr>
      <w:r w:rsidRPr="002255B4">
        <w:t>Virtual</w:t>
      </w:r>
      <w:r w:rsidR="006C6F09">
        <w:t xml:space="preserve"> </w:t>
      </w:r>
      <w:r w:rsidRPr="002255B4">
        <w:t>online-only</w:t>
      </w:r>
      <w:r w:rsidR="006C6F09">
        <w:t xml:space="preserve"> </w:t>
      </w:r>
      <w:r w:rsidRPr="002255B4">
        <w:t>public</w:t>
      </w:r>
      <w:r w:rsidR="006C6F09">
        <w:t xml:space="preserve"> </w:t>
      </w:r>
      <w:r w:rsidRPr="002255B4">
        <w:t>hearing</w:t>
      </w:r>
      <w:r w:rsidR="006C6F09">
        <w:t xml:space="preserve"> </w:t>
      </w:r>
      <w:r w:rsidRPr="002255B4">
        <w:t>-</w:t>
      </w:r>
      <w:r w:rsidR="006C6F09">
        <w:t xml:space="preserve"> </w:t>
      </w:r>
      <w:r w:rsidRPr="002255B4">
        <w:t>only</w:t>
      </w:r>
      <w:r w:rsidR="006C6F09">
        <w:t xml:space="preserve"> </w:t>
      </w:r>
      <w:r w:rsidRPr="002255B4">
        <w:t>if</w:t>
      </w:r>
      <w:r w:rsidR="006C6F09">
        <w:t xml:space="preserve"> </w:t>
      </w:r>
      <w:r w:rsidRPr="002255B4">
        <w:t>(1)</w:t>
      </w:r>
      <w:r w:rsidR="006C6F09">
        <w:t xml:space="preserve"> </w:t>
      </w:r>
      <w:r w:rsidRPr="002255B4">
        <w:t>the</w:t>
      </w:r>
      <w:r w:rsidR="006C6F09">
        <w:t xml:space="preserve"> </w:t>
      </w:r>
      <w:r w:rsidRPr="002255B4">
        <w:t>project</w:t>
      </w:r>
      <w:r w:rsidR="006C6F09">
        <w:t xml:space="preserve"> </w:t>
      </w:r>
      <w:r w:rsidRPr="002255B4">
        <w:t>is</w:t>
      </w:r>
      <w:r w:rsidR="006C6F09">
        <w:t xml:space="preserve"> </w:t>
      </w:r>
      <w:r w:rsidRPr="002255B4">
        <w:t>not</w:t>
      </w:r>
      <w:r w:rsidR="006C6F09">
        <w:t xml:space="preserve"> </w:t>
      </w:r>
      <w:r w:rsidRPr="002255B4">
        <w:t>going</w:t>
      </w:r>
      <w:r w:rsidR="006C6F09">
        <w:t xml:space="preserve"> </w:t>
      </w:r>
      <w:r w:rsidRPr="002255B4">
        <w:t>through</w:t>
      </w:r>
      <w:r w:rsidR="006C6F09">
        <w:t xml:space="preserve"> </w:t>
      </w:r>
      <w:r w:rsidRPr="002255B4">
        <w:t>an</w:t>
      </w:r>
      <w:r w:rsidR="006C6F09">
        <w:t xml:space="preserve"> </w:t>
      </w:r>
      <w:r w:rsidRPr="002255B4">
        <w:t>area</w:t>
      </w:r>
      <w:r w:rsidR="006C6F09">
        <w:t xml:space="preserve"> </w:t>
      </w:r>
      <w:r w:rsidRPr="002255B4">
        <w:t>with</w:t>
      </w:r>
      <w:r w:rsidR="006C6F09">
        <w:t xml:space="preserve"> </w:t>
      </w:r>
      <w:r w:rsidRPr="002255B4">
        <w:t>limited</w:t>
      </w:r>
      <w:r w:rsidR="006C6F09">
        <w:t xml:space="preserve"> </w:t>
      </w:r>
      <w:r w:rsidRPr="002255B4">
        <w:t>internet</w:t>
      </w:r>
      <w:r w:rsidR="006C6F09">
        <w:t xml:space="preserve"> </w:t>
      </w:r>
      <w:r w:rsidRPr="002255B4">
        <w:t>access</w:t>
      </w:r>
      <w:r w:rsidR="006C6F09">
        <w:t xml:space="preserve"> </w:t>
      </w:r>
      <w:r w:rsidRPr="002255B4">
        <w:t>and</w:t>
      </w:r>
      <w:r w:rsidR="006C6F09">
        <w:t xml:space="preserve"> </w:t>
      </w:r>
      <w:r w:rsidRPr="002255B4">
        <w:t>(2)</w:t>
      </w:r>
      <w:r w:rsidR="006C6F09">
        <w:t xml:space="preserve"> </w:t>
      </w:r>
      <w:r w:rsidRPr="002255B4">
        <w:t>one</w:t>
      </w:r>
      <w:r w:rsidR="006C6F09">
        <w:t xml:space="preserve"> </w:t>
      </w:r>
      <w:r w:rsidRPr="002255B4">
        <w:t>of</w:t>
      </w:r>
      <w:r w:rsidR="006C6F09">
        <w:t xml:space="preserve"> </w:t>
      </w:r>
      <w:r w:rsidRPr="002255B4">
        <w:t>the</w:t>
      </w:r>
      <w:r w:rsidR="006C6F09">
        <w:t xml:space="preserve"> </w:t>
      </w:r>
      <w:r w:rsidRPr="002255B4">
        <w:t>following</w:t>
      </w:r>
      <w:r w:rsidR="006C6F09">
        <w:t xml:space="preserve"> </w:t>
      </w:r>
      <w:r w:rsidRPr="002255B4">
        <w:t>three</w:t>
      </w:r>
      <w:r w:rsidR="006C6F09">
        <w:t xml:space="preserve"> </w:t>
      </w:r>
      <w:r w:rsidRPr="002255B4">
        <w:t>situations</w:t>
      </w:r>
      <w:r w:rsidR="006C6F09">
        <w:t xml:space="preserve"> </w:t>
      </w:r>
      <w:r w:rsidRPr="002255B4">
        <w:t>applies:</w:t>
      </w:r>
    </w:p>
    <w:p w14:paraId="49CF4F96" w14:textId="28DA710D" w:rsidR="00457754" w:rsidRDefault="00457754" w:rsidP="00D97AAC">
      <w:pPr>
        <w:pStyle w:val="ListBullet"/>
        <w:numPr>
          <w:ilvl w:val="1"/>
          <w:numId w:val="4"/>
        </w:numPr>
      </w:pPr>
      <w:r>
        <w:t>the</w:t>
      </w:r>
      <w:r w:rsidR="006C6F09">
        <w:t xml:space="preserve"> </w:t>
      </w:r>
      <w:r>
        <w:t>project</w:t>
      </w:r>
      <w:r w:rsidR="006C6F09">
        <w:t xml:space="preserve"> </w:t>
      </w:r>
      <w:r>
        <w:t>has</w:t>
      </w:r>
      <w:r w:rsidR="006C6F09">
        <w:t xml:space="preserve"> </w:t>
      </w:r>
      <w:r>
        <w:t>no</w:t>
      </w:r>
      <w:r w:rsidR="006C6F09">
        <w:t xml:space="preserve"> </w:t>
      </w:r>
      <w:r>
        <w:t>federal</w:t>
      </w:r>
      <w:r w:rsidR="006C6F09">
        <w:t xml:space="preserve"> </w:t>
      </w:r>
      <w:proofErr w:type="gramStart"/>
      <w:r>
        <w:t>funding;</w:t>
      </w:r>
      <w:proofErr w:type="gramEnd"/>
    </w:p>
    <w:p w14:paraId="312CFEB7" w14:textId="24BEC0B6" w:rsidR="00457754" w:rsidRDefault="00457754" w:rsidP="00D97AAC">
      <w:pPr>
        <w:pStyle w:val="ListBullet"/>
        <w:numPr>
          <w:ilvl w:val="1"/>
          <w:numId w:val="4"/>
        </w:numPr>
      </w:pPr>
      <w:proofErr w:type="gramStart"/>
      <w:r>
        <w:t>the</w:t>
      </w:r>
      <w:proofErr w:type="gramEnd"/>
      <w:r w:rsidR="006C6F09">
        <w:t xml:space="preserve"> </w:t>
      </w:r>
      <w:r>
        <w:t>project</w:t>
      </w:r>
      <w:r w:rsidR="006C6F09">
        <w:t xml:space="preserve"> </w:t>
      </w:r>
      <w:r>
        <w:t>has</w:t>
      </w:r>
      <w:r w:rsidR="006C6F09">
        <w:t xml:space="preserve"> </w:t>
      </w:r>
      <w:r>
        <w:t>federal</w:t>
      </w:r>
      <w:r w:rsidR="006C6F09">
        <w:t xml:space="preserve"> </w:t>
      </w:r>
      <w:proofErr w:type="gramStart"/>
      <w:r>
        <w:t>funding</w:t>
      </w:r>
      <w:proofErr w:type="gramEnd"/>
      <w:r w:rsidR="006C6F09">
        <w:t xml:space="preserve"> </w:t>
      </w:r>
      <w:r>
        <w:t>but</w:t>
      </w:r>
      <w:r w:rsidR="006C6F09">
        <w:t xml:space="preserve"> </w:t>
      </w:r>
      <w:r>
        <w:t>the</w:t>
      </w:r>
      <w:r w:rsidR="006C6F09">
        <w:t xml:space="preserve"> </w:t>
      </w:r>
      <w:r>
        <w:t>hearing</w:t>
      </w:r>
      <w:r w:rsidR="006C6F09">
        <w:t xml:space="preserve"> </w:t>
      </w:r>
      <w:r>
        <w:t>is</w:t>
      </w:r>
      <w:r w:rsidR="006C6F09">
        <w:t xml:space="preserve"> </w:t>
      </w:r>
      <w:r>
        <w:t>being</w:t>
      </w:r>
      <w:r w:rsidR="006C6F09">
        <w:t xml:space="preserve"> </w:t>
      </w:r>
      <w:r>
        <w:t>held</w:t>
      </w:r>
      <w:r w:rsidR="006C6F09">
        <w:t xml:space="preserve"> </w:t>
      </w:r>
      <w:r>
        <w:t>solely</w:t>
      </w:r>
      <w:r w:rsidR="006C6F09">
        <w:t xml:space="preserve"> </w:t>
      </w:r>
      <w:r>
        <w:t>to</w:t>
      </w:r>
      <w:r w:rsidR="006C6F09">
        <w:t xml:space="preserve"> </w:t>
      </w:r>
      <w:r>
        <w:t>satisfy</w:t>
      </w:r>
      <w:r w:rsidR="006C6F09">
        <w:t xml:space="preserve"> </w:t>
      </w:r>
      <w:r>
        <w:t>(1)</w:t>
      </w:r>
      <w:r w:rsidR="006C6F09">
        <w:t xml:space="preserve"> </w:t>
      </w:r>
      <w:r>
        <w:t>Chapter</w:t>
      </w:r>
      <w:r w:rsidR="006C6F09">
        <w:t xml:space="preserve"> </w:t>
      </w:r>
      <w:r>
        <w:t>26</w:t>
      </w:r>
      <w:r w:rsidR="006C6F09">
        <w:t xml:space="preserve"> </w:t>
      </w:r>
      <w:r>
        <w:t>of</w:t>
      </w:r>
      <w:r w:rsidR="006C6F09">
        <w:t xml:space="preserve"> </w:t>
      </w:r>
      <w:r>
        <w:t>the</w:t>
      </w:r>
      <w:r w:rsidR="006C6F09">
        <w:t xml:space="preserve"> </w:t>
      </w:r>
      <w:r>
        <w:t>Texas</w:t>
      </w:r>
      <w:r w:rsidR="006C6F09">
        <w:t xml:space="preserve"> </w:t>
      </w:r>
      <w:r>
        <w:t>Parks</w:t>
      </w:r>
      <w:r w:rsidR="006C6F09">
        <w:t xml:space="preserve"> </w:t>
      </w:r>
      <w:r>
        <w:t>and</w:t>
      </w:r>
      <w:r w:rsidR="006C6F09">
        <w:t xml:space="preserve"> </w:t>
      </w:r>
      <w:r>
        <w:t>Wildlife</w:t>
      </w:r>
      <w:r w:rsidR="006C6F09">
        <w:t xml:space="preserve"> </w:t>
      </w:r>
      <w:r>
        <w:lastRenderedPageBreak/>
        <w:t>Code</w:t>
      </w:r>
      <w:r w:rsidR="006C6F09">
        <w:t xml:space="preserve"> </w:t>
      </w:r>
      <w:r>
        <w:t>or</w:t>
      </w:r>
      <w:r w:rsidR="006C6F09">
        <w:t xml:space="preserve"> </w:t>
      </w:r>
      <w:r>
        <w:t>(2)</w:t>
      </w:r>
      <w:r w:rsidR="006C6F09">
        <w:t xml:space="preserve"> </w:t>
      </w:r>
      <w:r>
        <w:t>the</w:t>
      </w:r>
      <w:r w:rsidR="006C6F09">
        <w:t xml:space="preserve"> </w:t>
      </w:r>
      <w:r>
        <w:t>state</w:t>
      </w:r>
      <w:r w:rsidR="006C6F09">
        <w:t xml:space="preserve"> </w:t>
      </w:r>
      <w:r>
        <w:t>statutory</w:t>
      </w:r>
      <w:r w:rsidR="006C6F09">
        <w:t xml:space="preserve"> </w:t>
      </w:r>
      <w:r>
        <w:t>requirement</w:t>
      </w:r>
      <w:r w:rsidR="006C6F09">
        <w:t xml:space="preserve"> </w:t>
      </w:r>
      <w:r>
        <w:t>to</w:t>
      </w:r>
      <w:r w:rsidR="006C6F09">
        <w:t xml:space="preserve"> </w:t>
      </w:r>
      <w:r>
        <w:t>hold</w:t>
      </w:r>
      <w:r w:rsidR="006C6F09">
        <w:t xml:space="preserve"> </w:t>
      </w:r>
      <w:r>
        <w:t>a</w:t>
      </w:r>
      <w:r w:rsidR="006C6F09">
        <w:t xml:space="preserve"> </w:t>
      </w:r>
      <w:r>
        <w:t>hearing</w:t>
      </w:r>
      <w:r w:rsidR="006C6F09">
        <w:t xml:space="preserve"> </w:t>
      </w:r>
      <w:r>
        <w:t>on</w:t>
      </w:r>
      <w:r w:rsidR="006C6F09">
        <w:t xml:space="preserve"> </w:t>
      </w:r>
      <w:r>
        <w:t>a</w:t>
      </w:r>
      <w:r w:rsidR="006C6F09">
        <w:t xml:space="preserve"> </w:t>
      </w:r>
      <w:r>
        <w:t>project</w:t>
      </w:r>
      <w:r w:rsidR="006C6F09">
        <w:t xml:space="preserve"> </w:t>
      </w:r>
      <w:r>
        <w:t>that</w:t>
      </w:r>
      <w:r w:rsidR="006C6F09">
        <w:t xml:space="preserve"> </w:t>
      </w:r>
      <w:r>
        <w:t>adds</w:t>
      </w:r>
      <w:r w:rsidR="006C6F09">
        <w:t xml:space="preserve"> </w:t>
      </w:r>
      <w:r>
        <w:t>bike</w:t>
      </w:r>
      <w:r w:rsidR="006C6F09">
        <w:t xml:space="preserve"> </w:t>
      </w:r>
      <w:r>
        <w:t>lanes</w:t>
      </w:r>
      <w:r w:rsidR="006C6F09">
        <w:t xml:space="preserve"> </w:t>
      </w:r>
      <w:r>
        <w:t>(</w:t>
      </w:r>
      <w:r w:rsidRPr="00667340">
        <w:t>Transportation</w:t>
      </w:r>
      <w:r w:rsidR="006C6F09">
        <w:t xml:space="preserve"> </w:t>
      </w:r>
      <w:r w:rsidRPr="00667340">
        <w:t>Code</w:t>
      </w:r>
      <w:r w:rsidR="006C6F09">
        <w:t xml:space="preserve"> </w:t>
      </w:r>
      <w:r>
        <w:t>203.023),</w:t>
      </w:r>
      <w:r w:rsidR="006C6F09">
        <w:t xml:space="preserve"> </w:t>
      </w:r>
      <w:r>
        <w:t>and</w:t>
      </w:r>
      <w:r w:rsidR="006C6F09">
        <w:t xml:space="preserve"> </w:t>
      </w:r>
      <w:r>
        <w:t>none</w:t>
      </w:r>
      <w:r w:rsidR="006C6F09">
        <w:t xml:space="preserve"> </w:t>
      </w:r>
      <w:r>
        <w:t>of</w:t>
      </w:r>
      <w:r w:rsidR="006C6F09">
        <w:t xml:space="preserve"> </w:t>
      </w:r>
      <w:r>
        <w:t>the</w:t>
      </w:r>
      <w:r w:rsidR="006C6F09">
        <w:t xml:space="preserve"> </w:t>
      </w:r>
      <w:r>
        <w:t>other</w:t>
      </w:r>
      <w:r w:rsidR="006C6F09">
        <w:t xml:space="preserve"> </w:t>
      </w:r>
      <w:r>
        <w:t>hearing</w:t>
      </w:r>
      <w:r w:rsidR="006C6F09">
        <w:t xml:space="preserve"> </w:t>
      </w:r>
      <w:r>
        <w:t>triggers</w:t>
      </w:r>
      <w:r w:rsidR="006C6F09">
        <w:t xml:space="preserve"> </w:t>
      </w:r>
      <w:r>
        <w:t>in</w:t>
      </w:r>
      <w:r w:rsidR="006C6F09">
        <w:t xml:space="preserve"> </w:t>
      </w:r>
      <w:r>
        <w:t>ENV’s</w:t>
      </w:r>
      <w:r w:rsidR="006C6F09">
        <w:t xml:space="preserve"> </w:t>
      </w:r>
      <w:r>
        <w:t>Public</w:t>
      </w:r>
      <w:r w:rsidR="006C6F09">
        <w:t xml:space="preserve"> </w:t>
      </w:r>
      <w:r>
        <w:t>Involvement</w:t>
      </w:r>
      <w:r w:rsidR="006C6F09">
        <w:t xml:space="preserve"> </w:t>
      </w:r>
      <w:r>
        <w:t>Handbook</w:t>
      </w:r>
      <w:r w:rsidR="006C6F09">
        <w:t xml:space="preserve"> </w:t>
      </w:r>
      <w:r>
        <w:t>apply;</w:t>
      </w:r>
      <w:r w:rsidR="006C6F09">
        <w:t xml:space="preserve"> </w:t>
      </w:r>
      <w:r>
        <w:t>or</w:t>
      </w:r>
    </w:p>
    <w:p w14:paraId="2634886D" w14:textId="0E223F91" w:rsidR="00457754" w:rsidRDefault="00457754" w:rsidP="00D97AAC">
      <w:pPr>
        <w:pStyle w:val="ListBullet"/>
        <w:numPr>
          <w:ilvl w:val="1"/>
          <w:numId w:val="4"/>
        </w:numPr>
      </w:pPr>
      <w:proofErr w:type="gramStart"/>
      <w:r>
        <w:t>the</w:t>
      </w:r>
      <w:proofErr w:type="gramEnd"/>
      <w:r w:rsidR="006C6F09">
        <w:t xml:space="preserve"> </w:t>
      </w:r>
      <w:r>
        <w:t>hearing</w:t>
      </w:r>
      <w:r w:rsidR="006C6F09">
        <w:t xml:space="preserve"> </w:t>
      </w:r>
      <w:r>
        <w:t>is</w:t>
      </w:r>
      <w:r w:rsidR="006C6F09">
        <w:t xml:space="preserve"> </w:t>
      </w:r>
      <w:r>
        <w:t>not</w:t>
      </w:r>
      <w:r w:rsidR="006C6F09">
        <w:t xml:space="preserve"> </w:t>
      </w:r>
      <w:r>
        <w:t>being</w:t>
      </w:r>
      <w:r w:rsidR="006C6F09">
        <w:t xml:space="preserve"> </w:t>
      </w:r>
      <w:r>
        <w:t>held</w:t>
      </w:r>
      <w:r w:rsidR="006C6F09">
        <w:t xml:space="preserve"> </w:t>
      </w:r>
      <w:r>
        <w:t>as</w:t>
      </w:r>
      <w:r w:rsidR="006C6F09">
        <w:t xml:space="preserve"> </w:t>
      </w:r>
      <w:r>
        <w:t>part</w:t>
      </w:r>
      <w:r w:rsidR="006C6F09">
        <w:t xml:space="preserve"> </w:t>
      </w:r>
      <w:r>
        <w:t>of</w:t>
      </w:r>
      <w:r w:rsidR="006C6F09">
        <w:t xml:space="preserve"> </w:t>
      </w:r>
      <w:r>
        <w:t>the</w:t>
      </w:r>
      <w:r w:rsidR="006C6F09">
        <w:t xml:space="preserve"> </w:t>
      </w:r>
      <w:r>
        <w:t>NEPA</w:t>
      </w:r>
      <w:r w:rsidR="006C6F09">
        <w:t xml:space="preserve"> </w:t>
      </w:r>
      <w:r>
        <w:t>process.</w:t>
      </w:r>
    </w:p>
    <w:p w14:paraId="48627E30" w14:textId="15C097D3" w:rsidR="00457754" w:rsidRPr="002255B4" w:rsidRDefault="00457754" w:rsidP="00457754">
      <w:pPr>
        <w:pStyle w:val="ListBullet"/>
      </w:pPr>
      <w:r w:rsidRPr="002255B4">
        <w:t>Virtual</w:t>
      </w:r>
      <w:r w:rsidR="006C6F09">
        <w:t xml:space="preserve"> </w:t>
      </w:r>
      <w:r w:rsidRPr="002255B4">
        <w:t>public</w:t>
      </w:r>
      <w:r w:rsidR="006C6F09">
        <w:t xml:space="preserve"> </w:t>
      </w:r>
      <w:r w:rsidRPr="002255B4">
        <w:t>hearing</w:t>
      </w:r>
      <w:r w:rsidR="006C6F09">
        <w:t xml:space="preserve"> </w:t>
      </w:r>
      <w:r w:rsidRPr="002255B4">
        <w:t>with</w:t>
      </w:r>
      <w:r w:rsidR="006C6F09">
        <w:t xml:space="preserve"> </w:t>
      </w:r>
      <w:r w:rsidRPr="002255B4">
        <w:t>in-person</w:t>
      </w:r>
      <w:r w:rsidR="006C6F09">
        <w:t xml:space="preserve"> </w:t>
      </w:r>
      <w:r w:rsidRPr="002255B4">
        <w:t>option</w:t>
      </w:r>
    </w:p>
    <w:p w14:paraId="058FC0F2" w14:textId="179B742A" w:rsidR="00457754" w:rsidRDefault="00457754" w:rsidP="00263E76">
      <w:r>
        <w:t>Because</w:t>
      </w:r>
      <w:r w:rsidR="006C6F09">
        <w:t xml:space="preserve"> </w:t>
      </w:r>
      <w:r>
        <w:t>of</w:t>
      </w:r>
      <w:r w:rsidR="006C6F09">
        <w:t xml:space="preserve"> </w:t>
      </w:r>
      <w:r>
        <w:t>the</w:t>
      </w:r>
      <w:r w:rsidR="006C6F09">
        <w:t xml:space="preserve"> </w:t>
      </w:r>
      <w:r>
        <w:t>limitations</w:t>
      </w:r>
      <w:r w:rsidR="006C6F09">
        <w:t xml:space="preserve"> </w:t>
      </w:r>
      <w:r>
        <w:t>on</w:t>
      </w:r>
      <w:r w:rsidR="006C6F09">
        <w:t xml:space="preserve"> </w:t>
      </w:r>
      <w:r>
        <w:t>the</w:t>
      </w:r>
      <w:r w:rsidR="006C6F09">
        <w:t xml:space="preserve"> </w:t>
      </w:r>
      <w:r>
        <w:t>first</w:t>
      </w:r>
      <w:r w:rsidR="006C6F09">
        <w:t xml:space="preserve"> </w:t>
      </w:r>
      <w:r>
        <w:t>type</w:t>
      </w:r>
      <w:r w:rsidR="006C6F09">
        <w:t xml:space="preserve"> </w:t>
      </w:r>
      <w:r>
        <w:t>above</w:t>
      </w:r>
      <w:r w:rsidR="006C6F09">
        <w:t xml:space="preserve"> </w:t>
      </w:r>
      <w:r>
        <w:t>(virtual</w:t>
      </w:r>
      <w:r w:rsidR="006C6F09">
        <w:t xml:space="preserve"> </w:t>
      </w:r>
      <w:r>
        <w:t>online-only</w:t>
      </w:r>
      <w:r w:rsidR="006C6F09">
        <w:t xml:space="preserve"> </w:t>
      </w:r>
      <w:r>
        <w:t>public</w:t>
      </w:r>
      <w:r w:rsidR="006C6F09">
        <w:t xml:space="preserve"> </w:t>
      </w:r>
      <w:r>
        <w:t>hearing),</w:t>
      </w:r>
      <w:r w:rsidR="006C6F09">
        <w:t xml:space="preserve"> </w:t>
      </w:r>
      <w:r>
        <w:t>all</w:t>
      </w:r>
      <w:r w:rsidR="006C6F09">
        <w:t xml:space="preserve"> </w:t>
      </w:r>
      <w:r>
        <w:t>public</w:t>
      </w:r>
      <w:r w:rsidR="006C6F09">
        <w:t xml:space="preserve"> </w:t>
      </w:r>
      <w:r>
        <w:t>hearings</w:t>
      </w:r>
      <w:r w:rsidR="006C6F09">
        <w:t xml:space="preserve"> </w:t>
      </w:r>
      <w:r>
        <w:t>on</w:t>
      </w:r>
      <w:r w:rsidR="006C6F09">
        <w:t xml:space="preserve"> </w:t>
      </w:r>
      <w:r>
        <w:t>FHWA</w:t>
      </w:r>
      <w:r w:rsidR="006C6F09">
        <w:t xml:space="preserve"> </w:t>
      </w:r>
      <w:r>
        <w:t>projects</w:t>
      </w:r>
      <w:r w:rsidR="006C6F09">
        <w:t xml:space="preserve"> </w:t>
      </w:r>
      <w:r>
        <w:t>must</w:t>
      </w:r>
      <w:r w:rsidR="006C6F09">
        <w:t xml:space="preserve"> </w:t>
      </w:r>
      <w:r>
        <w:t>be</w:t>
      </w:r>
      <w:r w:rsidR="006C6F09">
        <w:t xml:space="preserve"> </w:t>
      </w:r>
      <w:r>
        <w:t>a</w:t>
      </w:r>
      <w:r w:rsidR="006C6F09">
        <w:t xml:space="preserve"> </w:t>
      </w:r>
      <w:r>
        <w:t>virtual</w:t>
      </w:r>
      <w:r w:rsidR="006C6F09">
        <w:t xml:space="preserve"> </w:t>
      </w:r>
      <w:r>
        <w:t>public</w:t>
      </w:r>
      <w:r w:rsidR="006C6F09">
        <w:t xml:space="preserve"> </w:t>
      </w:r>
      <w:r>
        <w:t>hearing</w:t>
      </w:r>
      <w:r w:rsidR="006C6F09">
        <w:t xml:space="preserve"> </w:t>
      </w:r>
      <w:r>
        <w:t>with</w:t>
      </w:r>
      <w:r w:rsidR="006C6F09">
        <w:t xml:space="preserve"> </w:t>
      </w:r>
      <w:r>
        <w:t>in-person</w:t>
      </w:r>
      <w:r w:rsidR="006C6F09">
        <w:t xml:space="preserve"> </w:t>
      </w:r>
      <w:r>
        <w:t>option.</w:t>
      </w:r>
    </w:p>
    <w:p w14:paraId="76E9BEA8" w14:textId="0DDB6EB6" w:rsidR="00457754" w:rsidRDefault="00457754" w:rsidP="00457754">
      <w:r>
        <w:t>Each</w:t>
      </w:r>
      <w:r w:rsidR="006C6F09">
        <w:t xml:space="preserve"> </w:t>
      </w:r>
      <w:r>
        <w:t>of</w:t>
      </w:r>
      <w:r w:rsidR="006C6F09">
        <w:t xml:space="preserve"> </w:t>
      </w:r>
      <w:r>
        <w:t>the</w:t>
      </w:r>
      <w:r w:rsidR="006C6F09">
        <w:t xml:space="preserve"> </w:t>
      </w:r>
      <w:r>
        <w:t>two</w:t>
      </w:r>
      <w:r w:rsidR="006C6F09">
        <w:t xml:space="preserve"> </w:t>
      </w:r>
      <w:r>
        <w:t>types</w:t>
      </w:r>
      <w:r w:rsidR="006C6F09">
        <w:t xml:space="preserve"> </w:t>
      </w:r>
      <w:r>
        <w:t>of</w:t>
      </w:r>
      <w:r w:rsidR="006C6F09">
        <w:t xml:space="preserve"> </w:t>
      </w:r>
      <w:r>
        <w:t>public</w:t>
      </w:r>
      <w:r w:rsidR="006C6F09">
        <w:t xml:space="preserve"> </w:t>
      </w:r>
      <w:r>
        <w:t>hearings</w:t>
      </w:r>
      <w:r w:rsidR="006C6F09">
        <w:t xml:space="preserve"> </w:t>
      </w:r>
      <w:r>
        <w:t>is</w:t>
      </w:r>
      <w:r w:rsidR="006C6F09">
        <w:t xml:space="preserve"> </w:t>
      </w:r>
      <w:r>
        <w:t>discussed</w:t>
      </w:r>
      <w:r w:rsidR="006C6F09">
        <w:t xml:space="preserve"> </w:t>
      </w:r>
      <w:r>
        <w:t>separately</w:t>
      </w:r>
      <w:r w:rsidR="006C6F09">
        <w:t xml:space="preserve"> </w:t>
      </w:r>
      <w:r>
        <w:t>below.</w:t>
      </w:r>
    </w:p>
    <w:p w14:paraId="00441C76" w14:textId="2EFFB822" w:rsidR="00457754" w:rsidRPr="002014D8" w:rsidRDefault="00457754" w:rsidP="002014D8">
      <w:pPr>
        <w:pStyle w:val="Heading4"/>
      </w:pPr>
      <w:bookmarkStart w:id="71" w:name="_Ref220388356"/>
      <w:r w:rsidRPr="002014D8">
        <w:t>6.3.1</w:t>
      </w:r>
      <w:r w:rsidR="006C6F09">
        <w:t xml:space="preserve"> </w:t>
      </w:r>
      <w:r w:rsidRPr="002014D8">
        <w:t>Virtual</w:t>
      </w:r>
      <w:r w:rsidR="006C6F09">
        <w:t xml:space="preserve"> </w:t>
      </w:r>
      <w:r w:rsidRPr="002014D8">
        <w:t>Online-Only</w:t>
      </w:r>
      <w:r w:rsidR="006C6F09">
        <w:t xml:space="preserve"> </w:t>
      </w:r>
      <w:r w:rsidRPr="002014D8">
        <w:t>Public</w:t>
      </w:r>
      <w:r w:rsidR="006C6F09">
        <w:t xml:space="preserve"> </w:t>
      </w:r>
      <w:r w:rsidRPr="002014D8">
        <w:t>Hearing</w:t>
      </w:r>
      <w:bookmarkEnd w:id="71"/>
    </w:p>
    <w:p w14:paraId="50047DDC" w14:textId="059F37D7" w:rsidR="00457754" w:rsidRDefault="00457754" w:rsidP="00457754">
      <w:r>
        <w:t>A</w:t>
      </w:r>
      <w:r w:rsidR="006C6F09">
        <w:t xml:space="preserve"> </w:t>
      </w:r>
      <w:r>
        <w:t>virtual</w:t>
      </w:r>
      <w:r w:rsidR="006C6F09">
        <w:t xml:space="preserve"> </w:t>
      </w:r>
      <w:r>
        <w:t>online-only</w:t>
      </w:r>
      <w:r w:rsidR="006C6F09">
        <w:t xml:space="preserve"> </w:t>
      </w:r>
      <w:r>
        <w:t>public</w:t>
      </w:r>
      <w:r w:rsidR="006C6F09">
        <w:t xml:space="preserve"> </w:t>
      </w:r>
      <w:r>
        <w:t>hearing</w:t>
      </w:r>
      <w:r w:rsidR="006C6F09">
        <w:t xml:space="preserve"> </w:t>
      </w:r>
      <w:r>
        <w:t>is</w:t>
      </w:r>
      <w:r w:rsidR="006C6F09">
        <w:t xml:space="preserve"> </w:t>
      </w:r>
      <w:r>
        <w:t>not</w:t>
      </w:r>
      <w:r w:rsidR="006C6F09">
        <w:t xml:space="preserve"> </w:t>
      </w:r>
      <w:r>
        <w:t>allowable</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going</w:t>
      </w:r>
      <w:r w:rsidR="006C6F09">
        <w:t xml:space="preserve"> </w:t>
      </w:r>
      <w:r>
        <w:t>through</w:t>
      </w:r>
      <w:r w:rsidR="006C6F09">
        <w:t xml:space="preserve"> </w:t>
      </w:r>
      <w:r>
        <w:t>an</w:t>
      </w:r>
      <w:r w:rsidR="006C6F09">
        <w:t xml:space="preserve"> </w:t>
      </w:r>
      <w:r>
        <w:t>area</w:t>
      </w:r>
      <w:r w:rsidR="006C6F09">
        <w:t xml:space="preserve"> </w:t>
      </w:r>
      <w:r>
        <w:t>with</w:t>
      </w:r>
      <w:r w:rsidR="006C6F09">
        <w:t xml:space="preserve"> </w:t>
      </w:r>
      <w:r>
        <w:t>limited</w:t>
      </w:r>
      <w:r w:rsidR="006C6F09">
        <w:t xml:space="preserve"> </w:t>
      </w:r>
      <w:r>
        <w:t>internet</w:t>
      </w:r>
      <w:r w:rsidR="006C6F09">
        <w:t xml:space="preserve"> </w:t>
      </w:r>
      <w:r>
        <w:t>access.</w:t>
      </w:r>
      <w:r w:rsidR="006C6F09">
        <w:t xml:space="preserve"> </w:t>
      </w:r>
      <w:r>
        <w:t>Whether</w:t>
      </w:r>
      <w:r w:rsidR="006C6F09">
        <w:t xml:space="preserve"> </w:t>
      </w:r>
      <w:r>
        <w:t>the</w:t>
      </w:r>
      <w:r w:rsidR="006C6F09">
        <w:t xml:space="preserve"> </w:t>
      </w:r>
      <w:r>
        <w:t>area</w:t>
      </w:r>
      <w:r w:rsidR="006C6F09">
        <w:t xml:space="preserve"> </w:t>
      </w:r>
      <w:r>
        <w:t>has</w:t>
      </w:r>
      <w:r w:rsidR="006C6F09">
        <w:t xml:space="preserve"> </w:t>
      </w:r>
      <w:r>
        <w:t>limited</w:t>
      </w:r>
      <w:r w:rsidR="006C6F09">
        <w:t xml:space="preserve"> </w:t>
      </w:r>
      <w:r>
        <w:t>internet</w:t>
      </w:r>
      <w:r w:rsidR="006C6F09">
        <w:t xml:space="preserve"> </w:t>
      </w:r>
      <w:r>
        <w:t>access</w:t>
      </w:r>
      <w:r w:rsidR="006C6F09">
        <w:t xml:space="preserve"> </w:t>
      </w:r>
      <w:r>
        <w:t>will</w:t>
      </w:r>
      <w:r w:rsidR="006C6F09">
        <w:t xml:space="preserve"> </w:t>
      </w:r>
      <w:r>
        <w:t>be</w:t>
      </w:r>
      <w:r w:rsidR="006C6F09">
        <w:t xml:space="preserve"> </w:t>
      </w:r>
      <w:r>
        <w:t>based</w:t>
      </w:r>
      <w:r w:rsidR="006C6F09">
        <w:t xml:space="preserve"> </w:t>
      </w:r>
      <w:r>
        <w:t>on</w:t>
      </w:r>
      <w:r w:rsidR="006C6F09">
        <w:t xml:space="preserve"> </w:t>
      </w:r>
      <w:r>
        <w:t>the</w:t>
      </w:r>
      <w:r w:rsidR="006C6F09">
        <w:t xml:space="preserve"> </w:t>
      </w:r>
      <w:r>
        <w:t>community.</w:t>
      </w:r>
      <w:r w:rsidR="006C6F09">
        <w:t xml:space="preserve"> </w:t>
      </w:r>
      <w:r>
        <w:t>District</w:t>
      </w:r>
      <w:r w:rsidR="006C6F09">
        <w:t xml:space="preserve"> </w:t>
      </w:r>
      <w:r>
        <w:t>staff</w:t>
      </w:r>
      <w:r w:rsidR="006C6F09">
        <w:t xml:space="preserve"> </w:t>
      </w:r>
      <w:r>
        <w:t>should</w:t>
      </w:r>
      <w:r w:rsidR="006C6F09">
        <w:t xml:space="preserve"> </w:t>
      </w:r>
      <w:r>
        <w:t>work</w:t>
      </w:r>
      <w:r w:rsidR="006C6F09">
        <w:t xml:space="preserve"> </w:t>
      </w:r>
      <w:r>
        <w:t>with</w:t>
      </w:r>
      <w:r w:rsidR="006C6F09">
        <w:t xml:space="preserve"> </w:t>
      </w:r>
      <w:r>
        <w:t>TPP’s</w:t>
      </w:r>
      <w:r w:rsidR="006C6F09">
        <w:t xml:space="preserve"> </w:t>
      </w:r>
      <w:r>
        <w:t>PI</w:t>
      </w:r>
      <w:r w:rsidR="006C6F09">
        <w:t xml:space="preserve"> </w:t>
      </w:r>
      <w:r>
        <w:t>Section</w:t>
      </w:r>
      <w:r w:rsidR="006C6F09">
        <w:t xml:space="preserve"> </w:t>
      </w:r>
      <w:r>
        <w:t>and</w:t>
      </w:r>
      <w:r w:rsidR="006C6F09">
        <w:t xml:space="preserve"> </w:t>
      </w:r>
      <w:r>
        <w:t>or</w:t>
      </w:r>
      <w:r w:rsidR="006C6F09">
        <w:t xml:space="preserve"> </w:t>
      </w:r>
      <w:r>
        <w:t>ENV’s</w:t>
      </w:r>
      <w:r w:rsidR="006C6F09">
        <w:t xml:space="preserve"> </w:t>
      </w:r>
      <w:r>
        <w:t>community</w:t>
      </w:r>
      <w:r w:rsidR="006C6F09">
        <w:t xml:space="preserve"> </w:t>
      </w:r>
      <w:r>
        <w:t>impacts</w:t>
      </w:r>
      <w:r w:rsidR="006C6F09">
        <w:t xml:space="preserve"> </w:t>
      </w:r>
      <w:r>
        <w:t>SMEs</w:t>
      </w:r>
      <w:r w:rsidR="006C6F09">
        <w:t xml:space="preserve"> </w:t>
      </w:r>
      <w:r>
        <w:t>for</w:t>
      </w:r>
      <w:r w:rsidR="006C6F09">
        <w:t xml:space="preserve"> </w:t>
      </w:r>
      <w:r>
        <w:t>assistance.</w:t>
      </w:r>
      <w:r w:rsidR="006C6F09">
        <w:t xml:space="preserve"> </w:t>
      </w:r>
      <w:r>
        <w:t>The</w:t>
      </w:r>
      <w:r w:rsidR="006C6F09">
        <w:t xml:space="preserve"> </w:t>
      </w:r>
      <w:r>
        <w:t>following</w:t>
      </w:r>
      <w:r w:rsidR="006C6F09">
        <w:t xml:space="preserve"> </w:t>
      </w:r>
      <w:r>
        <w:t>U.S.</w:t>
      </w:r>
      <w:r w:rsidR="006C6F09">
        <w:t xml:space="preserve"> </w:t>
      </w:r>
      <w:r>
        <w:t>Census</w:t>
      </w:r>
      <w:r w:rsidR="006C6F09">
        <w:t xml:space="preserve"> </w:t>
      </w:r>
      <w:r>
        <w:t>Bureau</w:t>
      </w:r>
      <w:r w:rsidR="006C6F09">
        <w:t xml:space="preserve"> </w:t>
      </w:r>
      <w:r>
        <w:t>link</w:t>
      </w:r>
      <w:r w:rsidR="006C6F09">
        <w:t xml:space="preserve"> </w:t>
      </w:r>
      <w:r>
        <w:t>has</w:t>
      </w:r>
      <w:r w:rsidR="006C6F09">
        <w:t xml:space="preserve"> </w:t>
      </w:r>
      <w:r>
        <w:t>“narrative</w:t>
      </w:r>
      <w:r w:rsidR="006C6F09">
        <w:t xml:space="preserve"> </w:t>
      </w:r>
      <w:r>
        <w:t>profiles”</w:t>
      </w:r>
      <w:r w:rsidR="006C6F09">
        <w:t xml:space="preserve"> </w:t>
      </w:r>
      <w:r>
        <w:t>of</w:t>
      </w:r>
      <w:r w:rsidR="006C6F09">
        <w:t xml:space="preserve"> </w:t>
      </w:r>
      <w:r>
        <w:t>counties,</w:t>
      </w:r>
      <w:r w:rsidR="006C6F09">
        <w:t xml:space="preserve"> </w:t>
      </w:r>
      <w:r>
        <w:t>cities,</w:t>
      </w:r>
      <w:r w:rsidR="006C6F09">
        <w:t xml:space="preserve"> </w:t>
      </w:r>
      <w:r>
        <w:t>and</w:t>
      </w:r>
      <w:r w:rsidR="006C6F09">
        <w:t xml:space="preserve"> </w:t>
      </w:r>
      <w:r>
        <w:t>census</w:t>
      </w:r>
      <w:r w:rsidR="006C6F09">
        <w:t xml:space="preserve"> </w:t>
      </w:r>
      <w:r>
        <w:t>tracts</w:t>
      </w:r>
      <w:r w:rsidR="006C6F09">
        <w:t xml:space="preserve"> </w:t>
      </w:r>
      <w:r>
        <w:t>with</w:t>
      </w:r>
      <w:r w:rsidR="006C6F09">
        <w:t xml:space="preserve"> </w:t>
      </w:r>
      <w:r>
        <w:t>percentages</w:t>
      </w:r>
      <w:r w:rsidR="006C6F09">
        <w:t xml:space="preserve"> </w:t>
      </w:r>
      <w:r>
        <w:t>of</w:t>
      </w:r>
      <w:r w:rsidR="006C6F09">
        <w:t xml:space="preserve"> </w:t>
      </w:r>
      <w:r>
        <w:t>households</w:t>
      </w:r>
      <w:r w:rsidR="006C6F09">
        <w:t xml:space="preserve"> </w:t>
      </w:r>
      <w:r>
        <w:t>that</w:t>
      </w:r>
      <w:r w:rsidR="006C6F09">
        <w:t xml:space="preserve"> </w:t>
      </w:r>
      <w:r>
        <w:t>have</w:t>
      </w:r>
      <w:r w:rsidR="006C6F09">
        <w:t xml:space="preserve"> </w:t>
      </w:r>
      <w:r>
        <w:t>a</w:t>
      </w:r>
      <w:r w:rsidR="006C6F09">
        <w:t xml:space="preserve"> </w:t>
      </w:r>
      <w:r>
        <w:t>computer</w:t>
      </w:r>
      <w:r w:rsidR="006C6F09">
        <w:t xml:space="preserve"> </w:t>
      </w:r>
      <w:r>
        <w:t>and</w:t>
      </w:r>
      <w:r w:rsidR="006C6F09">
        <w:t xml:space="preserve"> </w:t>
      </w:r>
      <w:r>
        <w:t>broadband</w:t>
      </w:r>
      <w:r w:rsidR="006C6F09">
        <w:t xml:space="preserve"> </w:t>
      </w:r>
      <w:r>
        <w:t>internet</w:t>
      </w:r>
      <w:r w:rsidR="006C6F09">
        <w:t xml:space="preserve"> </w:t>
      </w:r>
      <w:r>
        <w:t>subscription:</w:t>
      </w:r>
      <w:r w:rsidR="006C6F09">
        <w:t xml:space="preserve"> </w:t>
      </w:r>
      <w:hyperlink r:id="rId59" w:history="1">
        <w:r w:rsidRPr="00E76CB5">
          <w:rPr>
            <w:rStyle w:val="Hyperlink"/>
          </w:rPr>
          <w:t>United</w:t>
        </w:r>
        <w:r w:rsidR="006C6F09">
          <w:rPr>
            <w:rStyle w:val="Hyperlink"/>
          </w:rPr>
          <w:t xml:space="preserve"> </w:t>
        </w:r>
        <w:r w:rsidRPr="00E76CB5">
          <w:rPr>
            <w:rStyle w:val="Hyperlink"/>
          </w:rPr>
          <w:t>States</w:t>
        </w:r>
        <w:r w:rsidR="006C6F09">
          <w:rPr>
            <w:rStyle w:val="Hyperlink"/>
          </w:rPr>
          <w:t xml:space="preserve"> </w:t>
        </w:r>
        <w:r w:rsidRPr="00E76CB5">
          <w:rPr>
            <w:rStyle w:val="Hyperlink"/>
          </w:rPr>
          <w:t>Census</w:t>
        </w:r>
        <w:r w:rsidR="006C6F09">
          <w:rPr>
            <w:rStyle w:val="Hyperlink"/>
          </w:rPr>
          <w:t xml:space="preserve"> </w:t>
        </w:r>
        <w:r w:rsidRPr="00E76CB5">
          <w:rPr>
            <w:rStyle w:val="Hyperlink"/>
          </w:rPr>
          <w:t>Bureau</w:t>
        </w:r>
      </w:hyperlink>
    </w:p>
    <w:p w14:paraId="575D3418" w14:textId="08977319" w:rsidR="00457754" w:rsidRDefault="00457754" w:rsidP="00457754">
      <w:r>
        <w:t>Further,</w:t>
      </w:r>
      <w:r w:rsidR="006C6F09">
        <w:t xml:space="preserve"> </w:t>
      </w:r>
      <w:r>
        <w:t>a</w:t>
      </w:r>
      <w:r w:rsidR="006C6F09">
        <w:t xml:space="preserve"> </w:t>
      </w:r>
      <w:r>
        <w:t>virtual</w:t>
      </w:r>
      <w:r w:rsidR="006C6F09">
        <w:t xml:space="preserve"> </w:t>
      </w:r>
      <w:r>
        <w:t>online-only</w:t>
      </w:r>
      <w:r w:rsidR="006C6F09">
        <w:t xml:space="preserve"> </w:t>
      </w:r>
      <w:r>
        <w:t>public</w:t>
      </w:r>
      <w:r w:rsidR="006C6F09">
        <w:t xml:space="preserve"> </w:t>
      </w:r>
      <w:r>
        <w:t>hearing</w:t>
      </w:r>
      <w:r w:rsidR="006C6F09">
        <w:t xml:space="preserve"> </w:t>
      </w:r>
      <w:r>
        <w:t>is</w:t>
      </w:r>
      <w:r w:rsidR="006C6F09">
        <w:t xml:space="preserve"> </w:t>
      </w:r>
      <w:r>
        <w:t>not</w:t>
      </w:r>
      <w:r w:rsidR="006C6F09">
        <w:t xml:space="preserve"> </w:t>
      </w:r>
      <w:r>
        <w:t>allowable</w:t>
      </w:r>
      <w:r w:rsidR="006C6F09">
        <w:t xml:space="preserve"> </w:t>
      </w:r>
      <w:r>
        <w:t>on</w:t>
      </w:r>
      <w:r w:rsidR="006C6F09">
        <w:t xml:space="preserve"> </w:t>
      </w:r>
      <w:r>
        <w:t>an</w:t>
      </w:r>
      <w:r w:rsidR="006C6F09">
        <w:t xml:space="preserve"> </w:t>
      </w:r>
      <w:r>
        <w:t>FHWA</w:t>
      </w:r>
      <w:r w:rsidR="006C6F09">
        <w:t xml:space="preserve"> </w:t>
      </w:r>
      <w:r>
        <w:t>project</w:t>
      </w:r>
      <w:r w:rsidR="006C6F09">
        <w:t xml:space="preserve"> </w:t>
      </w:r>
      <w:r>
        <w:t>(instead,</w:t>
      </w:r>
      <w:r w:rsidR="006C6F09">
        <w:t xml:space="preserve"> </w:t>
      </w:r>
      <w:r>
        <w:t>a</w:t>
      </w:r>
      <w:r w:rsidR="006C6F09">
        <w:t xml:space="preserve"> </w:t>
      </w:r>
      <w:r>
        <w:t>virtual</w:t>
      </w:r>
      <w:r w:rsidR="006C6F09">
        <w:t xml:space="preserve"> </w:t>
      </w:r>
      <w:r>
        <w:t>public</w:t>
      </w:r>
      <w:r w:rsidR="006C6F09">
        <w:t xml:space="preserve"> </w:t>
      </w:r>
      <w:r>
        <w:t>hearing</w:t>
      </w:r>
      <w:r w:rsidR="006C6F09">
        <w:t xml:space="preserve"> </w:t>
      </w:r>
      <w:r>
        <w:t>with</w:t>
      </w:r>
      <w:r w:rsidR="006C6F09">
        <w:t xml:space="preserve"> </w:t>
      </w:r>
      <w:r>
        <w:t>in-person</w:t>
      </w:r>
      <w:r w:rsidR="006C6F09">
        <w:t xml:space="preserve"> </w:t>
      </w:r>
      <w:r>
        <w:t>option</w:t>
      </w:r>
      <w:r w:rsidR="006C6F09">
        <w:t xml:space="preserve"> </w:t>
      </w:r>
      <w:r>
        <w:t>is</w:t>
      </w:r>
      <w:r w:rsidR="006C6F09">
        <w:t xml:space="preserve"> </w:t>
      </w:r>
      <w:r>
        <w:t>required</w:t>
      </w:r>
      <w:r w:rsidR="006C6F09">
        <w:t xml:space="preserve"> </w:t>
      </w:r>
      <w:r>
        <w:t>for</w:t>
      </w:r>
      <w:r w:rsidR="006C6F09">
        <w:t xml:space="preserve"> </w:t>
      </w:r>
      <w:r>
        <w:t>FHWA</w:t>
      </w:r>
      <w:r w:rsidR="006C6F09">
        <w:t xml:space="preserve"> </w:t>
      </w:r>
      <w:r>
        <w:t>projects</w:t>
      </w:r>
      <w:r w:rsidR="006C6F09">
        <w:t xml:space="preserve"> </w:t>
      </w:r>
      <w:r>
        <w:t>–</w:t>
      </w:r>
      <w:r w:rsidR="006C6F09">
        <w:t xml:space="preserve"> </w:t>
      </w:r>
      <w:r>
        <w:t>see</w:t>
      </w:r>
      <w:r w:rsidR="006C6F09">
        <w:t xml:space="preserve"> </w:t>
      </w:r>
      <w:r>
        <w:t>below).</w:t>
      </w:r>
    </w:p>
    <w:p w14:paraId="2DA45669" w14:textId="0393FED2" w:rsidR="00457754" w:rsidRDefault="00457754" w:rsidP="00457754">
      <w:pPr>
        <w:spacing w:after="0"/>
      </w:pPr>
      <w:r>
        <w:t>Notice</w:t>
      </w:r>
      <w:r w:rsidR="006C6F09">
        <w:t xml:space="preserve"> </w:t>
      </w:r>
      <w:r>
        <w:t>of</w:t>
      </w:r>
      <w:r w:rsidR="006C6F09">
        <w:t xml:space="preserve"> </w:t>
      </w:r>
      <w:r>
        <w:t>a</w:t>
      </w:r>
      <w:r w:rsidR="006C6F09">
        <w:t xml:space="preserve"> </w:t>
      </w:r>
      <w:r>
        <w:t>virtual</w:t>
      </w:r>
      <w:r w:rsidR="006C6F09">
        <w:t xml:space="preserve"> </w:t>
      </w:r>
      <w:r>
        <w:t>public</w:t>
      </w:r>
      <w:r w:rsidR="006C6F09">
        <w:t xml:space="preserve"> </w:t>
      </w:r>
      <w:r>
        <w:t>hearing</w:t>
      </w:r>
      <w:r w:rsidR="006C6F09">
        <w:t xml:space="preserve"> </w:t>
      </w:r>
      <w:r>
        <w:t>must</w:t>
      </w:r>
      <w:r w:rsidR="006C6F09">
        <w:t xml:space="preserve"> </w:t>
      </w:r>
      <w:r>
        <w:t>comply</w:t>
      </w:r>
      <w:r w:rsidR="006C6F09">
        <w:t xml:space="preserve"> </w:t>
      </w:r>
      <w:r>
        <w:t>with</w:t>
      </w:r>
      <w:r w:rsidR="006C6F09">
        <w:t xml:space="preserve"> </w:t>
      </w:r>
      <w:r>
        <w:t>the</w:t>
      </w:r>
      <w:r w:rsidR="006C6F09">
        <w:t xml:space="preserve"> </w:t>
      </w:r>
      <w:r>
        <w:t>instructions</w:t>
      </w:r>
      <w:r w:rsidR="006C6F09">
        <w:t xml:space="preserve"> </w:t>
      </w:r>
      <w:r>
        <w:t>stated</w:t>
      </w:r>
      <w:r w:rsidR="006C6F09">
        <w:t xml:space="preserve"> </w:t>
      </w:r>
      <w:r>
        <w:t>in</w:t>
      </w:r>
      <w:r w:rsidR="006C6F09">
        <w:t xml:space="preserve"> </w:t>
      </w:r>
      <w:r>
        <w:t>Subsections</w:t>
      </w:r>
      <w:r w:rsidR="006C6F09">
        <w:t xml:space="preserve"> </w:t>
      </w:r>
      <w:r w:rsidRPr="00263E76">
        <w:rPr>
          <w:u w:val="single"/>
        </w:rPr>
        <w:fldChar w:fldCharType="begin"/>
      </w:r>
      <w:r w:rsidRPr="00263E76">
        <w:rPr>
          <w:u w:val="single"/>
        </w:rPr>
        <w:instrText xml:space="preserve"> REF _Ref219790904 \h  \* MERGEFORMAT </w:instrText>
      </w:r>
      <w:r w:rsidRPr="00263E76">
        <w:rPr>
          <w:u w:val="single"/>
        </w:rPr>
      </w:r>
      <w:r w:rsidRPr="00263E76">
        <w:rPr>
          <w:u w:val="single"/>
        </w:rPr>
        <w:fldChar w:fldCharType="separate"/>
      </w:r>
      <w:r w:rsidRPr="00263E76">
        <w:rPr>
          <w:color w:val="0056A9"/>
          <w:u w:val="single"/>
        </w:rPr>
        <w:t>6.1</w:t>
      </w:r>
      <w:r w:rsidRPr="00263E76">
        <w:rPr>
          <w:u w:val="single"/>
        </w:rPr>
        <w:fldChar w:fldCharType="end"/>
      </w:r>
      <w:r w:rsidR="006C6F09">
        <w:t xml:space="preserve"> </w:t>
      </w:r>
      <w:r>
        <w:t>and</w:t>
      </w:r>
      <w:r w:rsidR="006C6F09">
        <w:t xml:space="preserve"> </w:t>
      </w:r>
      <w:r w:rsidRPr="00263E76">
        <w:rPr>
          <w:u w:val="single"/>
        </w:rPr>
        <w:fldChar w:fldCharType="begin"/>
      </w:r>
      <w:r w:rsidRPr="00263E76">
        <w:rPr>
          <w:u w:val="single"/>
        </w:rPr>
        <w:instrText xml:space="preserve"> REF _Ref219790927 \h  \* MERGEFORMAT </w:instrText>
      </w:r>
      <w:r w:rsidRPr="00263E76">
        <w:rPr>
          <w:u w:val="single"/>
        </w:rPr>
      </w:r>
      <w:r w:rsidRPr="00263E76">
        <w:rPr>
          <w:u w:val="single"/>
        </w:rPr>
        <w:fldChar w:fldCharType="separate"/>
      </w:r>
      <w:r w:rsidRPr="00263E76">
        <w:rPr>
          <w:color w:val="0056A9"/>
          <w:u w:val="single"/>
        </w:rPr>
        <w:t>6.2</w:t>
      </w:r>
      <w:r w:rsidRPr="00263E76">
        <w:rPr>
          <w:u w:val="single"/>
        </w:rPr>
        <w:fldChar w:fldCharType="end"/>
      </w:r>
      <w:r w:rsidR="006C6F09">
        <w:t xml:space="preserve"> </w:t>
      </w:r>
      <w:r>
        <w:t>above,</w:t>
      </w:r>
      <w:r w:rsidR="006C6F09">
        <w:t xml:space="preserve"> </w:t>
      </w:r>
      <w:r>
        <w:t>including</w:t>
      </w:r>
      <w:r w:rsidR="006C6F09">
        <w:t xml:space="preserve"> </w:t>
      </w:r>
      <w:r>
        <w:t>the</w:t>
      </w:r>
      <w:r w:rsidR="006C6F09">
        <w:t xml:space="preserve"> </w:t>
      </w:r>
      <w:r>
        <w:t>requirement</w:t>
      </w:r>
      <w:r w:rsidR="006C6F09">
        <w:t xml:space="preserve"> </w:t>
      </w:r>
      <w:r>
        <w:t>to</w:t>
      </w:r>
      <w:r w:rsidR="006C6F09">
        <w:t xml:space="preserve"> </w:t>
      </w:r>
      <w:r>
        <w:t>develop</w:t>
      </w:r>
      <w:r w:rsidR="006C6F09">
        <w:t xml:space="preserve"> </w:t>
      </w:r>
      <w:r>
        <w:t>and</w:t>
      </w:r>
      <w:r w:rsidR="006C6F09">
        <w:t xml:space="preserve"> </w:t>
      </w:r>
      <w:r>
        <w:t>implement</w:t>
      </w:r>
      <w:r w:rsidR="006C6F09">
        <w:t xml:space="preserve"> </w:t>
      </w:r>
      <w:r>
        <w:t>strategies</w:t>
      </w:r>
      <w:r w:rsidR="006C6F09">
        <w:t xml:space="preserve"> </w:t>
      </w:r>
      <w:r>
        <w:t>to</w:t>
      </w:r>
      <w:r w:rsidR="006C6F09">
        <w:t xml:space="preserve"> </w:t>
      </w:r>
      <w:r>
        <w:t>address</w:t>
      </w:r>
      <w:r w:rsidR="006C6F09">
        <w:t xml:space="preserve"> </w:t>
      </w:r>
      <w:r>
        <w:t>LEP</w:t>
      </w:r>
      <w:r w:rsidR="006C6F09">
        <w:t xml:space="preserve"> </w:t>
      </w:r>
      <w:r>
        <w:t>populations</w:t>
      </w:r>
      <w:r w:rsidR="006C6F09">
        <w:t xml:space="preserve"> </w:t>
      </w:r>
      <w:r>
        <w:t>where</w:t>
      </w:r>
      <w:r w:rsidR="006C6F09">
        <w:t xml:space="preserve"> </w:t>
      </w:r>
      <w:r>
        <w:t>such</w:t>
      </w:r>
      <w:r w:rsidR="006C6F09">
        <w:t xml:space="preserve"> </w:t>
      </w:r>
      <w:r>
        <w:t>populations</w:t>
      </w:r>
      <w:r w:rsidR="006C6F09">
        <w:t xml:space="preserve"> </w:t>
      </w:r>
      <w:r>
        <w:t>are</w:t>
      </w:r>
      <w:r w:rsidR="006C6F09">
        <w:t xml:space="preserve"> </w:t>
      </w:r>
      <w:r>
        <w:t>identified</w:t>
      </w:r>
      <w:r w:rsidR="006C6F09">
        <w:t xml:space="preserve"> </w:t>
      </w:r>
      <w:r>
        <w:t>in</w:t>
      </w:r>
      <w:r w:rsidR="006C6F09">
        <w:t xml:space="preserve"> </w:t>
      </w:r>
      <w:r>
        <w:t>the</w:t>
      </w:r>
      <w:r w:rsidR="006C6F09">
        <w:t xml:space="preserve"> </w:t>
      </w:r>
      <w:r>
        <w:t>project</w:t>
      </w:r>
      <w:r w:rsidR="006C6F09">
        <w:t xml:space="preserve"> </w:t>
      </w:r>
      <w:r>
        <w:t>area.</w:t>
      </w:r>
      <w:r w:rsidR="006C6F09">
        <w:t xml:space="preserve"> </w:t>
      </w:r>
      <w:r>
        <w:t>Notice</w:t>
      </w:r>
      <w:r w:rsidR="006C6F09">
        <w:t xml:space="preserve"> </w:t>
      </w:r>
      <w:r>
        <w:t>of</w:t>
      </w:r>
      <w:r w:rsidR="006C6F09">
        <w:t xml:space="preserve"> </w:t>
      </w:r>
      <w:r>
        <w:t>a</w:t>
      </w:r>
      <w:r w:rsidR="006C6F09">
        <w:t xml:space="preserve"> </w:t>
      </w:r>
      <w:r>
        <w:t>virtual</w:t>
      </w:r>
      <w:r w:rsidR="006C6F09">
        <w:t xml:space="preserve"> </w:t>
      </w:r>
      <w:r>
        <w:t>public</w:t>
      </w:r>
      <w:r w:rsidR="006C6F09">
        <w:t xml:space="preserve"> </w:t>
      </w:r>
      <w:r>
        <w:t>hearing</w:t>
      </w:r>
      <w:r w:rsidR="006C6F09">
        <w:t xml:space="preserve"> </w:t>
      </w:r>
      <w:r>
        <w:t>must</w:t>
      </w:r>
      <w:r w:rsidR="006C6F09">
        <w:t xml:space="preserve"> </w:t>
      </w:r>
      <w:r>
        <w:t>also</w:t>
      </w:r>
      <w:r w:rsidR="006C6F09">
        <w:t xml:space="preserve"> </w:t>
      </w:r>
      <w:r>
        <w:t>include</w:t>
      </w:r>
      <w:r w:rsidR="006C6F09">
        <w:t xml:space="preserve"> </w:t>
      </w:r>
      <w:r>
        <w:t>the</w:t>
      </w:r>
      <w:r w:rsidR="006C6F09">
        <w:t xml:space="preserve"> </w:t>
      </w:r>
      <w:r>
        <w:t>following:</w:t>
      </w:r>
    </w:p>
    <w:p w14:paraId="1493BDE2" w14:textId="3DA3BAF1" w:rsidR="00457754" w:rsidRPr="002255B4" w:rsidRDefault="00457754" w:rsidP="00457754">
      <w:pPr>
        <w:pStyle w:val="ListBullet"/>
      </w:pPr>
      <w:r w:rsidRPr="002255B4">
        <w:t>clear</w:t>
      </w:r>
      <w:r w:rsidR="006C6F09">
        <w:t xml:space="preserve"> </w:t>
      </w:r>
      <w:r w:rsidRPr="002255B4">
        <w:t>instructions</w:t>
      </w:r>
      <w:r w:rsidR="006C6F09">
        <w:t xml:space="preserve"> </w:t>
      </w:r>
      <w:r w:rsidRPr="002255B4">
        <w:t>about</w:t>
      </w:r>
      <w:r w:rsidR="006C6F09">
        <w:t xml:space="preserve"> </w:t>
      </w:r>
      <w:r w:rsidRPr="002255B4">
        <w:t>how</w:t>
      </w:r>
      <w:r w:rsidR="006C6F09">
        <w:t xml:space="preserve"> </w:t>
      </w:r>
      <w:r w:rsidRPr="002255B4">
        <w:t>to</w:t>
      </w:r>
      <w:r w:rsidR="006C6F09">
        <w:t xml:space="preserve"> </w:t>
      </w:r>
      <w:r w:rsidRPr="002255B4">
        <w:t>view</w:t>
      </w:r>
      <w:r w:rsidR="006C6F09">
        <w:t xml:space="preserve"> </w:t>
      </w:r>
      <w:r w:rsidRPr="002255B4">
        <w:t>the</w:t>
      </w:r>
      <w:r w:rsidR="006C6F09">
        <w:t xml:space="preserve"> </w:t>
      </w:r>
      <w:r w:rsidRPr="002255B4">
        <w:t>virtual</w:t>
      </w:r>
      <w:r w:rsidR="006C6F09">
        <w:t xml:space="preserve"> </w:t>
      </w:r>
      <w:r w:rsidRPr="002255B4">
        <w:t>public</w:t>
      </w:r>
      <w:r w:rsidR="006C6F09">
        <w:t xml:space="preserve"> </w:t>
      </w:r>
      <w:proofErr w:type="gramStart"/>
      <w:r w:rsidRPr="002255B4">
        <w:t>hearing;</w:t>
      </w:r>
      <w:proofErr w:type="gramEnd"/>
    </w:p>
    <w:p w14:paraId="02E84260" w14:textId="0508288A" w:rsidR="00457754" w:rsidRPr="002255B4" w:rsidRDefault="00457754" w:rsidP="00457754">
      <w:pPr>
        <w:pStyle w:val="ListBullet"/>
      </w:pPr>
      <w:r w:rsidRPr="002255B4">
        <w:t>an</w:t>
      </w:r>
      <w:r w:rsidR="006C6F09">
        <w:t xml:space="preserve"> </w:t>
      </w:r>
      <w:r w:rsidRPr="002255B4">
        <w:t>explanation</w:t>
      </w:r>
      <w:r w:rsidR="006C6F09">
        <w:t xml:space="preserve"> </w:t>
      </w:r>
      <w:r w:rsidRPr="002255B4">
        <w:t>of</w:t>
      </w:r>
      <w:r w:rsidR="006C6F09">
        <w:t xml:space="preserve"> </w:t>
      </w:r>
      <w:r w:rsidRPr="002255B4">
        <w:t>how</w:t>
      </w:r>
      <w:r w:rsidR="006C6F09">
        <w:t xml:space="preserve"> </w:t>
      </w:r>
      <w:r w:rsidRPr="002255B4">
        <w:t>the</w:t>
      </w:r>
      <w:r w:rsidR="006C6F09">
        <w:t xml:space="preserve"> </w:t>
      </w:r>
      <w:r w:rsidRPr="002255B4">
        <w:t>virtual</w:t>
      </w:r>
      <w:r w:rsidR="006C6F09">
        <w:t xml:space="preserve"> </w:t>
      </w:r>
      <w:r w:rsidRPr="002255B4">
        <w:t>public</w:t>
      </w:r>
      <w:r w:rsidR="006C6F09">
        <w:t xml:space="preserve"> </w:t>
      </w:r>
      <w:r w:rsidRPr="002255B4">
        <w:t>hearing</w:t>
      </w:r>
      <w:r w:rsidR="006C6F09">
        <w:t xml:space="preserve"> </w:t>
      </w:r>
      <w:r w:rsidRPr="002255B4">
        <w:t>will</w:t>
      </w:r>
      <w:r w:rsidR="006C6F09">
        <w:t xml:space="preserve"> </w:t>
      </w:r>
      <w:r w:rsidRPr="002255B4">
        <w:t>be</w:t>
      </w:r>
      <w:r w:rsidR="006C6F09">
        <w:t xml:space="preserve"> </w:t>
      </w:r>
      <w:r w:rsidRPr="002255B4">
        <w:t>conducted;</w:t>
      </w:r>
      <w:r w:rsidR="006C6F09">
        <w:t xml:space="preserve"> </w:t>
      </w:r>
      <w:r w:rsidRPr="002255B4">
        <w:t>and</w:t>
      </w:r>
    </w:p>
    <w:p w14:paraId="234703FD" w14:textId="13D94EC9" w:rsidR="00457754" w:rsidRPr="002255B4" w:rsidRDefault="00457754" w:rsidP="00457754">
      <w:pPr>
        <w:pStyle w:val="ListBullet"/>
      </w:pPr>
      <w:r w:rsidRPr="002255B4">
        <w:lastRenderedPageBreak/>
        <w:t>an</w:t>
      </w:r>
      <w:r w:rsidR="006C6F09">
        <w:t xml:space="preserve"> </w:t>
      </w:r>
      <w:r w:rsidRPr="002255B4">
        <w:t>explanation</w:t>
      </w:r>
      <w:r w:rsidR="006C6F09">
        <w:t xml:space="preserve"> </w:t>
      </w:r>
      <w:r w:rsidRPr="002255B4">
        <w:t>that</w:t>
      </w:r>
      <w:r w:rsidR="006C6F09">
        <w:t xml:space="preserve"> </w:t>
      </w:r>
      <w:r w:rsidRPr="002255B4">
        <w:t>members</w:t>
      </w:r>
      <w:r w:rsidR="006C6F09">
        <w:t xml:space="preserve"> </w:t>
      </w:r>
      <w:r w:rsidRPr="002255B4">
        <w:t>of</w:t>
      </w:r>
      <w:r w:rsidR="006C6F09">
        <w:t xml:space="preserve"> </w:t>
      </w:r>
      <w:r w:rsidRPr="002255B4">
        <w:t>the</w:t>
      </w:r>
      <w:r w:rsidR="006C6F09">
        <w:t xml:space="preserve"> </w:t>
      </w:r>
      <w:r w:rsidRPr="002255B4">
        <w:t>public</w:t>
      </w:r>
      <w:r w:rsidR="006C6F09">
        <w:t xml:space="preserve"> </w:t>
      </w:r>
      <w:r w:rsidRPr="002255B4">
        <w:t>may,</w:t>
      </w:r>
      <w:r w:rsidR="006C6F09">
        <w:t xml:space="preserve"> </w:t>
      </w:r>
      <w:r w:rsidRPr="002255B4">
        <w:t>as</w:t>
      </w:r>
      <w:r w:rsidR="006C6F09">
        <w:t xml:space="preserve"> </w:t>
      </w:r>
      <w:r w:rsidRPr="002255B4">
        <w:t>an</w:t>
      </w:r>
      <w:r w:rsidR="006C6F09">
        <w:t xml:space="preserve"> </w:t>
      </w:r>
      <w:r w:rsidRPr="002255B4">
        <w:t>alternative</w:t>
      </w:r>
      <w:r w:rsidR="006C6F09">
        <w:t xml:space="preserve"> </w:t>
      </w:r>
      <w:r w:rsidRPr="002255B4">
        <w:t>to</w:t>
      </w:r>
      <w:r w:rsidR="006C6F09">
        <w:t xml:space="preserve"> </w:t>
      </w:r>
      <w:r w:rsidRPr="002255B4">
        <w:t>viewing</w:t>
      </w:r>
      <w:r w:rsidR="006C6F09">
        <w:t xml:space="preserve"> </w:t>
      </w:r>
      <w:r w:rsidRPr="002255B4">
        <w:t>to</w:t>
      </w:r>
      <w:r w:rsidR="006C6F09">
        <w:t xml:space="preserve"> </w:t>
      </w:r>
      <w:r w:rsidRPr="002255B4">
        <w:t>the</w:t>
      </w:r>
      <w:r w:rsidR="006C6F09">
        <w:t xml:space="preserve"> </w:t>
      </w:r>
      <w:r w:rsidRPr="002255B4">
        <w:t>virtual</w:t>
      </w:r>
      <w:r w:rsidR="006C6F09">
        <w:t xml:space="preserve"> </w:t>
      </w:r>
      <w:r w:rsidRPr="002255B4">
        <w:t>public</w:t>
      </w:r>
      <w:r w:rsidR="006C6F09">
        <w:t xml:space="preserve"> </w:t>
      </w:r>
      <w:r w:rsidRPr="002255B4">
        <w:t>hearing,</w:t>
      </w:r>
      <w:r w:rsidR="006C6F09">
        <w:t xml:space="preserve"> </w:t>
      </w:r>
      <w:r w:rsidRPr="002255B4">
        <w:t>call</w:t>
      </w:r>
      <w:r w:rsidR="006C6F09">
        <w:t xml:space="preserve"> </w:t>
      </w:r>
      <w:r w:rsidRPr="002255B4">
        <w:t>or</w:t>
      </w:r>
      <w:r w:rsidR="006C6F09">
        <w:t xml:space="preserve"> </w:t>
      </w:r>
      <w:r w:rsidRPr="002255B4">
        <w:t>email</w:t>
      </w:r>
      <w:r w:rsidR="006C6F09">
        <w:t xml:space="preserve"> </w:t>
      </w:r>
      <w:r w:rsidRPr="002255B4">
        <w:t>district</w:t>
      </w:r>
      <w:r w:rsidR="006C6F09">
        <w:t xml:space="preserve"> </w:t>
      </w:r>
      <w:r w:rsidRPr="002255B4">
        <w:t>or</w:t>
      </w:r>
      <w:r w:rsidR="006C6F09">
        <w:t xml:space="preserve"> </w:t>
      </w:r>
      <w:r w:rsidRPr="002255B4">
        <w:t>project</w:t>
      </w:r>
      <w:r w:rsidR="006C6F09">
        <w:t xml:space="preserve"> </w:t>
      </w:r>
      <w:r w:rsidRPr="002255B4">
        <w:t>staff</w:t>
      </w:r>
      <w:r w:rsidR="006C6F09">
        <w:t xml:space="preserve"> </w:t>
      </w:r>
      <w:r w:rsidRPr="002255B4">
        <w:t>to</w:t>
      </w:r>
      <w:r w:rsidR="006C6F09">
        <w:t xml:space="preserve"> </w:t>
      </w:r>
      <w:r w:rsidRPr="002255B4">
        <w:t>ask</w:t>
      </w:r>
      <w:r w:rsidR="006C6F09">
        <w:t xml:space="preserve"> </w:t>
      </w:r>
      <w:r w:rsidRPr="002255B4">
        <w:t>questions</w:t>
      </w:r>
      <w:r w:rsidR="006C6F09">
        <w:t xml:space="preserve"> </w:t>
      </w:r>
      <w:r w:rsidRPr="002255B4">
        <w:t>about</w:t>
      </w:r>
      <w:r w:rsidR="006C6F09">
        <w:t xml:space="preserve"> </w:t>
      </w:r>
      <w:r w:rsidRPr="002255B4">
        <w:t>the</w:t>
      </w:r>
      <w:r w:rsidR="006C6F09">
        <w:t xml:space="preserve"> </w:t>
      </w:r>
      <w:r w:rsidRPr="002255B4">
        <w:t>project,</w:t>
      </w:r>
      <w:r w:rsidR="006C6F09">
        <w:t xml:space="preserve"> </w:t>
      </w:r>
      <w:r w:rsidRPr="002255B4">
        <w:t>access</w:t>
      </w:r>
      <w:r w:rsidR="006C6F09">
        <w:t xml:space="preserve"> </w:t>
      </w:r>
      <w:r w:rsidRPr="002255B4">
        <w:t>project</w:t>
      </w:r>
      <w:r w:rsidR="006C6F09">
        <w:t xml:space="preserve"> </w:t>
      </w:r>
      <w:r w:rsidRPr="002255B4">
        <w:t>materials,</w:t>
      </w:r>
      <w:r w:rsidR="006C6F09">
        <w:t xml:space="preserve"> </w:t>
      </w:r>
      <w:r w:rsidRPr="002255B4">
        <w:t>and</w:t>
      </w:r>
      <w:r w:rsidR="006C6F09">
        <w:t xml:space="preserve"> </w:t>
      </w:r>
      <w:r w:rsidRPr="002255B4">
        <w:t>submit</w:t>
      </w:r>
      <w:r w:rsidR="006C6F09">
        <w:t xml:space="preserve"> </w:t>
      </w:r>
      <w:r w:rsidRPr="002255B4">
        <w:t>public</w:t>
      </w:r>
      <w:r w:rsidR="006C6F09">
        <w:t xml:space="preserve"> </w:t>
      </w:r>
      <w:r w:rsidRPr="002255B4">
        <w:t>comments</w:t>
      </w:r>
      <w:r w:rsidR="006C6F09">
        <w:t xml:space="preserve"> </w:t>
      </w:r>
      <w:r w:rsidRPr="002255B4">
        <w:t>via</w:t>
      </w:r>
      <w:r w:rsidR="006C6F09">
        <w:t xml:space="preserve"> </w:t>
      </w:r>
      <w:r w:rsidRPr="002255B4">
        <w:t>email</w:t>
      </w:r>
      <w:r w:rsidR="006C6F09">
        <w:t xml:space="preserve"> </w:t>
      </w:r>
      <w:r w:rsidRPr="002255B4">
        <w:t>or</w:t>
      </w:r>
      <w:r w:rsidR="006C6F09">
        <w:t xml:space="preserve"> </w:t>
      </w:r>
      <w:r w:rsidRPr="002255B4">
        <w:t>letter.</w:t>
      </w:r>
      <w:r w:rsidR="006C6F09">
        <w:t xml:space="preserve"> </w:t>
      </w:r>
    </w:p>
    <w:p w14:paraId="7670D3B5" w14:textId="65E7C31F" w:rsidR="00457754" w:rsidRDefault="00457754" w:rsidP="00457754">
      <w:r>
        <w:t>A</w:t>
      </w:r>
      <w:r w:rsidR="006C6F09">
        <w:t xml:space="preserve"> </w:t>
      </w:r>
      <w:r>
        <w:t>virtual</w:t>
      </w:r>
      <w:r w:rsidR="006C6F09">
        <w:t xml:space="preserve"> </w:t>
      </w:r>
      <w:r>
        <w:t>public</w:t>
      </w:r>
      <w:r w:rsidR="006C6F09">
        <w:t xml:space="preserve"> </w:t>
      </w:r>
      <w:r>
        <w:t>hearing</w:t>
      </w:r>
      <w:r w:rsidR="006C6F09">
        <w:t xml:space="preserve"> </w:t>
      </w:r>
      <w:r>
        <w:t>must</w:t>
      </w:r>
      <w:r w:rsidR="006C6F09">
        <w:t xml:space="preserve"> </w:t>
      </w:r>
      <w:r>
        <w:t>satisfy</w:t>
      </w:r>
      <w:r w:rsidR="006C6F09">
        <w:t xml:space="preserve"> </w:t>
      </w:r>
      <w:r>
        <w:t>the</w:t>
      </w:r>
      <w:r w:rsidR="006C6F09">
        <w:t xml:space="preserve"> </w:t>
      </w:r>
      <w:r>
        <w:t>purposes</w:t>
      </w:r>
      <w:r w:rsidR="006C6F09">
        <w:t xml:space="preserve"> </w:t>
      </w:r>
      <w:r>
        <w:t>of</w:t>
      </w:r>
      <w:r w:rsidR="006C6F09">
        <w:t xml:space="preserve"> </w:t>
      </w:r>
      <w:r>
        <w:t>a</w:t>
      </w:r>
      <w:r w:rsidR="006C6F09">
        <w:t xml:space="preserve"> </w:t>
      </w:r>
      <w:r>
        <w:t>public</w:t>
      </w:r>
      <w:r w:rsidR="006C6F09">
        <w:t xml:space="preserve"> </w:t>
      </w:r>
      <w:r>
        <w:t>hearing</w:t>
      </w:r>
      <w:r w:rsidR="006C6F09">
        <w:t xml:space="preserve"> </w:t>
      </w:r>
      <w:r>
        <w:t>identified</w:t>
      </w:r>
      <w:r w:rsidR="006C6F09">
        <w:t xml:space="preserve"> </w:t>
      </w:r>
      <w:r>
        <w:t>in</w:t>
      </w:r>
      <w:r w:rsidR="006C6F09">
        <w:t xml:space="preserve"> </w:t>
      </w:r>
      <w:r>
        <w:t>Subsection</w:t>
      </w:r>
      <w:r w:rsidR="006C6F09">
        <w:t xml:space="preserve"> </w:t>
      </w:r>
      <w:r w:rsidRPr="00263E76">
        <w:rPr>
          <w:color w:val="0056A9"/>
          <w:u w:val="single"/>
        </w:rPr>
        <w:fldChar w:fldCharType="begin"/>
      </w:r>
      <w:r w:rsidRPr="00263E76">
        <w:rPr>
          <w:color w:val="0056A9"/>
          <w:u w:val="single"/>
        </w:rPr>
        <w:instrText xml:space="preserve"> REF _Ref219790964 \h  \* MERGEFORMAT </w:instrText>
      </w:r>
      <w:r w:rsidRPr="00263E76">
        <w:rPr>
          <w:color w:val="0056A9"/>
          <w:u w:val="single"/>
        </w:rPr>
      </w:r>
      <w:r w:rsidRPr="00263E76">
        <w:rPr>
          <w:color w:val="0056A9"/>
          <w:u w:val="single"/>
        </w:rPr>
        <w:fldChar w:fldCharType="separate"/>
      </w:r>
      <w:r w:rsidRPr="00263E76">
        <w:rPr>
          <w:color w:val="0056A9"/>
          <w:u w:val="single"/>
        </w:rPr>
        <w:t>6.0</w:t>
      </w:r>
      <w:r w:rsidRPr="00263E76">
        <w:rPr>
          <w:color w:val="0056A9"/>
          <w:u w:val="single"/>
        </w:rPr>
        <w:fldChar w:fldCharType="end"/>
      </w:r>
      <w:r w:rsidR="006C6F09">
        <w:t xml:space="preserve"> </w:t>
      </w:r>
      <w:r>
        <w:t>above.</w:t>
      </w:r>
      <w:r w:rsidR="006C6F09">
        <w:t xml:space="preserve"> </w:t>
      </w:r>
      <w:r>
        <w:t>Specifically,</w:t>
      </w:r>
      <w:r w:rsidR="006C6F09">
        <w:t xml:space="preserve"> </w:t>
      </w:r>
      <w:r>
        <w:t>a</w:t>
      </w:r>
      <w:r w:rsidR="006C6F09">
        <w:t xml:space="preserve"> </w:t>
      </w:r>
      <w:r>
        <w:t>virtual</w:t>
      </w:r>
      <w:r w:rsidR="006C6F09">
        <w:t xml:space="preserve"> </w:t>
      </w:r>
      <w:r>
        <w:t>public</w:t>
      </w:r>
      <w:r w:rsidR="006C6F09">
        <w:t xml:space="preserve"> </w:t>
      </w:r>
      <w:r>
        <w:t>hearing</w:t>
      </w:r>
      <w:r w:rsidR="006C6F09">
        <w:t xml:space="preserve"> </w:t>
      </w:r>
      <w:r>
        <w:t>must</w:t>
      </w:r>
      <w:r w:rsidR="006C6F09">
        <w:t xml:space="preserve"> </w:t>
      </w:r>
      <w:r>
        <w:t>comply</w:t>
      </w:r>
      <w:r w:rsidR="006C6F09">
        <w:t xml:space="preserve"> </w:t>
      </w:r>
      <w:r>
        <w:t>with</w:t>
      </w:r>
      <w:r w:rsidR="006C6F09">
        <w:t xml:space="preserve"> </w:t>
      </w:r>
      <w:r>
        <w:t>the</w:t>
      </w:r>
      <w:r w:rsidR="006C6F09">
        <w:t xml:space="preserve"> </w:t>
      </w:r>
      <w:r>
        <w:t>following:</w:t>
      </w:r>
    </w:p>
    <w:p w14:paraId="6176AC94" w14:textId="4F1A1ADC" w:rsidR="00457754" w:rsidRPr="002255B4" w:rsidRDefault="00457754" w:rsidP="00457754">
      <w:pPr>
        <w:pStyle w:val="ListBullet"/>
      </w:pPr>
      <w:r w:rsidRPr="002255B4">
        <w:t>As</w:t>
      </w:r>
      <w:r w:rsidR="006C6F09">
        <w:t xml:space="preserve"> </w:t>
      </w:r>
      <w:r w:rsidRPr="002255B4">
        <w:t>of</w:t>
      </w:r>
      <w:r w:rsidR="006C6F09">
        <w:t xml:space="preserve"> </w:t>
      </w:r>
      <w:r w:rsidRPr="002255B4">
        <w:t>early</w:t>
      </w:r>
      <w:r w:rsidR="006C6F09">
        <w:t xml:space="preserve"> </w:t>
      </w:r>
      <w:r w:rsidRPr="002255B4">
        <w:t>2024,</w:t>
      </w:r>
      <w:r w:rsidR="006C6F09">
        <w:t xml:space="preserve"> </w:t>
      </w:r>
      <w:r w:rsidRPr="002255B4">
        <w:t>the</w:t>
      </w:r>
      <w:r w:rsidR="006C6F09">
        <w:t xml:space="preserve"> </w:t>
      </w:r>
      <w:r w:rsidRPr="002255B4">
        <w:t>virtual</w:t>
      </w:r>
      <w:r w:rsidR="006C6F09">
        <w:t xml:space="preserve"> </w:t>
      </w:r>
      <w:r w:rsidRPr="002255B4">
        <w:t>hearings</w:t>
      </w:r>
      <w:r w:rsidR="006C6F09">
        <w:t xml:space="preserve"> </w:t>
      </w:r>
      <w:r w:rsidRPr="002255B4">
        <w:t>are</w:t>
      </w:r>
      <w:r w:rsidR="006C6F09">
        <w:t xml:space="preserve"> </w:t>
      </w:r>
      <w:r w:rsidRPr="002255B4">
        <w:t>mostly</w:t>
      </w:r>
      <w:r w:rsidR="006C6F09">
        <w:t xml:space="preserve"> </w:t>
      </w:r>
      <w:r w:rsidRPr="002255B4">
        <w:t>being</w:t>
      </w:r>
      <w:r w:rsidR="006C6F09">
        <w:t xml:space="preserve"> </w:t>
      </w:r>
      <w:r w:rsidRPr="002255B4">
        <w:t>done</w:t>
      </w:r>
      <w:r w:rsidR="006C6F09">
        <w:t xml:space="preserve"> </w:t>
      </w:r>
      <w:r w:rsidRPr="002255B4">
        <w:t>via</w:t>
      </w:r>
      <w:r w:rsidR="006C6F09">
        <w:t xml:space="preserve"> </w:t>
      </w:r>
      <w:r w:rsidRPr="002255B4">
        <w:t>pre-recorded</w:t>
      </w:r>
      <w:r w:rsidR="006C6F09">
        <w:t xml:space="preserve"> </w:t>
      </w:r>
      <w:r w:rsidRPr="002255B4">
        <w:t>presentations</w:t>
      </w:r>
      <w:r w:rsidR="006C6F09">
        <w:t xml:space="preserve"> </w:t>
      </w:r>
      <w:r w:rsidRPr="002255B4">
        <w:t>that</w:t>
      </w:r>
      <w:r w:rsidR="006C6F09">
        <w:t xml:space="preserve"> </w:t>
      </w:r>
      <w:r w:rsidRPr="002255B4">
        <w:t>are</w:t>
      </w:r>
      <w:r w:rsidR="006C6F09">
        <w:t xml:space="preserve"> </w:t>
      </w:r>
      <w:r w:rsidRPr="002255B4">
        <w:t>poste</w:t>
      </w:r>
      <w:r w:rsidRPr="00245110">
        <w:rPr>
          <w:szCs w:val="24"/>
        </w:rPr>
        <w:t>d</w:t>
      </w:r>
      <w:r w:rsidR="006C6F09">
        <w:rPr>
          <w:szCs w:val="24"/>
        </w:rPr>
        <w:t xml:space="preserve"> </w:t>
      </w:r>
      <w:r w:rsidRPr="00245110">
        <w:rPr>
          <w:szCs w:val="24"/>
        </w:rPr>
        <w:t>to</w:t>
      </w:r>
      <w:r w:rsidR="006C6F09">
        <w:rPr>
          <w:szCs w:val="24"/>
        </w:rPr>
        <w:t xml:space="preserve"> </w:t>
      </w:r>
      <w:r w:rsidRPr="00245110">
        <w:rPr>
          <w:szCs w:val="24"/>
        </w:rPr>
        <w:t>the</w:t>
      </w:r>
      <w:r w:rsidR="006C6F09">
        <w:rPr>
          <w:szCs w:val="24"/>
        </w:rPr>
        <w:t xml:space="preserve"> </w:t>
      </w:r>
      <w:hyperlink r:id="rId60">
        <w:r w:rsidRPr="0064430B">
          <w:rPr>
            <w:rFonts w:asciiTheme="minorHAnsi" w:hAnsiTheme="minorHAnsi" w:cstheme="minorHAnsi"/>
            <w:color w:val="0056A9"/>
            <w:spacing w:val="-1"/>
            <w:szCs w:val="24"/>
            <w:u w:val="single" w:color="0462C1"/>
          </w:rPr>
          <w:t>TxDOT</w:t>
        </w:r>
        <w:r w:rsidR="006C6F09">
          <w:rPr>
            <w:rFonts w:asciiTheme="minorHAnsi" w:hAnsiTheme="minorHAnsi" w:cstheme="minorHAnsi"/>
            <w:color w:val="0056A9"/>
            <w:spacing w:val="-2"/>
            <w:szCs w:val="24"/>
            <w:u w:val="single" w:color="0462C1"/>
          </w:rPr>
          <w:t xml:space="preserve"> </w:t>
        </w:r>
        <w:r w:rsidRPr="0064430B">
          <w:rPr>
            <w:rFonts w:asciiTheme="minorHAnsi" w:hAnsiTheme="minorHAnsi" w:cstheme="minorHAnsi"/>
            <w:color w:val="0056A9"/>
            <w:spacing w:val="-1"/>
            <w:szCs w:val="24"/>
            <w:u w:val="single" w:color="0462C1"/>
          </w:rPr>
          <w:t>YouTube</w:t>
        </w:r>
        <w:r w:rsidR="006C6F09">
          <w:rPr>
            <w:rFonts w:asciiTheme="minorHAnsi" w:hAnsiTheme="minorHAnsi" w:cstheme="minorHAnsi"/>
            <w:color w:val="0056A9"/>
            <w:szCs w:val="24"/>
            <w:u w:val="single" w:color="0462C1"/>
          </w:rPr>
          <w:t xml:space="preserve"> </w:t>
        </w:r>
        <w:r w:rsidRPr="0064430B">
          <w:rPr>
            <w:rFonts w:asciiTheme="minorHAnsi" w:hAnsiTheme="minorHAnsi" w:cstheme="minorHAnsi"/>
            <w:color w:val="0056A9"/>
            <w:spacing w:val="-1"/>
            <w:szCs w:val="24"/>
            <w:u w:val="single" w:color="0462C1"/>
          </w:rPr>
          <w:t>channel</w:t>
        </w:r>
        <w:r w:rsidR="006C6F09">
          <w:rPr>
            <w:rFonts w:asciiTheme="minorHAnsi" w:hAnsiTheme="minorHAnsi" w:cstheme="minorHAnsi"/>
            <w:color w:val="0056A9"/>
            <w:spacing w:val="-1"/>
            <w:szCs w:val="24"/>
            <w:u w:val="single" w:color="0462C1"/>
          </w:rPr>
          <w:t xml:space="preserve"> </w:t>
        </w:r>
      </w:hyperlink>
      <w:r w:rsidRPr="00245110">
        <w:rPr>
          <w:szCs w:val="24"/>
        </w:rPr>
        <w:t>via</w:t>
      </w:r>
      <w:r w:rsidR="006C6F09">
        <w:rPr>
          <w:szCs w:val="24"/>
        </w:rPr>
        <w:t xml:space="preserve"> </w:t>
      </w:r>
      <w:r w:rsidRPr="00245110">
        <w:rPr>
          <w:szCs w:val="24"/>
        </w:rPr>
        <w:t>the</w:t>
      </w:r>
      <w:r w:rsidR="006C6F09">
        <w:rPr>
          <w:szCs w:val="24"/>
        </w:rPr>
        <w:t xml:space="preserve"> </w:t>
      </w:r>
      <w:r w:rsidRPr="00245110">
        <w:rPr>
          <w:szCs w:val="24"/>
        </w:rPr>
        <w:t>d</w:t>
      </w:r>
      <w:r w:rsidRPr="002255B4">
        <w:t>istrict</w:t>
      </w:r>
      <w:r w:rsidR="006C6F09">
        <w:t xml:space="preserve"> </w:t>
      </w:r>
      <w:r w:rsidRPr="002255B4">
        <w:t>PIO</w:t>
      </w:r>
      <w:r w:rsidR="006C6F09">
        <w:t xml:space="preserve"> </w:t>
      </w:r>
      <w:r w:rsidRPr="002255B4">
        <w:t>or</w:t>
      </w:r>
      <w:r w:rsidR="006C6F09">
        <w:t xml:space="preserve"> </w:t>
      </w:r>
      <w:r w:rsidRPr="002255B4">
        <w:t>TxDOT</w:t>
      </w:r>
      <w:r w:rsidR="006C6F09">
        <w:t xml:space="preserve"> </w:t>
      </w:r>
      <w:r w:rsidRPr="002255B4">
        <w:t>Media</w:t>
      </w:r>
      <w:r w:rsidR="006C6F09">
        <w:t xml:space="preserve"> </w:t>
      </w:r>
      <w:r w:rsidRPr="002255B4">
        <w:t>Relations</w:t>
      </w:r>
      <w:r w:rsidR="006C6F09">
        <w:t xml:space="preserve"> </w:t>
      </w:r>
      <w:r w:rsidRPr="002255B4">
        <w:t>in</w:t>
      </w:r>
      <w:r w:rsidR="006C6F09">
        <w:t xml:space="preserve"> </w:t>
      </w:r>
      <w:r w:rsidRPr="002255B4">
        <w:t>coordination</w:t>
      </w:r>
      <w:r w:rsidR="006C6F09">
        <w:t xml:space="preserve"> </w:t>
      </w:r>
      <w:r w:rsidRPr="002255B4">
        <w:t>with</w:t>
      </w:r>
      <w:r w:rsidR="006C6F09">
        <w:t xml:space="preserve"> </w:t>
      </w:r>
      <w:r w:rsidRPr="002255B4">
        <w:t>TPP’s</w:t>
      </w:r>
      <w:r w:rsidR="006C6F09">
        <w:t xml:space="preserve"> </w:t>
      </w:r>
      <w:r w:rsidRPr="002255B4">
        <w:t>PI</w:t>
      </w:r>
      <w:r w:rsidR="006C6F09">
        <w:t xml:space="preserve"> </w:t>
      </w:r>
      <w:r w:rsidRPr="002255B4">
        <w:t>Section.</w:t>
      </w:r>
      <w:r w:rsidR="006C6F09">
        <w:t xml:space="preserve"> </w:t>
      </w:r>
      <w:r w:rsidRPr="002255B4">
        <w:t>ENV’s</w:t>
      </w:r>
      <w:r w:rsidR="006C6F09">
        <w:t xml:space="preserve"> </w:t>
      </w:r>
      <w:r w:rsidRPr="002255B4">
        <w:t>notice</w:t>
      </w:r>
      <w:r w:rsidR="006C6F09">
        <w:t xml:space="preserve"> </w:t>
      </w:r>
      <w:r w:rsidRPr="002255B4">
        <w:t>templates</w:t>
      </w:r>
      <w:r w:rsidR="006C6F09">
        <w:t xml:space="preserve"> </w:t>
      </w:r>
      <w:r w:rsidRPr="002255B4">
        <w:t>talk</w:t>
      </w:r>
      <w:r w:rsidR="006C6F09">
        <w:t xml:space="preserve"> </w:t>
      </w:r>
      <w:r w:rsidRPr="002255B4">
        <w:t>about</w:t>
      </w:r>
      <w:r w:rsidR="006C6F09">
        <w:t xml:space="preserve"> </w:t>
      </w:r>
      <w:r w:rsidRPr="002255B4">
        <w:t>editing</w:t>
      </w:r>
      <w:r w:rsidR="006C6F09">
        <w:t xml:space="preserve"> </w:t>
      </w:r>
      <w:r w:rsidRPr="002255B4">
        <w:t>the</w:t>
      </w:r>
      <w:r w:rsidR="006C6F09">
        <w:t xml:space="preserve"> </w:t>
      </w:r>
      <w:r w:rsidRPr="002255B4">
        <w:t>first</w:t>
      </w:r>
      <w:r w:rsidR="006C6F09">
        <w:t xml:space="preserve"> </w:t>
      </w:r>
      <w:r w:rsidRPr="002255B4">
        <w:t>paragraph</w:t>
      </w:r>
      <w:r w:rsidR="006C6F09">
        <w:t xml:space="preserve"> </w:t>
      </w:r>
      <w:r w:rsidRPr="002255B4">
        <w:t>of</w:t>
      </w:r>
      <w:r w:rsidR="006C6F09">
        <w:t xml:space="preserve"> </w:t>
      </w:r>
      <w:r w:rsidRPr="002255B4">
        <w:t>the</w:t>
      </w:r>
      <w:r w:rsidR="006C6F09">
        <w:t xml:space="preserve"> </w:t>
      </w:r>
      <w:r w:rsidRPr="002255B4">
        <w:t>notice</w:t>
      </w:r>
      <w:r w:rsidR="006C6F09">
        <w:t xml:space="preserve"> </w:t>
      </w:r>
      <w:r w:rsidRPr="002255B4">
        <w:t>“as</w:t>
      </w:r>
      <w:r w:rsidR="006C6F09">
        <w:t xml:space="preserve"> </w:t>
      </w:r>
      <w:r w:rsidRPr="002255B4">
        <w:t>needed”</w:t>
      </w:r>
      <w:r w:rsidR="006C6F09">
        <w:t xml:space="preserve"> </w:t>
      </w:r>
      <w:r w:rsidRPr="002255B4">
        <w:t>to</w:t>
      </w:r>
      <w:r w:rsidR="006C6F09">
        <w:t xml:space="preserve"> </w:t>
      </w:r>
      <w:r w:rsidRPr="002255B4">
        <w:t>explain</w:t>
      </w:r>
      <w:r w:rsidR="006C6F09">
        <w:t xml:space="preserve"> </w:t>
      </w:r>
      <w:r w:rsidRPr="002255B4">
        <w:t>how</w:t>
      </w:r>
      <w:r w:rsidR="006C6F09">
        <w:t xml:space="preserve"> </w:t>
      </w:r>
      <w:r w:rsidRPr="002255B4">
        <w:t>to</w:t>
      </w:r>
      <w:r w:rsidR="006C6F09">
        <w:t xml:space="preserve"> </w:t>
      </w:r>
      <w:r w:rsidRPr="002255B4">
        <w:t>“log</w:t>
      </w:r>
      <w:r w:rsidR="006C6F09">
        <w:t xml:space="preserve"> </w:t>
      </w:r>
      <w:r w:rsidRPr="002255B4">
        <w:t>onto”</w:t>
      </w:r>
      <w:r w:rsidR="006C6F09">
        <w:t xml:space="preserve"> </w:t>
      </w:r>
      <w:r w:rsidRPr="002255B4">
        <w:t>the</w:t>
      </w:r>
      <w:r w:rsidR="006C6F09">
        <w:t xml:space="preserve"> </w:t>
      </w:r>
      <w:r w:rsidRPr="002255B4">
        <w:t>live</w:t>
      </w:r>
      <w:r w:rsidR="006C6F09">
        <w:t xml:space="preserve"> </w:t>
      </w:r>
      <w:r w:rsidRPr="002255B4">
        <w:t>virtual</w:t>
      </w:r>
      <w:r w:rsidR="006C6F09">
        <w:t xml:space="preserve"> </w:t>
      </w:r>
      <w:r w:rsidRPr="002255B4">
        <w:t>hearing.</w:t>
      </w:r>
      <w:r w:rsidR="006C6F09">
        <w:t xml:space="preserve"> </w:t>
      </w:r>
      <w:r w:rsidRPr="002255B4">
        <w:t>You</w:t>
      </w:r>
      <w:r w:rsidR="006C6F09">
        <w:t xml:space="preserve"> </w:t>
      </w:r>
      <w:r w:rsidRPr="002255B4">
        <w:t>would</w:t>
      </w:r>
      <w:r w:rsidR="006C6F09">
        <w:t xml:space="preserve"> </w:t>
      </w:r>
      <w:r w:rsidRPr="002255B4">
        <w:t>only</w:t>
      </w:r>
      <w:r w:rsidR="006C6F09">
        <w:t xml:space="preserve"> </w:t>
      </w:r>
      <w:r w:rsidRPr="002255B4">
        <w:t>need</w:t>
      </w:r>
      <w:r w:rsidR="006C6F09">
        <w:t xml:space="preserve"> </w:t>
      </w:r>
      <w:r w:rsidRPr="002255B4">
        <w:t>to</w:t>
      </w:r>
      <w:r w:rsidR="006C6F09">
        <w:t xml:space="preserve"> </w:t>
      </w:r>
      <w:r w:rsidRPr="002255B4">
        <w:t>do</w:t>
      </w:r>
      <w:r w:rsidR="006C6F09">
        <w:t xml:space="preserve"> </w:t>
      </w:r>
      <w:r w:rsidRPr="002255B4">
        <w:t>that</w:t>
      </w:r>
      <w:r w:rsidR="006C6F09">
        <w:t xml:space="preserve"> </w:t>
      </w:r>
      <w:r w:rsidRPr="002255B4">
        <w:t>if</w:t>
      </w:r>
      <w:r w:rsidR="006C6F09">
        <w:t xml:space="preserve"> </w:t>
      </w:r>
      <w:r w:rsidRPr="002255B4">
        <w:t>you</w:t>
      </w:r>
      <w:r w:rsidR="006C6F09">
        <w:t xml:space="preserve"> </w:t>
      </w:r>
      <w:r w:rsidRPr="002255B4">
        <w:t>were</w:t>
      </w:r>
      <w:r w:rsidR="006C6F09">
        <w:t xml:space="preserve"> </w:t>
      </w:r>
      <w:r w:rsidRPr="002255B4">
        <w:t>using</w:t>
      </w:r>
      <w:r w:rsidR="006C6F09">
        <w:t xml:space="preserve"> </w:t>
      </w:r>
      <w:r w:rsidRPr="002255B4">
        <w:t>a</w:t>
      </w:r>
      <w:r w:rsidR="006C6F09">
        <w:t xml:space="preserve"> </w:t>
      </w:r>
      <w:r w:rsidRPr="002255B4">
        <w:t>live</w:t>
      </w:r>
      <w:r w:rsidR="006C6F09">
        <w:t xml:space="preserve"> </w:t>
      </w:r>
      <w:r w:rsidRPr="002255B4">
        <w:t>interaction</w:t>
      </w:r>
      <w:r w:rsidR="006C6F09">
        <w:t xml:space="preserve"> </w:t>
      </w:r>
      <w:r w:rsidRPr="002255B4">
        <w:t>online</w:t>
      </w:r>
      <w:r w:rsidR="006C6F09">
        <w:t xml:space="preserve"> </w:t>
      </w:r>
      <w:r w:rsidRPr="002255B4">
        <w:t>platform</w:t>
      </w:r>
      <w:r w:rsidR="006C6F09">
        <w:t xml:space="preserve"> </w:t>
      </w:r>
      <w:r w:rsidRPr="002255B4">
        <w:t>that</w:t>
      </w:r>
      <w:r w:rsidR="006C6F09">
        <w:t xml:space="preserve"> </w:t>
      </w:r>
      <w:r w:rsidRPr="002255B4">
        <w:t>required</w:t>
      </w:r>
      <w:r w:rsidR="006C6F09">
        <w:t xml:space="preserve"> </w:t>
      </w:r>
      <w:r w:rsidR="00470BFD" w:rsidRPr="002255B4">
        <w:t>log</w:t>
      </w:r>
      <w:r w:rsidRPr="002255B4">
        <w:t>-in.</w:t>
      </w:r>
    </w:p>
    <w:p w14:paraId="20C7A447" w14:textId="3B1AE97A" w:rsidR="00457754" w:rsidRPr="002255B4" w:rsidRDefault="00457754" w:rsidP="00457754">
      <w:pPr>
        <w:pStyle w:val="ListBullet"/>
      </w:pPr>
      <w:r w:rsidRPr="002255B4">
        <w:t>The</w:t>
      </w:r>
      <w:r w:rsidR="006C6F09">
        <w:t xml:space="preserve"> </w:t>
      </w:r>
      <w:r w:rsidRPr="002255B4">
        <w:t>online</w:t>
      </w:r>
      <w:r w:rsidR="006C6F09">
        <w:t xml:space="preserve"> </w:t>
      </w:r>
      <w:r w:rsidRPr="002255B4">
        <w:t>presentation</w:t>
      </w:r>
      <w:r w:rsidR="006C6F09">
        <w:t xml:space="preserve"> </w:t>
      </w:r>
      <w:r w:rsidRPr="002255B4">
        <w:t>must</w:t>
      </w:r>
      <w:r w:rsidR="006C6F09">
        <w:t xml:space="preserve"> </w:t>
      </w:r>
      <w:r w:rsidRPr="002255B4">
        <w:t>include</w:t>
      </w:r>
      <w:r w:rsidR="006C6F09">
        <w:t xml:space="preserve"> </w:t>
      </w:r>
      <w:r w:rsidRPr="002255B4">
        <w:t>a</w:t>
      </w:r>
      <w:r w:rsidR="006C6F09">
        <w:t xml:space="preserve"> </w:t>
      </w:r>
      <w:r w:rsidRPr="002255B4">
        <w:t>presentation</w:t>
      </w:r>
      <w:r w:rsidR="006C6F09">
        <w:t xml:space="preserve"> </w:t>
      </w:r>
      <w:r w:rsidRPr="002255B4">
        <w:t>by</w:t>
      </w:r>
      <w:r w:rsidR="006C6F09">
        <w:t xml:space="preserve"> </w:t>
      </w:r>
      <w:r w:rsidRPr="002255B4">
        <w:t>project</w:t>
      </w:r>
      <w:r w:rsidR="006C6F09">
        <w:t xml:space="preserve"> </w:t>
      </w:r>
      <w:r w:rsidRPr="002255B4">
        <w:t>staff,</w:t>
      </w:r>
      <w:r w:rsidR="006C6F09">
        <w:t xml:space="preserve"> </w:t>
      </w:r>
      <w:r w:rsidRPr="002255B4">
        <w:t>which</w:t>
      </w:r>
      <w:r w:rsidR="006C6F09">
        <w:t xml:space="preserve"> </w:t>
      </w:r>
      <w:r w:rsidRPr="002255B4">
        <w:t>will</w:t>
      </w:r>
      <w:r w:rsidR="006C6F09">
        <w:t xml:space="preserve"> </w:t>
      </w:r>
      <w:r w:rsidRPr="002255B4">
        <w:t>include</w:t>
      </w:r>
      <w:r w:rsidR="006C6F09">
        <w:t xml:space="preserve"> </w:t>
      </w:r>
      <w:r w:rsidRPr="002255B4">
        <w:t>both</w:t>
      </w:r>
      <w:r w:rsidR="006C6F09">
        <w:t xml:space="preserve"> </w:t>
      </w:r>
      <w:r w:rsidRPr="002255B4">
        <w:t>audio</w:t>
      </w:r>
      <w:r w:rsidR="006C6F09">
        <w:t xml:space="preserve"> </w:t>
      </w:r>
      <w:r w:rsidRPr="002255B4">
        <w:t>and</w:t>
      </w:r>
      <w:r w:rsidR="006C6F09">
        <w:t xml:space="preserve"> </w:t>
      </w:r>
      <w:r w:rsidRPr="002255B4">
        <w:t>visual</w:t>
      </w:r>
      <w:r w:rsidR="006C6F09">
        <w:t xml:space="preserve"> </w:t>
      </w:r>
      <w:r w:rsidRPr="002255B4">
        <w:t>components</w:t>
      </w:r>
      <w:r w:rsidR="006C6F09">
        <w:t xml:space="preserve"> </w:t>
      </w:r>
      <w:r w:rsidRPr="0034201E">
        <w:t>(see</w:t>
      </w:r>
      <w:r w:rsidR="006C6F09">
        <w:t xml:space="preserve"> </w:t>
      </w:r>
      <w:r w:rsidRPr="0034201E">
        <w:t>bullet</w:t>
      </w:r>
      <w:r w:rsidR="006C6F09">
        <w:t xml:space="preserve"> </w:t>
      </w:r>
      <w:r w:rsidRPr="0034201E">
        <w:t>points</w:t>
      </w:r>
      <w:r w:rsidR="006C6F09">
        <w:t xml:space="preserve"> </w:t>
      </w:r>
      <w:r w:rsidRPr="0034201E">
        <w:t>below</w:t>
      </w:r>
      <w:r w:rsidR="006C6F09">
        <w:t xml:space="preserve"> </w:t>
      </w:r>
      <w:r w:rsidRPr="0034201E">
        <w:t>under</w:t>
      </w:r>
      <w:r w:rsidR="006C6F09">
        <w:t xml:space="preserve"> </w:t>
      </w:r>
      <w:r w:rsidRPr="0034201E">
        <w:t>“</w:t>
      </w:r>
      <w:r w:rsidR="00A077D2" w:rsidRPr="0034201E">
        <w:t>Traditional</w:t>
      </w:r>
      <w:r w:rsidR="006C6F09">
        <w:t xml:space="preserve"> </w:t>
      </w:r>
      <w:r w:rsidRPr="0034201E">
        <w:t>Hearing</w:t>
      </w:r>
      <w:r w:rsidR="006C6F09">
        <w:t xml:space="preserve"> </w:t>
      </w:r>
      <w:r w:rsidRPr="0034201E">
        <w:t>Format”</w:t>
      </w:r>
      <w:r w:rsidR="006C6F09">
        <w:t xml:space="preserve"> </w:t>
      </w:r>
      <w:r w:rsidRPr="0034201E">
        <w:t>in</w:t>
      </w:r>
      <w:r w:rsidR="006C6F09">
        <w:t xml:space="preserve"> </w:t>
      </w:r>
      <w:r w:rsidRPr="0034201E">
        <w:t>Section</w:t>
      </w:r>
      <w:r w:rsidR="006C6F09">
        <w:t xml:space="preserve"> </w:t>
      </w:r>
      <w:r w:rsidR="0034201E" w:rsidRPr="00263E76">
        <w:rPr>
          <w:u w:val="single"/>
        </w:rPr>
        <w:fldChar w:fldCharType="begin"/>
      </w:r>
      <w:r w:rsidR="0034201E" w:rsidRPr="00263E76">
        <w:rPr>
          <w:u w:val="single"/>
        </w:rPr>
        <w:instrText xml:space="preserve"> REF _Ref220388283 \h  \* MERGEFORMAT </w:instrText>
      </w:r>
      <w:r w:rsidR="0034201E" w:rsidRPr="00263E76">
        <w:rPr>
          <w:u w:val="single"/>
        </w:rPr>
      </w:r>
      <w:r w:rsidR="0034201E" w:rsidRPr="00263E76">
        <w:rPr>
          <w:u w:val="single"/>
        </w:rPr>
        <w:fldChar w:fldCharType="separate"/>
      </w:r>
      <w:r w:rsidR="0034201E" w:rsidRPr="00263E76">
        <w:rPr>
          <w:color w:val="0056A9"/>
          <w:u w:val="single"/>
        </w:rPr>
        <w:t>6.3.2</w:t>
      </w:r>
      <w:r w:rsidR="0034201E" w:rsidRPr="00263E76">
        <w:rPr>
          <w:u w:val="single"/>
        </w:rPr>
        <w:fldChar w:fldCharType="end"/>
      </w:r>
      <w:r w:rsidR="006C6F09">
        <w:t xml:space="preserve"> </w:t>
      </w:r>
      <w:r w:rsidRPr="0034201E">
        <w:t>for</w:t>
      </w:r>
      <w:r w:rsidR="006C6F09">
        <w:t xml:space="preserve"> </w:t>
      </w:r>
      <w:r w:rsidRPr="0034201E">
        <w:t>the</w:t>
      </w:r>
      <w:r w:rsidR="006C6F09">
        <w:t xml:space="preserve"> </w:t>
      </w:r>
      <w:r w:rsidRPr="0034201E">
        <w:t>type</w:t>
      </w:r>
      <w:r w:rsidR="006C6F09">
        <w:t xml:space="preserve"> </w:t>
      </w:r>
      <w:r w:rsidRPr="0034201E">
        <w:t>of</w:t>
      </w:r>
      <w:r w:rsidR="006C6F09">
        <w:t xml:space="preserve"> </w:t>
      </w:r>
      <w:r w:rsidRPr="0034201E">
        <w:t>information</w:t>
      </w:r>
      <w:r w:rsidR="006C6F09">
        <w:t xml:space="preserve"> </w:t>
      </w:r>
      <w:r w:rsidRPr="0034201E">
        <w:t>about</w:t>
      </w:r>
      <w:r w:rsidR="006C6F09">
        <w:t xml:space="preserve"> </w:t>
      </w:r>
      <w:r w:rsidRPr="0034201E">
        <w:t>the</w:t>
      </w:r>
      <w:r w:rsidR="006C6F09">
        <w:t xml:space="preserve"> </w:t>
      </w:r>
      <w:r w:rsidRPr="0034201E">
        <w:t>project</w:t>
      </w:r>
      <w:r w:rsidR="006C6F09">
        <w:t xml:space="preserve"> </w:t>
      </w:r>
      <w:r w:rsidRPr="0034201E">
        <w:t>that</w:t>
      </w:r>
      <w:r w:rsidR="006C6F09">
        <w:t xml:space="preserve"> </w:t>
      </w:r>
      <w:r w:rsidRPr="0034201E">
        <w:t>must</w:t>
      </w:r>
      <w:r w:rsidR="006C6F09">
        <w:t xml:space="preserve"> </w:t>
      </w:r>
      <w:r w:rsidRPr="0034201E">
        <w:t>be</w:t>
      </w:r>
      <w:r w:rsidR="006C6F09">
        <w:t xml:space="preserve"> </w:t>
      </w:r>
      <w:r w:rsidRPr="0034201E">
        <w:t>covered</w:t>
      </w:r>
      <w:r w:rsidR="006C6F09">
        <w:t xml:space="preserve"> </w:t>
      </w:r>
      <w:r w:rsidRPr="0034201E">
        <w:t>in</w:t>
      </w:r>
      <w:r w:rsidR="006C6F09">
        <w:t xml:space="preserve"> </w:t>
      </w:r>
      <w:r w:rsidRPr="0034201E">
        <w:t>the</w:t>
      </w:r>
      <w:r w:rsidR="006C6F09">
        <w:t xml:space="preserve"> </w:t>
      </w:r>
      <w:r w:rsidRPr="0034201E">
        <w:t>presentation).</w:t>
      </w:r>
      <w:r w:rsidR="006C6F09">
        <w:t xml:space="preserve"> </w:t>
      </w:r>
      <w:r w:rsidRPr="002255B4">
        <w:t>The</w:t>
      </w:r>
      <w:r w:rsidR="006C6F09">
        <w:t xml:space="preserve"> </w:t>
      </w:r>
      <w:r w:rsidRPr="002255B4">
        <w:t>presentation</w:t>
      </w:r>
      <w:r w:rsidR="006C6F09">
        <w:t xml:space="preserve"> </w:t>
      </w:r>
      <w:r w:rsidRPr="002255B4">
        <w:t>must</w:t>
      </w:r>
      <w:r w:rsidR="006C6F09">
        <w:t xml:space="preserve"> </w:t>
      </w:r>
      <w:r w:rsidRPr="002255B4">
        <w:t>provide</w:t>
      </w:r>
      <w:r w:rsidR="006C6F09">
        <w:t xml:space="preserve"> </w:t>
      </w:r>
      <w:r w:rsidRPr="002255B4">
        <w:t>that</w:t>
      </w:r>
      <w:r w:rsidR="006C6F09">
        <w:t xml:space="preserve"> </w:t>
      </w:r>
      <w:r w:rsidRPr="002255B4">
        <w:t>participants</w:t>
      </w:r>
      <w:r w:rsidR="006C6F09">
        <w:t xml:space="preserve"> </w:t>
      </w:r>
      <w:r w:rsidRPr="002255B4">
        <w:t>may</w:t>
      </w:r>
      <w:r w:rsidR="006C6F09">
        <w:t xml:space="preserve"> </w:t>
      </w:r>
      <w:r w:rsidRPr="002255B4">
        <w:t>submit</w:t>
      </w:r>
      <w:r w:rsidR="006C6F09">
        <w:t xml:space="preserve"> </w:t>
      </w:r>
      <w:r w:rsidRPr="002255B4">
        <w:t>comments</w:t>
      </w:r>
      <w:r w:rsidR="006C6F09">
        <w:t xml:space="preserve"> </w:t>
      </w:r>
      <w:r w:rsidRPr="002255B4">
        <w:t>via</w:t>
      </w:r>
      <w:r w:rsidR="006C6F09">
        <w:t xml:space="preserve"> </w:t>
      </w:r>
      <w:r w:rsidRPr="002255B4">
        <w:t>email</w:t>
      </w:r>
      <w:r w:rsidR="006C6F09">
        <w:t xml:space="preserve"> </w:t>
      </w:r>
      <w:r w:rsidRPr="002255B4">
        <w:t>or</w:t>
      </w:r>
      <w:r w:rsidR="006C6F09">
        <w:t xml:space="preserve"> </w:t>
      </w:r>
      <w:r w:rsidRPr="002255B4">
        <w:t>letter</w:t>
      </w:r>
      <w:r w:rsidR="006C6F09">
        <w:t xml:space="preserve"> </w:t>
      </w:r>
      <w:r w:rsidRPr="002255B4">
        <w:t>(and</w:t>
      </w:r>
      <w:r w:rsidR="006C6F09">
        <w:t xml:space="preserve"> </w:t>
      </w:r>
      <w:r w:rsidRPr="002255B4">
        <w:t>voicemail</w:t>
      </w:r>
      <w:r w:rsidR="006C6F09">
        <w:t xml:space="preserve"> </w:t>
      </w:r>
      <w:r w:rsidRPr="002255B4">
        <w:t>–</w:t>
      </w:r>
      <w:r w:rsidR="006C6F09">
        <w:t xml:space="preserve"> </w:t>
      </w:r>
      <w:r w:rsidRPr="002255B4">
        <w:t>see</w:t>
      </w:r>
      <w:r w:rsidR="006C6F09">
        <w:t xml:space="preserve"> </w:t>
      </w:r>
      <w:r w:rsidRPr="002255B4">
        <w:t>below).</w:t>
      </w:r>
      <w:r w:rsidR="006C6F09">
        <w:t xml:space="preserve"> </w:t>
      </w:r>
      <w:r w:rsidRPr="002255B4">
        <w:t>The</w:t>
      </w:r>
      <w:r w:rsidR="006C6F09">
        <w:t xml:space="preserve"> </w:t>
      </w:r>
      <w:r w:rsidRPr="002255B4">
        <w:t>presentation</w:t>
      </w:r>
      <w:r w:rsidR="006C6F09">
        <w:t xml:space="preserve"> </w:t>
      </w:r>
      <w:r w:rsidRPr="002255B4">
        <w:t>may</w:t>
      </w:r>
      <w:r w:rsidR="006C6F09">
        <w:t xml:space="preserve"> </w:t>
      </w:r>
      <w:r w:rsidRPr="002255B4">
        <w:t>be</w:t>
      </w:r>
      <w:r w:rsidR="006C6F09">
        <w:t xml:space="preserve"> </w:t>
      </w:r>
      <w:r w:rsidRPr="002255B4">
        <w:t>pre-recorded</w:t>
      </w:r>
      <w:r w:rsidR="006C6F09">
        <w:t xml:space="preserve"> </w:t>
      </w:r>
      <w:r w:rsidRPr="002255B4">
        <w:t>and</w:t>
      </w:r>
      <w:r w:rsidR="006C6F09">
        <w:t xml:space="preserve"> </w:t>
      </w:r>
      <w:r w:rsidRPr="002255B4">
        <w:t>uploaded</w:t>
      </w:r>
      <w:r w:rsidR="006C6F09">
        <w:t xml:space="preserve"> </w:t>
      </w:r>
      <w:r w:rsidRPr="002255B4">
        <w:t>for</w:t>
      </w:r>
      <w:r w:rsidR="006C6F09">
        <w:t xml:space="preserve"> </w:t>
      </w:r>
      <w:r w:rsidRPr="002255B4">
        <w:t>viewing</w:t>
      </w:r>
      <w:r w:rsidR="006C6F09">
        <w:t xml:space="preserve"> </w:t>
      </w:r>
      <w:r w:rsidRPr="002255B4">
        <w:t>at</w:t>
      </w:r>
      <w:r w:rsidR="006C6F09">
        <w:t xml:space="preserve"> </w:t>
      </w:r>
      <w:r w:rsidRPr="002255B4">
        <w:t>the</w:t>
      </w:r>
      <w:r w:rsidR="006C6F09">
        <w:t xml:space="preserve"> </w:t>
      </w:r>
      <w:r w:rsidRPr="002255B4">
        <w:t>scheduled</w:t>
      </w:r>
      <w:r w:rsidR="006C6F09">
        <w:t xml:space="preserve"> </w:t>
      </w:r>
      <w:r w:rsidRPr="002255B4">
        <w:t>public</w:t>
      </w:r>
      <w:r w:rsidR="006C6F09">
        <w:t xml:space="preserve"> </w:t>
      </w:r>
      <w:r w:rsidRPr="002255B4">
        <w:t>hearing</w:t>
      </w:r>
      <w:r w:rsidR="006C6F09">
        <w:t xml:space="preserve"> </w:t>
      </w:r>
      <w:r w:rsidRPr="002255B4">
        <w:t>time</w:t>
      </w:r>
      <w:r w:rsidR="006C6F09">
        <w:t xml:space="preserve"> </w:t>
      </w:r>
      <w:r w:rsidRPr="002255B4">
        <w:t>and</w:t>
      </w:r>
      <w:r w:rsidR="006C6F09">
        <w:t xml:space="preserve"> </w:t>
      </w:r>
      <w:r w:rsidRPr="002255B4">
        <w:t>thereafter.</w:t>
      </w:r>
    </w:p>
    <w:p w14:paraId="25F5EA99" w14:textId="01AC7A4E" w:rsidR="00457754" w:rsidRPr="002255B4" w:rsidRDefault="00761D60" w:rsidP="00457754">
      <w:pPr>
        <w:pStyle w:val="ListBullet"/>
      </w:pPr>
      <w:r w:rsidRPr="002255B4">
        <w:t>A</w:t>
      </w:r>
      <w:r w:rsidR="006C6F09">
        <w:t xml:space="preserve"> </w:t>
      </w:r>
      <w:r w:rsidRPr="002255B4">
        <w:t>single</w:t>
      </w:r>
      <w:r w:rsidR="006C6F09">
        <w:t xml:space="preserve"> </w:t>
      </w:r>
      <w:r w:rsidRPr="002255B4">
        <w:t>person</w:t>
      </w:r>
      <w:r w:rsidR="006C6F09">
        <w:t xml:space="preserve"> </w:t>
      </w:r>
      <w:r w:rsidRPr="002255B4">
        <w:t>can</w:t>
      </w:r>
      <w:r w:rsidR="006C6F09">
        <w:t xml:space="preserve"> </w:t>
      </w:r>
      <w:r w:rsidRPr="002255B4">
        <w:t>record</w:t>
      </w:r>
      <w:r w:rsidR="006C6F09">
        <w:t xml:space="preserve"> </w:t>
      </w:r>
      <w:r w:rsidRPr="002255B4">
        <w:t>the</w:t>
      </w:r>
      <w:r w:rsidR="006C6F09">
        <w:t xml:space="preserve"> </w:t>
      </w:r>
      <w:r w:rsidRPr="002255B4">
        <w:t>voiceover</w:t>
      </w:r>
      <w:r w:rsidR="006C6F09">
        <w:t xml:space="preserve"> </w:t>
      </w:r>
      <w:r w:rsidRPr="002255B4">
        <w:t>for</w:t>
      </w:r>
      <w:r w:rsidR="006C6F09">
        <w:t xml:space="preserve"> </w:t>
      </w:r>
      <w:r w:rsidRPr="002255B4">
        <w:t>the</w:t>
      </w:r>
      <w:r w:rsidR="006C6F09">
        <w:t xml:space="preserve"> </w:t>
      </w:r>
      <w:r w:rsidRPr="002255B4">
        <w:t>online</w:t>
      </w:r>
      <w:r w:rsidR="006C6F09">
        <w:t xml:space="preserve"> </w:t>
      </w:r>
      <w:r w:rsidRPr="002255B4">
        <w:t>presentation</w:t>
      </w:r>
      <w:r w:rsidR="00457754" w:rsidRPr="002255B4">
        <w:t>,</w:t>
      </w:r>
      <w:r w:rsidR="006C6F09">
        <w:t xml:space="preserve"> </w:t>
      </w:r>
      <w:r w:rsidR="00457754" w:rsidRPr="002255B4">
        <w:t>and</w:t>
      </w:r>
      <w:r w:rsidR="006C6F09">
        <w:t xml:space="preserve"> </w:t>
      </w:r>
      <w:r w:rsidR="00457754" w:rsidRPr="002255B4">
        <w:t>it</w:t>
      </w:r>
      <w:r w:rsidR="006C6F09">
        <w:t xml:space="preserve"> </w:t>
      </w:r>
      <w:r w:rsidR="00457754" w:rsidRPr="002255B4">
        <w:t>does</w:t>
      </w:r>
      <w:r w:rsidR="006C6F09">
        <w:t xml:space="preserve"> </w:t>
      </w:r>
      <w:r w:rsidR="00457754" w:rsidRPr="002255B4">
        <w:t>not</w:t>
      </w:r>
      <w:r w:rsidR="006C6F09">
        <w:t xml:space="preserve"> </w:t>
      </w:r>
      <w:r w:rsidR="00457754" w:rsidRPr="002255B4">
        <w:t>need</w:t>
      </w:r>
      <w:r w:rsidR="006C6F09">
        <w:t xml:space="preserve"> </w:t>
      </w:r>
      <w:r w:rsidR="00457754" w:rsidRPr="002255B4">
        <w:t>to</w:t>
      </w:r>
      <w:r w:rsidR="006C6F09">
        <w:t xml:space="preserve"> </w:t>
      </w:r>
      <w:r w:rsidR="00457754" w:rsidRPr="002255B4">
        <w:t>be</w:t>
      </w:r>
      <w:r w:rsidR="006C6F09">
        <w:t xml:space="preserve"> </w:t>
      </w:r>
      <w:r w:rsidR="00457754" w:rsidRPr="002255B4">
        <w:t>a</w:t>
      </w:r>
      <w:r w:rsidR="006C6F09">
        <w:t xml:space="preserve"> </w:t>
      </w:r>
      <w:r w:rsidR="00457754" w:rsidRPr="002255B4">
        <w:t>TxDOT</w:t>
      </w:r>
      <w:r w:rsidR="006C6F09">
        <w:t xml:space="preserve"> </w:t>
      </w:r>
      <w:r w:rsidR="00457754" w:rsidRPr="002255B4">
        <w:t>employee.</w:t>
      </w:r>
    </w:p>
    <w:p w14:paraId="6635A8E6" w14:textId="50284691" w:rsidR="00457754" w:rsidRPr="002255B4" w:rsidRDefault="00457754" w:rsidP="00457754">
      <w:pPr>
        <w:pStyle w:val="ListBullet"/>
      </w:pPr>
      <w:r w:rsidRPr="002255B4">
        <w:t>The</w:t>
      </w:r>
      <w:r w:rsidR="006C6F09">
        <w:t xml:space="preserve"> </w:t>
      </w:r>
      <w:r w:rsidRPr="002255B4">
        <w:t>online</w:t>
      </w:r>
      <w:r w:rsidR="006C6F09">
        <w:t xml:space="preserve"> </w:t>
      </w:r>
      <w:r w:rsidRPr="002255B4">
        <w:t>presentation</w:t>
      </w:r>
      <w:r w:rsidR="006C6F09">
        <w:t xml:space="preserve"> </w:t>
      </w:r>
      <w:r w:rsidRPr="002255B4">
        <w:t>must</w:t>
      </w:r>
      <w:r w:rsidR="006C6F09">
        <w:t xml:space="preserve"> </w:t>
      </w:r>
      <w:r w:rsidRPr="002255B4">
        <w:t>present</w:t>
      </w:r>
      <w:r w:rsidR="006C6F09">
        <w:t xml:space="preserve"> </w:t>
      </w:r>
      <w:r w:rsidRPr="002255B4">
        <w:t>the</w:t>
      </w:r>
      <w:r w:rsidR="006C6F09">
        <w:t xml:space="preserve"> </w:t>
      </w:r>
      <w:r w:rsidRPr="002255B4">
        <w:t>web</w:t>
      </w:r>
      <w:r w:rsidR="006C6F09">
        <w:t xml:space="preserve"> </w:t>
      </w:r>
      <w:r w:rsidRPr="002255B4">
        <w:t>address</w:t>
      </w:r>
      <w:r w:rsidR="006C6F09">
        <w:t xml:space="preserve"> </w:t>
      </w:r>
      <w:r w:rsidRPr="002255B4">
        <w:t>where</w:t>
      </w:r>
      <w:r w:rsidR="006C6F09">
        <w:t xml:space="preserve"> </w:t>
      </w:r>
      <w:r w:rsidRPr="002255B4">
        <w:t>the</w:t>
      </w:r>
      <w:r w:rsidR="006C6F09">
        <w:t xml:space="preserve"> </w:t>
      </w:r>
      <w:r w:rsidRPr="002255B4">
        <w:t>project</w:t>
      </w:r>
      <w:r w:rsidR="006C6F09">
        <w:t xml:space="preserve"> </w:t>
      </w:r>
      <w:r w:rsidRPr="002255B4">
        <w:t>materials</w:t>
      </w:r>
      <w:r w:rsidR="006C6F09">
        <w:t xml:space="preserve"> </w:t>
      </w:r>
      <w:r w:rsidRPr="002255B4">
        <w:t>will</w:t>
      </w:r>
      <w:r w:rsidR="006C6F09">
        <w:t xml:space="preserve"> </w:t>
      </w:r>
      <w:r w:rsidRPr="002255B4">
        <w:t>be</w:t>
      </w:r>
      <w:r w:rsidR="006C6F09">
        <w:t xml:space="preserve"> </w:t>
      </w:r>
      <w:r w:rsidRPr="002255B4">
        <w:t>posted</w:t>
      </w:r>
      <w:r w:rsidR="006C6F09">
        <w:t xml:space="preserve"> </w:t>
      </w:r>
      <w:r w:rsidRPr="002255B4">
        <w:t>for</w:t>
      </w:r>
      <w:r w:rsidR="006C6F09">
        <w:t xml:space="preserve"> </w:t>
      </w:r>
      <w:r w:rsidRPr="002255B4">
        <w:t>public</w:t>
      </w:r>
      <w:r w:rsidR="006C6F09">
        <w:t xml:space="preserve"> </w:t>
      </w:r>
      <w:r w:rsidRPr="002255B4">
        <w:t>viewing.</w:t>
      </w:r>
    </w:p>
    <w:p w14:paraId="339D7E09" w14:textId="03BC4BD6" w:rsidR="00457754" w:rsidRPr="002255B4" w:rsidRDefault="00457754" w:rsidP="00457754">
      <w:pPr>
        <w:pStyle w:val="ListBullet"/>
      </w:pPr>
      <w:r w:rsidRPr="002255B4">
        <w:t>The</w:t>
      </w:r>
      <w:r w:rsidR="006C6F09">
        <w:t xml:space="preserve"> </w:t>
      </w:r>
      <w:r w:rsidRPr="002255B4">
        <w:t>online</w:t>
      </w:r>
      <w:r w:rsidR="006C6F09">
        <w:t xml:space="preserve"> </w:t>
      </w:r>
      <w:r w:rsidRPr="002255B4">
        <w:t>presentation</w:t>
      </w:r>
      <w:r w:rsidR="006C6F09">
        <w:t xml:space="preserve"> </w:t>
      </w:r>
      <w:r w:rsidRPr="002255B4">
        <w:t>must</w:t>
      </w:r>
      <w:r w:rsidR="006C6F09">
        <w:t xml:space="preserve"> </w:t>
      </w:r>
      <w:r w:rsidRPr="002255B4">
        <w:t>explain</w:t>
      </w:r>
      <w:r w:rsidR="006C6F09">
        <w:t xml:space="preserve"> </w:t>
      </w:r>
      <w:r w:rsidRPr="002255B4">
        <w:t>that</w:t>
      </w:r>
      <w:r w:rsidR="006C6F09">
        <w:t xml:space="preserve"> </w:t>
      </w:r>
      <w:r w:rsidRPr="002255B4">
        <w:t>the</w:t>
      </w:r>
      <w:r w:rsidR="006C6F09">
        <w:t xml:space="preserve"> </w:t>
      </w:r>
      <w:r w:rsidRPr="002255B4">
        <w:t>public</w:t>
      </w:r>
      <w:r w:rsidR="006C6F09">
        <w:t xml:space="preserve"> </w:t>
      </w:r>
      <w:r w:rsidRPr="002255B4">
        <w:t>may</w:t>
      </w:r>
      <w:r w:rsidR="006C6F09">
        <w:t xml:space="preserve"> </w:t>
      </w:r>
      <w:r w:rsidRPr="002255B4">
        <w:t>call</w:t>
      </w:r>
      <w:r w:rsidR="006C6F09">
        <w:t xml:space="preserve"> </w:t>
      </w:r>
      <w:r w:rsidRPr="002255B4">
        <w:t>project</w:t>
      </w:r>
      <w:r w:rsidR="006C6F09">
        <w:t xml:space="preserve"> </w:t>
      </w:r>
      <w:r w:rsidRPr="002255B4">
        <w:t>staff</w:t>
      </w:r>
      <w:r w:rsidR="006C6F09">
        <w:t xml:space="preserve"> </w:t>
      </w:r>
      <w:r w:rsidRPr="002255B4">
        <w:t>during</w:t>
      </w:r>
      <w:r w:rsidR="006C6F09">
        <w:t xml:space="preserve"> </w:t>
      </w:r>
      <w:r w:rsidRPr="002255B4">
        <w:t>regular</w:t>
      </w:r>
      <w:r w:rsidR="006C6F09">
        <w:t xml:space="preserve"> </w:t>
      </w:r>
      <w:r w:rsidRPr="002255B4">
        <w:t>office</w:t>
      </w:r>
      <w:r w:rsidR="006C6F09">
        <w:t xml:space="preserve"> </w:t>
      </w:r>
      <w:r w:rsidRPr="002255B4">
        <w:t>hours</w:t>
      </w:r>
      <w:r w:rsidR="006C6F09">
        <w:t xml:space="preserve"> </w:t>
      </w:r>
      <w:r w:rsidRPr="002255B4">
        <w:t>or</w:t>
      </w:r>
      <w:r w:rsidR="006C6F09">
        <w:t xml:space="preserve"> </w:t>
      </w:r>
      <w:r w:rsidRPr="002255B4">
        <w:t>email</w:t>
      </w:r>
      <w:r w:rsidR="006C6F09">
        <w:t xml:space="preserve"> </w:t>
      </w:r>
      <w:r w:rsidRPr="002255B4">
        <w:t>project</w:t>
      </w:r>
      <w:r w:rsidR="006C6F09">
        <w:t xml:space="preserve"> </w:t>
      </w:r>
      <w:r w:rsidRPr="002255B4">
        <w:t>staff</w:t>
      </w:r>
      <w:r w:rsidR="006C6F09">
        <w:t xml:space="preserve"> </w:t>
      </w:r>
      <w:r w:rsidRPr="002255B4">
        <w:t>to</w:t>
      </w:r>
      <w:r w:rsidR="006C6F09">
        <w:t xml:space="preserve"> </w:t>
      </w:r>
      <w:r w:rsidRPr="002255B4">
        <w:t>ask</w:t>
      </w:r>
      <w:r w:rsidR="006C6F09">
        <w:t xml:space="preserve"> </w:t>
      </w:r>
      <w:r w:rsidRPr="002255B4">
        <w:t>questions</w:t>
      </w:r>
      <w:r w:rsidR="006C6F09">
        <w:t xml:space="preserve"> </w:t>
      </w:r>
      <w:r w:rsidRPr="002255B4">
        <w:t>about</w:t>
      </w:r>
      <w:r w:rsidR="006C6F09">
        <w:t xml:space="preserve"> </w:t>
      </w:r>
      <w:r w:rsidRPr="002255B4">
        <w:t>the</w:t>
      </w:r>
      <w:r w:rsidR="006C6F09">
        <w:t xml:space="preserve"> </w:t>
      </w:r>
      <w:r w:rsidRPr="002255B4">
        <w:t>project</w:t>
      </w:r>
      <w:r w:rsidR="006C6F09">
        <w:t xml:space="preserve"> </w:t>
      </w:r>
      <w:r w:rsidRPr="002255B4">
        <w:t>at</w:t>
      </w:r>
      <w:r w:rsidR="006C6F09">
        <w:t xml:space="preserve"> </w:t>
      </w:r>
      <w:r w:rsidRPr="002255B4">
        <w:t>any</w:t>
      </w:r>
      <w:r w:rsidR="006C6F09">
        <w:t xml:space="preserve"> </w:t>
      </w:r>
      <w:r w:rsidRPr="002255B4">
        <w:t>time</w:t>
      </w:r>
      <w:r w:rsidR="006C6F09">
        <w:t xml:space="preserve"> </w:t>
      </w:r>
      <w:r w:rsidRPr="002255B4">
        <w:t>during</w:t>
      </w:r>
      <w:r w:rsidR="006C6F09">
        <w:t xml:space="preserve"> </w:t>
      </w:r>
      <w:r w:rsidRPr="002255B4">
        <w:t>the</w:t>
      </w:r>
      <w:r w:rsidR="006C6F09">
        <w:t xml:space="preserve"> </w:t>
      </w:r>
      <w:r w:rsidRPr="002255B4">
        <w:t>project</w:t>
      </w:r>
      <w:r w:rsidR="006C6F09">
        <w:t xml:space="preserve"> </w:t>
      </w:r>
      <w:r w:rsidRPr="002255B4">
        <w:t>development</w:t>
      </w:r>
      <w:r w:rsidR="006C6F09">
        <w:t xml:space="preserve"> </w:t>
      </w:r>
      <w:r w:rsidRPr="002255B4">
        <w:t>process.</w:t>
      </w:r>
    </w:p>
    <w:p w14:paraId="3BF8EA20" w14:textId="7623A4BC" w:rsidR="00457754" w:rsidRPr="002255B4" w:rsidRDefault="00457754" w:rsidP="00457754">
      <w:pPr>
        <w:pStyle w:val="ListBullet"/>
      </w:pPr>
      <w:r w:rsidRPr="002255B4">
        <w:lastRenderedPageBreak/>
        <w:t>For</w:t>
      </w:r>
      <w:r w:rsidR="006C6F09">
        <w:t xml:space="preserve"> </w:t>
      </w:r>
      <w:r w:rsidRPr="002255B4">
        <w:t>an</w:t>
      </w:r>
      <w:r w:rsidR="006C6F09">
        <w:t xml:space="preserve"> </w:t>
      </w:r>
      <w:r w:rsidRPr="002255B4">
        <w:t>FHWA</w:t>
      </w:r>
      <w:r w:rsidR="006C6F09">
        <w:t xml:space="preserve"> </w:t>
      </w:r>
      <w:r w:rsidRPr="002255B4">
        <w:t>project,</w:t>
      </w:r>
      <w:r w:rsidR="006C6F09">
        <w:t xml:space="preserve"> </w:t>
      </w:r>
      <w:r w:rsidRPr="002255B4">
        <w:t>the</w:t>
      </w:r>
      <w:r w:rsidR="006C6F09">
        <w:t xml:space="preserve"> </w:t>
      </w:r>
      <w:r w:rsidRPr="002255B4">
        <w:t>online</w:t>
      </w:r>
      <w:r w:rsidR="006C6F09">
        <w:t xml:space="preserve"> </w:t>
      </w:r>
      <w:r w:rsidRPr="002255B4">
        <w:t>presentation</w:t>
      </w:r>
      <w:r w:rsidR="006C6F09">
        <w:t xml:space="preserve"> </w:t>
      </w:r>
      <w:r w:rsidRPr="002255B4">
        <w:t>must</w:t>
      </w:r>
      <w:r w:rsidR="006C6F09">
        <w:t xml:space="preserve"> </w:t>
      </w:r>
      <w:r w:rsidRPr="002255B4">
        <w:t>include</w:t>
      </w:r>
      <w:r w:rsidR="006C6F09">
        <w:t xml:space="preserve"> </w:t>
      </w:r>
      <w:r w:rsidRPr="002255B4">
        <w:t>the</w:t>
      </w:r>
      <w:r w:rsidR="006C6F09">
        <w:t xml:space="preserve"> </w:t>
      </w:r>
      <w:r w:rsidRPr="002255B4">
        <w:t>NEPA</w:t>
      </w:r>
      <w:r w:rsidR="006C6F09">
        <w:t xml:space="preserve"> </w:t>
      </w:r>
      <w:r w:rsidRPr="002255B4">
        <w:t>assignment</w:t>
      </w:r>
      <w:r w:rsidR="006C6F09">
        <w:t xml:space="preserve"> </w:t>
      </w:r>
      <w:r w:rsidRPr="002255B4">
        <w:t>disclaimer</w:t>
      </w:r>
      <w:r w:rsidR="006C6F09">
        <w:t xml:space="preserve"> </w:t>
      </w:r>
      <w:r w:rsidRPr="002255B4">
        <w:t>(see</w:t>
      </w:r>
      <w:r w:rsidR="006C6F09">
        <w:t xml:space="preserve"> </w:t>
      </w:r>
      <w:r w:rsidRPr="002255B4">
        <w:t>Subsection</w:t>
      </w:r>
      <w:r w:rsidR="006C6F09">
        <w:t xml:space="preserve"> </w:t>
      </w:r>
      <w:r w:rsidRPr="00263E76">
        <w:rPr>
          <w:color w:val="0056A9"/>
          <w:u w:val="single"/>
        </w:rPr>
        <w:fldChar w:fldCharType="begin"/>
      </w:r>
      <w:r w:rsidRPr="00263E76">
        <w:rPr>
          <w:color w:val="0056A9"/>
          <w:u w:val="single"/>
        </w:rPr>
        <w:instrText xml:space="preserve"> REF _Ref219791469 \h  \* MERGEFORMAT </w:instrText>
      </w:r>
      <w:r w:rsidRPr="00263E76">
        <w:rPr>
          <w:color w:val="0056A9"/>
          <w:u w:val="single"/>
        </w:rPr>
      </w:r>
      <w:r w:rsidRPr="00263E76">
        <w:rPr>
          <w:color w:val="0056A9"/>
          <w:u w:val="single"/>
        </w:rPr>
        <w:fldChar w:fldCharType="separate"/>
      </w:r>
      <w:r w:rsidRPr="00263E76">
        <w:rPr>
          <w:color w:val="0056A9"/>
          <w:u w:val="single"/>
        </w:rPr>
        <w:t>6.2</w:t>
      </w:r>
      <w:r w:rsidRPr="00263E76">
        <w:rPr>
          <w:color w:val="0056A9"/>
          <w:u w:val="single"/>
        </w:rPr>
        <w:fldChar w:fldCharType="end"/>
      </w:r>
      <w:r w:rsidR="006C6F09">
        <w:t xml:space="preserve"> </w:t>
      </w:r>
      <w:r w:rsidRPr="002255B4">
        <w:t>above)</w:t>
      </w:r>
      <w:r w:rsidR="006C6F09">
        <w:t xml:space="preserve"> </w:t>
      </w:r>
      <w:r w:rsidRPr="002255B4">
        <w:t>(this</w:t>
      </w:r>
      <w:r w:rsidR="006C6F09">
        <w:t xml:space="preserve"> </w:t>
      </w:r>
      <w:r w:rsidRPr="002255B4">
        <w:t>requirement</w:t>
      </w:r>
      <w:r w:rsidR="006C6F09">
        <w:t xml:space="preserve"> </w:t>
      </w:r>
      <w:r w:rsidRPr="002255B4">
        <w:t>would</w:t>
      </w:r>
      <w:r w:rsidR="006C6F09">
        <w:t xml:space="preserve"> </w:t>
      </w:r>
      <w:r w:rsidRPr="002255B4">
        <w:t>not</w:t>
      </w:r>
      <w:r w:rsidR="006C6F09">
        <w:t xml:space="preserve"> </w:t>
      </w:r>
      <w:r w:rsidRPr="002255B4">
        <w:t>actually</w:t>
      </w:r>
      <w:r w:rsidR="006C6F09">
        <w:t xml:space="preserve"> </w:t>
      </w:r>
      <w:r w:rsidRPr="002255B4">
        <w:t>ever</w:t>
      </w:r>
      <w:r w:rsidR="006C6F09">
        <w:t xml:space="preserve"> </w:t>
      </w:r>
      <w:r w:rsidRPr="002255B4">
        <w:t>be</w:t>
      </w:r>
      <w:r w:rsidR="006C6F09">
        <w:t xml:space="preserve"> </w:t>
      </w:r>
      <w:r w:rsidRPr="002255B4">
        <w:t>applicable</w:t>
      </w:r>
      <w:r w:rsidR="006C6F09">
        <w:t xml:space="preserve"> </w:t>
      </w:r>
      <w:r w:rsidRPr="002255B4">
        <w:t>to</w:t>
      </w:r>
      <w:r w:rsidR="006C6F09">
        <w:t xml:space="preserve"> </w:t>
      </w:r>
      <w:r w:rsidRPr="002255B4">
        <w:t>a</w:t>
      </w:r>
      <w:r w:rsidR="006C6F09">
        <w:t xml:space="preserve"> </w:t>
      </w:r>
      <w:r w:rsidRPr="002255B4">
        <w:t>virtual</w:t>
      </w:r>
      <w:r w:rsidR="006C6F09">
        <w:t xml:space="preserve"> </w:t>
      </w:r>
      <w:r w:rsidRPr="002255B4">
        <w:t>online-only</w:t>
      </w:r>
      <w:r w:rsidR="006C6F09">
        <w:t xml:space="preserve"> </w:t>
      </w:r>
      <w:r w:rsidRPr="002255B4">
        <w:t>public</w:t>
      </w:r>
      <w:r w:rsidR="006C6F09">
        <w:t xml:space="preserve"> </w:t>
      </w:r>
      <w:r w:rsidRPr="002255B4">
        <w:t>hearing</w:t>
      </w:r>
      <w:r w:rsidR="006C6F09">
        <w:t xml:space="preserve"> </w:t>
      </w:r>
      <w:r w:rsidRPr="002255B4">
        <w:t>because</w:t>
      </w:r>
      <w:r w:rsidR="006C6F09">
        <w:t xml:space="preserve"> </w:t>
      </w:r>
      <w:r w:rsidRPr="002255B4">
        <w:t>for</w:t>
      </w:r>
      <w:r w:rsidR="006C6F09">
        <w:t xml:space="preserve"> </w:t>
      </w:r>
      <w:r w:rsidRPr="002255B4">
        <w:t>FHWA</w:t>
      </w:r>
      <w:r w:rsidR="006C6F09">
        <w:t xml:space="preserve"> </w:t>
      </w:r>
      <w:r w:rsidRPr="002255B4">
        <w:t>projects</w:t>
      </w:r>
      <w:r w:rsidR="006C6F09">
        <w:t xml:space="preserve"> </w:t>
      </w:r>
      <w:r w:rsidRPr="002255B4">
        <w:t>there</w:t>
      </w:r>
      <w:r w:rsidR="006C6F09">
        <w:t xml:space="preserve"> </w:t>
      </w:r>
      <w:r w:rsidRPr="002255B4">
        <w:t>must</w:t>
      </w:r>
      <w:r w:rsidR="006C6F09">
        <w:t xml:space="preserve"> </w:t>
      </w:r>
      <w:r w:rsidRPr="002255B4">
        <w:t>be</w:t>
      </w:r>
      <w:r w:rsidR="006C6F09">
        <w:t xml:space="preserve"> </w:t>
      </w:r>
      <w:r w:rsidRPr="002255B4">
        <w:t>an</w:t>
      </w:r>
      <w:r w:rsidR="006C6F09">
        <w:t xml:space="preserve"> </w:t>
      </w:r>
      <w:r w:rsidRPr="002255B4">
        <w:t>in-person</w:t>
      </w:r>
      <w:r w:rsidR="006C6F09">
        <w:t xml:space="preserve"> </w:t>
      </w:r>
      <w:r w:rsidRPr="002255B4">
        <w:t>option,</w:t>
      </w:r>
      <w:r w:rsidR="006C6F09">
        <w:t xml:space="preserve"> </w:t>
      </w:r>
      <w:r w:rsidRPr="002255B4">
        <w:t>but</w:t>
      </w:r>
      <w:r w:rsidR="006C6F09">
        <w:t xml:space="preserve"> </w:t>
      </w:r>
      <w:r w:rsidRPr="002255B4">
        <w:t>we’re</w:t>
      </w:r>
      <w:r w:rsidR="006C6F09">
        <w:t xml:space="preserve"> </w:t>
      </w:r>
      <w:r w:rsidRPr="002255B4">
        <w:t>including</w:t>
      </w:r>
      <w:r w:rsidR="006C6F09">
        <w:t xml:space="preserve"> </w:t>
      </w:r>
      <w:r w:rsidRPr="002255B4">
        <w:t>it</w:t>
      </w:r>
      <w:r w:rsidR="006C6F09">
        <w:t xml:space="preserve"> </w:t>
      </w:r>
      <w:r w:rsidRPr="002255B4">
        <w:t>here</w:t>
      </w:r>
      <w:r w:rsidR="006C6F09">
        <w:t xml:space="preserve"> </w:t>
      </w:r>
      <w:r w:rsidRPr="002255B4">
        <w:t>because</w:t>
      </w:r>
      <w:r w:rsidR="006C6F09">
        <w:t xml:space="preserve"> </w:t>
      </w:r>
      <w:r w:rsidRPr="002255B4">
        <w:t>it</w:t>
      </w:r>
      <w:r w:rsidR="006C6F09">
        <w:t xml:space="preserve"> </w:t>
      </w:r>
      <w:r w:rsidRPr="002255B4">
        <w:t>does</w:t>
      </w:r>
      <w:r w:rsidR="006C6F09">
        <w:t xml:space="preserve"> </w:t>
      </w:r>
      <w:r w:rsidRPr="002255B4">
        <w:t>apply</w:t>
      </w:r>
      <w:r w:rsidR="006C6F09">
        <w:t xml:space="preserve"> </w:t>
      </w:r>
      <w:r w:rsidRPr="002255B4">
        <w:t>to</w:t>
      </w:r>
      <w:r w:rsidR="006C6F09">
        <w:t xml:space="preserve"> </w:t>
      </w:r>
      <w:r w:rsidRPr="002255B4">
        <w:t>the</w:t>
      </w:r>
      <w:r w:rsidR="006C6F09">
        <w:t xml:space="preserve"> </w:t>
      </w:r>
      <w:r w:rsidRPr="002255B4">
        <w:t>virtual</w:t>
      </w:r>
      <w:r w:rsidR="006C6F09">
        <w:t xml:space="preserve"> </w:t>
      </w:r>
      <w:r w:rsidRPr="002255B4">
        <w:t>portion</w:t>
      </w:r>
      <w:r w:rsidR="006C6F09">
        <w:t xml:space="preserve"> </w:t>
      </w:r>
      <w:r w:rsidRPr="002255B4">
        <w:t>of</w:t>
      </w:r>
      <w:r w:rsidR="006C6F09">
        <w:t xml:space="preserve"> </w:t>
      </w:r>
      <w:r w:rsidRPr="002255B4">
        <w:t>a</w:t>
      </w:r>
      <w:r w:rsidR="006C6F09">
        <w:t xml:space="preserve"> </w:t>
      </w:r>
      <w:r w:rsidRPr="002255B4">
        <w:t>virtual</w:t>
      </w:r>
      <w:r w:rsidR="006C6F09">
        <w:t xml:space="preserve"> </w:t>
      </w:r>
      <w:r w:rsidRPr="002255B4">
        <w:t>public</w:t>
      </w:r>
      <w:r w:rsidR="006C6F09">
        <w:t xml:space="preserve"> </w:t>
      </w:r>
      <w:r w:rsidRPr="002255B4">
        <w:t>hearing</w:t>
      </w:r>
      <w:r w:rsidR="006C6F09">
        <w:t xml:space="preserve"> </w:t>
      </w:r>
      <w:r w:rsidRPr="002255B4">
        <w:t>with</w:t>
      </w:r>
      <w:r w:rsidR="006C6F09">
        <w:t xml:space="preserve"> </w:t>
      </w:r>
      <w:r w:rsidRPr="002255B4">
        <w:t>in-person</w:t>
      </w:r>
      <w:r w:rsidR="006C6F09">
        <w:t xml:space="preserve"> </w:t>
      </w:r>
      <w:r w:rsidRPr="002255B4">
        <w:t>option).</w:t>
      </w:r>
    </w:p>
    <w:p w14:paraId="573A92B5" w14:textId="30037E3E" w:rsidR="00457754" w:rsidRPr="002255B4" w:rsidRDefault="00457754" w:rsidP="00457754">
      <w:pPr>
        <w:pStyle w:val="ListBullet"/>
      </w:pPr>
      <w:r w:rsidRPr="002255B4">
        <w:t>It</w:t>
      </w:r>
      <w:r w:rsidR="006C6F09">
        <w:t xml:space="preserve"> </w:t>
      </w:r>
      <w:r w:rsidRPr="002255B4">
        <w:t>is</w:t>
      </w:r>
      <w:r w:rsidR="006C6F09">
        <w:t xml:space="preserve"> </w:t>
      </w:r>
      <w:r w:rsidRPr="002255B4">
        <w:t>recommended,</w:t>
      </w:r>
      <w:r w:rsidR="006C6F09">
        <w:t xml:space="preserve"> </w:t>
      </w:r>
      <w:r w:rsidRPr="002255B4">
        <w:t>but</w:t>
      </w:r>
      <w:r w:rsidR="006C6F09">
        <w:t xml:space="preserve"> </w:t>
      </w:r>
      <w:r w:rsidRPr="002255B4">
        <w:t>not</w:t>
      </w:r>
      <w:r w:rsidR="006C6F09">
        <w:t xml:space="preserve"> </w:t>
      </w:r>
      <w:r w:rsidRPr="002255B4">
        <w:t>a</w:t>
      </w:r>
      <w:r w:rsidR="006C6F09">
        <w:t xml:space="preserve"> </w:t>
      </w:r>
      <w:r w:rsidRPr="002255B4">
        <w:t>formal</w:t>
      </w:r>
      <w:r w:rsidR="006C6F09">
        <w:t xml:space="preserve"> </w:t>
      </w:r>
      <w:r w:rsidRPr="002255B4">
        <w:t>requirement,</w:t>
      </w:r>
      <w:r w:rsidR="006C6F09">
        <w:t xml:space="preserve"> </w:t>
      </w:r>
      <w:r w:rsidRPr="002255B4">
        <w:t>that</w:t>
      </w:r>
      <w:r w:rsidR="006C6F09">
        <w:t xml:space="preserve"> </w:t>
      </w:r>
      <w:r w:rsidRPr="002255B4">
        <w:t>ENV’s</w:t>
      </w:r>
      <w:r w:rsidR="006C6F09">
        <w:t xml:space="preserve"> </w:t>
      </w:r>
      <w:r w:rsidRPr="002255B4">
        <w:t>Project</w:t>
      </w:r>
      <w:r w:rsidR="006C6F09">
        <w:t xml:space="preserve"> </w:t>
      </w:r>
      <w:r w:rsidRPr="002255B4">
        <w:t>Delivery</w:t>
      </w:r>
      <w:r w:rsidR="006C6F09">
        <w:t xml:space="preserve"> </w:t>
      </w:r>
      <w:r w:rsidRPr="002255B4">
        <w:t>Staff</w:t>
      </w:r>
      <w:r w:rsidR="006C6F09">
        <w:t xml:space="preserve"> </w:t>
      </w:r>
      <w:r w:rsidRPr="002255B4">
        <w:t>and</w:t>
      </w:r>
      <w:r w:rsidR="006C6F09">
        <w:t xml:space="preserve"> </w:t>
      </w:r>
      <w:r w:rsidRPr="002255B4">
        <w:t>TPP’s</w:t>
      </w:r>
      <w:r w:rsidR="006C6F09">
        <w:t xml:space="preserve"> </w:t>
      </w:r>
      <w:r w:rsidRPr="002255B4">
        <w:t>PI</w:t>
      </w:r>
      <w:r w:rsidR="006C6F09">
        <w:t xml:space="preserve"> </w:t>
      </w:r>
      <w:r w:rsidRPr="002255B4">
        <w:t>Section</w:t>
      </w:r>
      <w:r w:rsidR="006C6F09">
        <w:t xml:space="preserve"> </w:t>
      </w:r>
      <w:r w:rsidRPr="002255B4">
        <w:t>review</w:t>
      </w:r>
      <w:r w:rsidR="006C6F09">
        <w:t xml:space="preserve"> </w:t>
      </w:r>
      <w:r w:rsidRPr="002255B4">
        <w:t>the</w:t>
      </w:r>
      <w:r w:rsidR="006C6F09">
        <w:t xml:space="preserve"> </w:t>
      </w:r>
      <w:r w:rsidRPr="002255B4">
        <w:t>online</w:t>
      </w:r>
      <w:r w:rsidR="006C6F09">
        <w:t xml:space="preserve"> </w:t>
      </w:r>
      <w:r w:rsidRPr="002255B4">
        <w:t>presentation</w:t>
      </w:r>
      <w:r w:rsidR="006C6F09">
        <w:t xml:space="preserve"> </w:t>
      </w:r>
      <w:r w:rsidRPr="002255B4">
        <w:t>prior</w:t>
      </w:r>
      <w:r w:rsidR="006C6F09">
        <w:t xml:space="preserve"> </w:t>
      </w:r>
      <w:r w:rsidRPr="002255B4">
        <w:t>to</w:t>
      </w:r>
      <w:r w:rsidR="006C6F09">
        <w:t xml:space="preserve"> </w:t>
      </w:r>
      <w:r w:rsidRPr="002255B4">
        <w:t>posting</w:t>
      </w:r>
      <w:r w:rsidR="006C6F09">
        <w:t xml:space="preserve"> </w:t>
      </w:r>
      <w:r w:rsidRPr="002255B4">
        <w:t>(but</w:t>
      </w:r>
      <w:r w:rsidR="006C6F09">
        <w:t xml:space="preserve"> </w:t>
      </w:r>
      <w:r w:rsidRPr="002255B4">
        <w:t>keep</w:t>
      </w:r>
      <w:r w:rsidR="006C6F09">
        <w:t xml:space="preserve"> </w:t>
      </w:r>
      <w:r w:rsidRPr="002255B4">
        <w:t>in</w:t>
      </w:r>
      <w:r w:rsidR="006C6F09">
        <w:t xml:space="preserve"> </w:t>
      </w:r>
      <w:r w:rsidRPr="002255B4">
        <w:t>mind</w:t>
      </w:r>
      <w:r w:rsidR="006C6F09">
        <w:t xml:space="preserve"> </w:t>
      </w:r>
      <w:r w:rsidRPr="002255B4">
        <w:t>that</w:t>
      </w:r>
      <w:r w:rsidR="006C6F09">
        <w:t xml:space="preserve"> </w:t>
      </w:r>
      <w:r w:rsidRPr="002255B4">
        <w:t>for</w:t>
      </w:r>
      <w:r w:rsidR="006C6F09">
        <w:t xml:space="preserve"> </w:t>
      </w:r>
      <w:r w:rsidRPr="002255B4">
        <w:t>open-ended</w:t>
      </w:r>
      <w:r w:rsidR="006C6F09">
        <w:t xml:space="preserve"> </w:t>
      </w:r>
      <w:r w:rsidRPr="002255B4">
        <w:t>(d)-list</w:t>
      </w:r>
      <w:r w:rsidR="006C6F09">
        <w:t xml:space="preserve"> </w:t>
      </w:r>
      <w:r w:rsidRPr="002255B4">
        <w:t>CEs</w:t>
      </w:r>
      <w:r w:rsidR="006C6F09">
        <w:t xml:space="preserve"> </w:t>
      </w:r>
      <w:r w:rsidRPr="002255B4">
        <w:t>that</w:t>
      </w:r>
      <w:r w:rsidR="006C6F09">
        <w:t xml:space="preserve"> </w:t>
      </w:r>
      <w:r w:rsidRPr="002255B4">
        <w:t>are</w:t>
      </w:r>
      <w:r w:rsidR="006C6F09">
        <w:t xml:space="preserve"> </w:t>
      </w:r>
      <w:r w:rsidRPr="002255B4">
        <w:t>above</w:t>
      </w:r>
      <w:r w:rsidR="006C6F09">
        <w:t xml:space="preserve"> </w:t>
      </w:r>
      <w:r w:rsidRPr="002255B4">
        <w:t>the</w:t>
      </w:r>
      <w:r w:rsidR="006C6F09">
        <w:t xml:space="preserve"> </w:t>
      </w:r>
      <w:r w:rsidRPr="002255B4">
        <w:t>displacement</w:t>
      </w:r>
      <w:r w:rsidR="006C6F09">
        <w:t xml:space="preserve"> </w:t>
      </w:r>
      <w:r w:rsidRPr="002255B4">
        <w:t>or</w:t>
      </w:r>
      <w:r w:rsidR="006C6F09">
        <w:t xml:space="preserve"> </w:t>
      </w:r>
      <w:r w:rsidRPr="002255B4">
        <w:t>acreage</w:t>
      </w:r>
      <w:r w:rsidR="006C6F09">
        <w:t xml:space="preserve"> </w:t>
      </w:r>
      <w:r w:rsidRPr="002255B4">
        <w:t>thresholds</w:t>
      </w:r>
      <w:r w:rsidR="006C6F09">
        <w:t xml:space="preserve"> </w:t>
      </w:r>
      <w:r w:rsidRPr="002255B4">
        <w:t>requiring</w:t>
      </w:r>
      <w:r w:rsidR="006C6F09">
        <w:t xml:space="preserve"> </w:t>
      </w:r>
      <w:r w:rsidRPr="002255B4">
        <w:t>ENV</w:t>
      </w:r>
      <w:r w:rsidR="006C6F09">
        <w:t xml:space="preserve"> </w:t>
      </w:r>
      <w:r w:rsidRPr="002255B4">
        <w:t>approval,</w:t>
      </w:r>
      <w:r w:rsidR="006C6F09">
        <w:t xml:space="preserve"> </w:t>
      </w:r>
      <w:r w:rsidRPr="002255B4">
        <w:t>there</w:t>
      </w:r>
      <w:r w:rsidR="006C6F09">
        <w:t xml:space="preserve"> </w:t>
      </w:r>
      <w:r w:rsidRPr="002255B4">
        <w:t>is</w:t>
      </w:r>
      <w:r w:rsidR="006C6F09">
        <w:t xml:space="preserve"> </w:t>
      </w:r>
      <w:r w:rsidRPr="002255B4">
        <w:t>a</w:t>
      </w:r>
      <w:r w:rsidR="006C6F09">
        <w:t xml:space="preserve"> </w:t>
      </w:r>
      <w:r w:rsidRPr="002255B4">
        <w:t>requirement</w:t>
      </w:r>
      <w:r w:rsidR="006C6F09">
        <w:t xml:space="preserve"> </w:t>
      </w:r>
      <w:r w:rsidRPr="002255B4">
        <w:t>that</w:t>
      </w:r>
      <w:r w:rsidR="006C6F09">
        <w:t xml:space="preserve"> </w:t>
      </w:r>
      <w:r w:rsidRPr="002255B4">
        <w:t>ENV</w:t>
      </w:r>
      <w:r w:rsidR="006C6F09">
        <w:t xml:space="preserve"> </w:t>
      </w:r>
      <w:r w:rsidRPr="002255B4">
        <w:t>Project</w:t>
      </w:r>
      <w:r w:rsidR="006C6F09">
        <w:t xml:space="preserve"> </w:t>
      </w:r>
      <w:r w:rsidRPr="002255B4">
        <w:t>Delivery</w:t>
      </w:r>
      <w:r w:rsidR="006C6F09">
        <w:t xml:space="preserve"> </w:t>
      </w:r>
      <w:r w:rsidRPr="002255B4">
        <w:t>Staff</w:t>
      </w:r>
      <w:r w:rsidR="006C6F09">
        <w:t xml:space="preserve"> </w:t>
      </w:r>
      <w:r w:rsidRPr="002255B4">
        <w:t>review</w:t>
      </w:r>
      <w:r w:rsidR="006C6F09">
        <w:t xml:space="preserve"> </w:t>
      </w:r>
      <w:r w:rsidRPr="002255B4">
        <w:t>the</w:t>
      </w:r>
      <w:r w:rsidR="006C6F09">
        <w:t xml:space="preserve"> </w:t>
      </w:r>
      <w:r w:rsidRPr="002255B4">
        <w:t>public</w:t>
      </w:r>
      <w:r w:rsidR="006C6F09">
        <w:t xml:space="preserve"> </w:t>
      </w:r>
      <w:r w:rsidRPr="002255B4">
        <w:t>hearing</w:t>
      </w:r>
      <w:r w:rsidR="006C6F09">
        <w:t xml:space="preserve"> </w:t>
      </w:r>
      <w:r w:rsidRPr="002255B4">
        <w:t>materials).</w:t>
      </w:r>
    </w:p>
    <w:p w14:paraId="7D1B15B9" w14:textId="5199C899" w:rsidR="00457754" w:rsidRPr="002255B4" w:rsidRDefault="00457754" w:rsidP="00457754">
      <w:pPr>
        <w:pStyle w:val="ListBullet"/>
      </w:pPr>
      <w:r w:rsidRPr="002255B4">
        <w:t>The</w:t>
      </w:r>
      <w:r w:rsidR="006C6F09">
        <w:t xml:space="preserve"> </w:t>
      </w:r>
      <w:r w:rsidRPr="002255B4">
        <w:t>online</w:t>
      </w:r>
      <w:r w:rsidR="006C6F09">
        <w:t xml:space="preserve"> </w:t>
      </w:r>
      <w:r w:rsidRPr="002255B4">
        <w:t>presentation</w:t>
      </w:r>
      <w:r w:rsidR="006C6F09">
        <w:t xml:space="preserve"> </w:t>
      </w:r>
      <w:r w:rsidRPr="002255B4">
        <w:t>can</w:t>
      </w:r>
      <w:r w:rsidR="006C6F09">
        <w:t xml:space="preserve"> </w:t>
      </w:r>
      <w:r w:rsidRPr="002255B4">
        <w:t>be</w:t>
      </w:r>
      <w:r w:rsidR="006C6F09">
        <w:t xml:space="preserve"> </w:t>
      </w:r>
      <w:r w:rsidRPr="002255B4">
        <w:t>hosted</w:t>
      </w:r>
      <w:r w:rsidR="006C6F09">
        <w:t xml:space="preserve"> </w:t>
      </w:r>
      <w:r w:rsidRPr="002255B4">
        <w:t>by</w:t>
      </w:r>
      <w:r w:rsidR="006C6F09">
        <w:t xml:space="preserve"> </w:t>
      </w:r>
      <w:r w:rsidRPr="002255B4">
        <w:t>a</w:t>
      </w:r>
      <w:r w:rsidR="006C6F09">
        <w:t xml:space="preserve"> </w:t>
      </w:r>
      <w:r w:rsidRPr="002255B4">
        <w:t>local</w:t>
      </w:r>
      <w:r w:rsidR="006C6F09">
        <w:t xml:space="preserve"> </w:t>
      </w:r>
      <w:r w:rsidRPr="002255B4">
        <w:t>government</w:t>
      </w:r>
      <w:r w:rsidR="006C6F09">
        <w:t xml:space="preserve"> </w:t>
      </w:r>
      <w:r w:rsidRPr="002255B4">
        <w:t>or</w:t>
      </w:r>
      <w:r w:rsidR="006C6F09">
        <w:t xml:space="preserve"> </w:t>
      </w:r>
      <w:r w:rsidRPr="002255B4">
        <w:t>consultant</w:t>
      </w:r>
      <w:r w:rsidR="006C6F09">
        <w:t xml:space="preserve"> </w:t>
      </w:r>
      <w:r w:rsidRPr="002255B4">
        <w:t>on</w:t>
      </w:r>
      <w:r w:rsidR="006C6F09">
        <w:t xml:space="preserve"> </w:t>
      </w:r>
      <w:r w:rsidRPr="002255B4">
        <w:t>its</w:t>
      </w:r>
      <w:r w:rsidR="006C6F09">
        <w:t xml:space="preserve"> </w:t>
      </w:r>
      <w:r w:rsidRPr="002255B4">
        <w:t>own</w:t>
      </w:r>
      <w:r w:rsidR="006C6F09">
        <w:t xml:space="preserve"> </w:t>
      </w:r>
      <w:r w:rsidRPr="002255B4">
        <w:t>website.</w:t>
      </w:r>
    </w:p>
    <w:p w14:paraId="131D5099" w14:textId="121AF1C7" w:rsidR="00457754" w:rsidRPr="002255B4" w:rsidRDefault="00457754" w:rsidP="00457754">
      <w:pPr>
        <w:pStyle w:val="ListBullet"/>
      </w:pPr>
      <w:r w:rsidRPr="002255B4">
        <w:t>The</w:t>
      </w:r>
      <w:r w:rsidR="006C6F09">
        <w:t xml:space="preserve"> </w:t>
      </w:r>
      <w:r w:rsidRPr="002255B4">
        <w:t>online</w:t>
      </w:r>
      <w:r w:rsidR="006C6F09">
        <w:t xml:space="preserve"> </w:t>
      </w:r>
      <w:r w:rsidRPr="002255B4">
        <w:t>presentation</w:t>
      </w:r>
      <w:r w:rsidR="006C6F09">
        <w:t xml:space="preserve"> </w:t>
      </w:r>
      <w:r w:rsidRPr="002255B4">
        <w:t>must</w:t>
      </w:r>
      <w:r w:rsidR="006C6F09">
        <w:t xml:space="preserve"> </w:t>
      </w:r>
      <w:r w:rsidRPr="002255B4">
        <w:t>be</w:t>
      </w:r>
      <w:r w:rsidR="006C6F09">
        <w:t xml:space="preserve"> </w:t>
      </w:r>
      <w:r w:rsidRPr="002255B4">
        <w:t>posted</w:t>
      </w:r>
      <w:r w:rsidR="006C6F09">
        <w:t xml:space="preserve"> </w:t>
      </w:r>
      <w:r w:rsidRPr="002255B4">
        <w:t>online</w:t>
      </w:r>
      <w:r w:rsidR="006C6F09">
        <w:t xml:space="preserve"> </w:t>
      </w:r>
      <w:r w:rsidRPr="002255B4">
        <w:t>at</w:t>
      </w:r>
      <w:r w:rsidR="006C6F09">
        <w:t xml:space="preserve"> </w:t>
      </w:r>
      <w:r w:rsidRPr="002255B4">
        <w:t>or</w:t>
      </w:r>
      <w:r w:rsidR="006C6F09">
        <w:t xml:space="preserve"> </w:t>
      </w:r>
      <w:r w:rsidRPr="002255B4">
        <w:t>before</w:t>
      </w:r>
      <w:r w:rsidR="006C6F09">
        <w:t xml:space="preserve"> </w:t>
      </w:r>
      <w:r w:rsidRPr="002255B4">
        <w:t>the</w:t>
      </w:r>
      <w:r w:rsidR="006C6F09">
        <w:t xml:space="preserve"> </w:t>
      </w:r>
      <w:r w:rsidRPr="002255B4">
        <w:t>date</w:t>
      </w:r>
      <w:r w:rsidR="006C6F09">
        <w:t xml:space="preserve"> </w:t>
      </w:r>
      <w:r w:rsidRPr="002255B4">
        <w:t>and</w:t>
      </w:r>
      <w:r w:rsidR="006C6F09">
        <w:t xml:space="preserve"> </w:t>
      </w:r>
      <w:r w:rsidRPr="002255B4">
        <w:t>time</w:t>
      </w:r>
      <w:r w:rsidR="006C6F09">
        <w:t xml:space="preserve"> </w:t>
      </w:r>
      <w:r w:rsidRPr="002255B4">
        <w:t>indicated</w:t>
      </w:r>
      <w:r w:rsidR="006C6F09">
        <w:t xml:space="preserve"> </w:t>
      </w:r>
      <w:r w:rsidRPr="002255B4">
        <w:t>in</w:t>
      </w:r>
      <w:r w:rsidR="006C6F09">
        <w:t xml:space="preserve"> </w:t>
      </w:r>
      <w:r w:rsidRPr="002255B4">
        <w:t>the</w:t>
      </w:r>
      <w:r w:rsidR="006C6F09">
        <w:t xml:space="preserve"> </w:t>
      </w:r>
      <w:r w:rsidRPr="002255B4">
        <w:t>notice</w:t>
      </w:r>
      <w:r w:rsidR="006C6F09">
        <w:t xml:space="preserve"> </w:t>
      </w:r>
      <w:r w:rsidRPr="002255B4">
        <w:t>and</w:t>
      </w:r>
      <w:r w:rsidR="006C6F09">
        <w:t xml:space="preserve"> </w:t>
      </w:r>
      <w:r w:rsidRPr="002255B4">
        <w:t>it</w:t>
      </w:r>
      <w:r w:rsidR="006C6F09">
        <w:t xml:space="preserve"> </w:t>
      </w:r>
      <w:r w:rsidRPr="002255B4">
        <w:t>must</w:t>
      </w:r>
      <w:r w:rsidR="006C6F09">
        <w:t xml:space="preserve"> </w:t>
      </w:r>
      <w:r w:rsidRPr="002255B4">
        <w:t>remain</w:t>
      </w:r>
      <w:r w:rsidR="006C6F09">
        <w:t xml:space="preserve"> </w:t>
      </w:r>
      <w:r w:rsidRPr="002255B4">
        <w:t>posted</w:t>
      </w:r>
      <w:r w:rsidR="006C6F09">
        <w:t xml:space="preserve"> </w:t>
      </w:r>
      <w:r w:rsidRPr="002255B4">
        <w:t>online</w:t>
      </w:r>
      <w:r w:rsidR="006C6F09">
        <w:t xml:space="preserve"> </w:t>
      </w:r>
      <w:r w:rsidRPr="002255B4">
        <w:t>for</w:t>
      </w:r>
      <w:r w:rsidR="006C6F09">
        <w:t xml:space="preserve"> </w:t>
      </w:r>
      <w:r w:rsidRPr="002255B4">
        <w:t>the</w:t>
      </w:r>
      <w:r w:rsidR="006C6F09">
        <w:t xml:space="preserve"> </w:t>
      </w:r>
      <w:r w:rsidRPr="002255B4">
        <w:t>entire</w:t>
      </w:r>
      <w:r w:rsidR="006C6F09">
        <w:t xml:space="preserve"> </w:t>
      </w:r>
      <w:r w:rsidRPr="002255B4">
        <w:t>15-calendar</w:t>
      </w:r>
      <w:r w:rsidR="006C6F09">
        <w:t xml:space="preserve"> </w:t>
      </w:r>
      <w:r w:rsidRPr="002255B4">
        <w:t>day</w:t>
      </w:r>
      <w:r w:rsidR="006C6F09">
        <w:t xml:space="preserve"> </w:t>
      </w:r>
      <w:r w:rsidRPr="002255B4">
        <w:t>comment</w:t>
      </w:r>
      <w:r w:rsidR="006C6F09">
        <w:t xml:space="preserve"> </w:t>
      </w:r>
      <w:r w:rsidRPr="002255B4">
        <w:t>period.</w:t>
      </w:r>
      <w:r w:rsidR="006C6F09">
        <w:t xml:space="preserve"> </w:t>
      </w:r>
      <w:r w:rsidRPr="002255B4">
        <w:t>It</w:t>
      </w:r>
      <w:r w:rsidR="006C6F09">
        <w:t xml:space="preserve"> </w:t>
      </w:r>
      <w:r w:rsidRPr="002255B4">
        <w:t>can</w:t>
      </w:r>
      <w:r w:rsidR="006C6F09">
        <w:t xml:space="preserve"> </w:t>
      </w:r>
      <w:r w:rsidRPr="002255B4">
        <w:t>remain</w:t>
      </w:r>
      <w:r w:rsidR="006C6F09">
        <w:t xml:space="preserve"> </w:t>
      </w:r>
      <w:r w:rsidRPr="002255B4">
        <w:t>posted</w:t>
      </w:r>
      <w:r w:rsidR="006C6F09">
        <w:t xml:space="preserve"> </w:t>
      </w:r>
      <w:r w:rsidRPr="002255B4">
        <w:t>online</w:t>
      </w:r>
      <w:r w:rsidR="006C6F09">
        <w:t xml:space="preserve"> </w:t>
      </w:r>
      <w:r w:rsidRPr="002255B4">
        <w:t>after</w:t>
      </w:r>
      <w:r w:rsidR="006C6F09">
        <w:t xml:space="preserve"> </w:t>
      </w:r>
      <w:r w:rsidRPr="002255B4">
        <w:t>that</w:t>
      </w:r>
      <w:r w:rsidR="006C6F09">
        <w:t xml:space="preserve"> </w:t>
      </w:r>
      <w:r w:rsidRPr="002255B4">
        <w:t>period</w:t>
      </w:r>
      <w:r w:rsidR="006C6F09">
        <w:t xml:space="preserve"> </w:t>
      </w:r>
      <w:r w:rsidRPr="002255B4">
        <w:t>at</w:t>
      </w:r>
      <w:r w:rsidR="006C6F09">
        <w:t xml:space="preserve"> </w:t>
      </w:r>
      <w:r w:rsidRPr="002255B4">
        <w:t>the</w:t>
      </w:r>
      <w:r w:rsidR="006C6F09">
        <w:t xml:space="preserve"> </w:t>
      </w:r>
      <w:r w:rsidRPr="002255B4">
        <w:t>district’s</w:t>
      </w:r>
      <w:r w:rsidR="006C6F09">
        <w:t xml:space="preserve"> </w:t>
      </w:r>
      <w:r w:rsidRPr="002255B4">
        <w:t>discretion.</w:t>
      </w:r>
    </w:p>
    <w:p w14:paraId="66A9B0C2" w14:textId="0B3A90F9" w:rsidR="00457754" w:rsidRPr="002255B4" w:rsidRDefault="00457754" w:rsidP="00457754">
      <w:pPr>
        <w:pStyle w:val="ListBullet"/>
      </w:pPr>
      <w:r w:rsidRPr="002255B4">
        <w:t>TPP’s</w:t>
      </w:r>
      <w:r w:rsidR="006C6F09">
        <w:t xml:space="preserve"> </w:t>
      </w:r>
      <w:r w:rsidRPr="002255B4">
        <w:t>PI</w:t>
      </w:r>
      <w:r w:rsidR="006C6F09">
        <w:t xml:space="preserve"> </w:t>
      </w:r>
      <w:r w:rsidRPr="002255B4">
        <w:t>Section</w:t>
      </w:r>
      <w:r w:rsidR="006C6F09">
        <w:t xml:space="preserve"> </w:t>
      </w:r>
      <w:r w:rsidRPr="002255B4">
        <w:t>will</w:t>
      </w:r>
      <w:r w:rsidR="006C6F09">
        <w:t xml:space="preserve"> </w:t>
      </w:r>
      <w:r w:rsidRPr="002255B4">
        <w:t>post</w:t>
      </w:r>
      <w:r w:rsidR="006C6F09">
        <w:t xml:space="preserve"> </w:t>
      </w:r>
      <w:r w:rsidRPr="002255B4">
        <w:t>the</w:t>
      </w:r>
      <w:r w:rsidR="006C6F09">
        <w:t xml:space="preserve"> </w:t>
      </w:r>
      <w:r w:rsidRPr="002255B4">
        <w:t>provided</w:t>
      </w:r>
      <w:r w:rsidR="006C6F09">
        <w:t xml:space="preserve"> </w:t>
      </w:r>
      <w:r w:rsidRPr="002255B4">
        <w:t>transcript</w:t>
      </w:r>
      <w:r w:rsidR="006C6F09">
        <w:t xml:space="preserve"> </w:t>
      </w:r>
      <w:r w:rsidRPr="002255B4">
        <w:t>of</w:t>
      </w:r>
      <w:r w:rsidR="006C6F09">
        <w:t xml:space="preserve"> </w:t>
      </w:r>
      <w:r w:rsidRPr="002255B4">
        <w:t>the</w:t>
      </w:r>
      <w:r w:rsidR="006C6F09">
        <w:t xml:space="preserve"> </w:t>
      </w:r>
      <w:r w:rsidRPr="002255B4">
        <w:t>online</w:t>
      </w:r>
      <w:r w:rsidR="006C6F09">
        <w:t xml:space="preserve"> </w:t>
      </w:r>
      <w:r w:rsidRPr="002255B4">
        <w:t>presentation</w:t>
      </w:r>
      <w:r w:rsidR="006C6F09">
        <w:t xml:space="preserve"> </w:t>
      </w:r>
      <w:r w:rsidRPr="002255B4">
        <w:t>on</w:t>
      </w:r>
      <w:r w:rsidR="006C6F09">
        <w:t xml:space="preserve"> </w:t>
      </w:r>
      <w:r w:rsidRPr="002255B4">
        <w:t>the</w:t>
      </w:r>
      <w:r w:rsidR="006C6F09">
        <w:t xml:space="preserve"> </w:t>
      </w:r>
      <w:r w:rsidRPr="002255B4">
        <w:t>TxDOT</w:t>
      </w:r>
      <w:r w:rsidR="006C6F09">
        <w:t xml:space="preserve"> </w:t>
      </w:r>
      <w:r w:rsidRPr="002255B4">
        <w:t>website</w:t>
      </w:r>
      <w:r w:rsidR="006C6F09">
        <w:t xml:space="preserve"> </w:t>
      </w:r>
      <w:r w:rsidRPr="002255B4">
        <w:t>within</w:t>
      </w:r>
      <w:r w:rsidR="006C6F09">
        <w:t xml:space="preserve"> </w:t>
      </w:r>
      <w:r w:rsidRPr="002255B4">
        <w:t>a</w:t>
      </w:r>
      <w:r w:rsidR="006C6F09">
        <w:t xml:space="preserve"> </w:t>
      </w:r>
      <w:r w:rsidRPr="002255B4">
        <w:t>few</w:t>
      </w:r>
      <w:r w:rsidR="006C6F09">
        <w:t xml:space="preserve"> </w:t>
      </w:r>
      <w:r w:rsidRPr="002255B4">
        <w:t>days</w:t>
      </w:r>
      <w:r w:rsidR="006C6F09">
        <w:t xml:space="preserve"> </w:t>
      </w:r>
      <w:r w:rsidRPr="002255B4">
        <w:t>of</w:t>
      </w:r>
      <w:r w:rsidR="006C6F09">
        <w:t xml:space="preserve"> </w:t>
      </w:r>
      <w:r w:rsidRPr="002255B4">
        <w:t>the</w:t>
      </w:r>
      <w:r w:rsidR="006C6F09">
        <w:t xml:space="preserve"> </w:t>
      </w:r>
      <w:r w:rsidRPr="002255B4">
        <w:t>event.</w:t>
      </w:r>
    </w:p>
    <w:p w14:paraId="16EEDEA4" w14:textId="5E0AEF05" w:rsidR="00457754" w:rsidRPr="002255B4" w:rsidRDefault="00457754" w:rsidP="00457754">
      <w:pPr>
        <w:pStyle w:val="ListBullet"/>
      </w:pPr>
      <w:r w:rsidRPr="002255B4">
        <w:t>The</w:t>
      </w:r>
      <w:r w:rsidR="006C6F09">
        <w:t xml:space="preserve"> </w:t>
      </w:r>
      <w:r w:rsidRPr="002255B4">
        <w:t>requirement</w:t>
      </w:r>
      <w:r w:rsidR="006C6F09">
        <w:t xml:space="preserve"> </w:t>
      </w:r>
      <w:r w:rsidRPr="002255B4">
        <w:t>for</w:t>
      </w:r>
      <w:r w:rsidR="006C6F09">
        <w:t xml:space="preserve"> </w:t>
      </w:r>
      <w:r w:rsidRPr="002255B4">
        <w:t>commenters</w:t>
      </w:r>
      <w:r w:rsidR="006C6F09">
        <w:t xml:space="preserve"> </w:t>
      </w:r>
      <w:r w:rsidRPr="002255B4">
        <w:t>to</w:t>
      </w:r>
      <w:r w:rsidR="006C6F09">
        <w:t xml:space="preserve"> </w:t>
      </w:r>
      <w:r w:rsidRPr="002255B4">
        <w:t>“disclose</w:t>
      </w:r>
      <w:r w:rsidR="006C6F09">
        <w:t xml:space="preserve"> </w:t>
      </w:r>
      <w:r w:rsidRPr="002255B4">
        <w:t>in</w:t>
      </w:r>
      <w:r w:rsidR="006C6F09">
        <w:t xml:space="preserve"> </w:t>
      </w:r>
      <w:r w:rsidRPr="002255B4">
        <w:t>writing</w:t>
      </w:r>
      <w:r w:rsidR="006C6F09">
        <w:t xml:space="preserve"> </w:t>
      </w:r>
      <w:r w:rsidRPr="002255B4">
        <w:t>on</w:t>
      </w:r>
      <w:r w:rsidR="006C6F09">
        <w:t xml:space="preserve"> </w:t>
      </w:r>
      <w:r w:rsidRPr="002255B4">
        <w:t>a</w:t>
      </w:r>
      <w:r w:rsidR="006C6F09">
        <w:t xml:space="preserve"> </w:t>
      </w:r>
      <w:r w:rsidRPr="002255B4">
        <w:t>witness</w:t>
      </w:r>
      <w:r w:rsidR="006C6F09">
        <w:t xml:space="preserve"> </w:t>
      </w:r>
      <w:r w:rsidRPr="002255B4">
        <w:t>card</w:t>
      </w:r>
      <w:r w:rsidR="006C6F09">
        <w:t xml:space="preserve"> </w:t>
      </w:r>
      <w:r w:rsidRPr="002255B4">
        <w:t>whether</w:t>
      </w:r>
      <w:r w:rsidR="006C6F09">
        <w:t xml:space="preserve"> </w:t>
      </w:r>
      <w:r w:rsidRPr="002255B4">
        <w:t>the</w:t>
      </w:r>
      <w:r w:rsidR="006C6F09">
        <w:t xml:space="preserve"> </w:t>
      </w:r>
      <w:r w:rsidRPr="002255B4">
        <w:t>person</w:t>
      </w:r>
      <w:r w:rsidR="006C6F09">
        <w:t xml:space="preserve"> </w:t>
      </w:r>
      <w:r w:rsidRPr="002255B4">
        <w:t>does</w:t>
      </w:r>
      <w:r w:rsidR="006C6F09">
        <w:t xml:space="preserve"> </w:t>
      </w:r>
      <w:r w:rsidRPr="002255B4">
        <w:t>business</w:t>
      </w:r>
      <w:r w:rsidR="006C6F09">
        <w:t xml:space="preserve"> </w:t>
      </w:r>
      <w:r w:rsidRPr="002255B4">
        <w:t>with</w:t>
      </w:r>
      <w:r w:rsidR="006C6F09">
        <w:t xml:space="preserve"> </w:t>
      </w:r>
      <w:r w:rsidRPr="002255B4">
        <w:t>the</w:t>
      </w:r>
      <w:r w:rsidR="006C6F09">
        <w:t xml:space="preserve"> </w:t>
      </w:r>
      <w:r w:rsidRPr="002255B4">
        <w:t>department,</w:t>
      </w:r>
      <w:r w:rsidR="006C6F09">
        <w:t xml:space="preserve"> </w:t>
      </w:r>
      <w:r w:rsidRPr="002255B4">
        <w:t>may</w:t>
      </w:r>
      <w:r w:rsidR="006C6F09">
        <w:t xml:space="preserve"> </w:t>
      </w:r>
      <w:r w:rsidRPr="002255B4">
        <w:t>benefit</w:t>
      </w:r>
      <w:r w:rsidR="006C6F09">
        <w:t xml:space="preserve"> </w:t>
      </w:r>
      <w:r w:rsidRPr="002255B4">
        <w:t>monetarily</w:t>
      </w:r>
      <w:r w:rsidR="006C6F09">
        <w:t xml:space="preserve"> </w:t>
      </w:r>
      <w:r w:rsidRPr="002255B4">
        <w:t>from</w:t>
      </w:r>
      <w:r w:rsidR="006C6F09">
        <w:t xml:space="preserve"> </w:t>
      </w:r>
      <w:r w:rsidRPr="002255B4">
        <w:t>a</w:t>
      </w:r>
      <w:r w:rsidR="006C6F09">
        <w:t xml:space="preserve"> </w:t>
      </w:r>
      <w:r w:rsidRPr="002255B4">
        <w:t>project</w:t>
      </w:r>
      <w:r w:rsidR="006C6F09">
        <w:t xml:space="preserve"> </w:t>
      </w:r>
      <w:r w:rsidRPr="002255B4">
        <w:t>or</w:t>
      </w:r>
      <w:r w:rsidR="006C6F09">
        <w:t xml:space="preserve"> </w:t>
      </w:r>
      <w:r w:rsidRPr="002255B4">
        <w:t>is</w:t>
      </w:r>
      <w:r w:rsidR="006C6F09">
        <w:t xml:space="preserve"> </w:t>
      </w:r>
      <w:r w:rsidRPr="002255B4">
        <w:t>an</w:t>
      </w:r>
      <w:r w:rsidR="006C6F09">
        <w:t xml:space="preserve"> </w:t>
      </w:r>
      <w:r w:rsidRPr="002255B4">
        <w:t>employee</w:t>
      </w:r>
      <w:r w:rsidR="006C6F09">
        <w:t xml:space="preserve"> </w:t>
      </w:r>
      <w:r w:rsidRPr="002255B4">
        <w:t>of</w:t>
      </w:r>
      <w:r w:rsidR="006C6F09">
        <w:t xml:space="preserve"> </w:t>
      </w:r>
      <w:r w:rsidRPr="002255B4">
        <w:t>the</w:t>
      </w:r>
      <w:r w:rsidR="006C6F09">
        <w:t xml:space="preserve"> </w:t>
      </w:r>
      <w:r w:rsidRPr="002255B4">
        <w:t>department”</w:t>
      </w:r>
      <w:r w:rsidR="006C6F09">
        <w:t xml:space="preserve"> </w:t>
      </w:r>
      <w:r w:rsidRPr="002255B4">
        <w:t>(</w:t>
      </w:r>
      <w:r w:rsidRPr="004B085E">
        <w:t>Transportation</w:t>
      </w:r>
      <w:r w:rsidR="006C6F09">
        <w:t xml:space="preserve"> </w:t>
      </w:r>
      <w:r w:rsidRPr="004B085E">
        <w:t>Code</w:t>
      </w:r>
      <w:r w:rsidR="006C6F09">
        <w:t xml:space="preserve"> </w:t>
      </w:r>
      <w:r w:rsidRPr="002255B4">
        <w:t>201.811(a)(5))</w:t>
      </w:r>
      <w:r w:rsidR="006C6F09">
        <w:t xml:space="preserve"> </w:t>
      </w:r>
      <w:r w:rsidRPr="002255B4">
        <w:t>is</w:t>
      </w:r>
      <w:r w:rsidR="006C6F09">
        <w:t xml:space="preserve"> </w:t>
      </w:r>
      <w:r w:rsidRPr="002255B4">
        <w:t>not</w:t>
      </w:r>
      <w:r w:rsidR="006C6F09">
        <w:t xml:space="preserve"> </w:t>
      </w:r>
      <w:r w:rsidRPr="002255B4">
        <w:t>applicable</w:t>
      </w:r>
      <w:r w:rsidR="006C6F09">
        <w:t xml:space="preserve"> </w:t>
      </w:r>
      <w:r w:rsidRPr="002255B4">
        <w:t>to</w:t>
      </w:r>
      <w:r w:rsidR="006C6F09">
        <w:t xml:space="preserve"> </w:t>
      </w:r>
      <w:r w:rsidRPr="002255B4">
        <w:t>an</w:t>
      </w:r>
      <w:r w:rsidR="006C6F09">
        <w:t xml:space="preserve"> </w:t>
      </w:r>
      <w:r w:rsidRPr="002255B4">
        <w:t>online-only</w:t>
      </w:r>
      <w:r w:rsidR="006C6F09">
        <w:t xml:space="preserve"> </w:t>
      </w:r>
      <w:r w:rsidRPr="002255B4">
        <w:t>virtual</w:t>
      </w:r>
      <w:r w:rsidR="006C6F09">
        <w:t xml:space="preserve"> </w:t>
      </w:r>
      <w:r w:rsidRPr="002255B4">
        <w:t>public</w:t>
      </w:r>
      <w:r w:rsidR="006C6F09">
        <w:t xml:space="preserve"> </w:t>
      </w:r>
      <w:r w:rsidRPr="002255B4">
        <w:t>meeting</w:t>
      </w:r>
      <w:r w:rsidR="006C6F09">
        <w:t xml:space="preserve"> </w:t>
      </w:r>
      <w:r w:rsidRPr="002255B4">
        <w:t>as</w:t>
      </w:r>
      <w:r w:rsidR="006C6F09">
        <w:t xml:space="preserve"> </w:t>
      </w:r>
      <w:r w:rsidRPr="002255B4">
        <w:t>there</w:t>
      </w:r>
      <w:r w:rsidR="006C6F09">
        <w:t xml:space="preserve"> </w:t>
      </w:r>
      <w:r w:rsidRPr="002255B4">
        <w:t>is</w:t>
      </w:r>
      <w:r w:rsidR="006C6F09">
        <w:t xml:space="preserve"> </w:t>
      </w:r>
      <w:r w:rsidRPr="002255B4">
        <w:t>no</w:t>
      </w:r>
      <w:r w:rsidR="006C6F09">
        <w:t xml:space="preserve"> </w:t>
      </w:r>
      <w:r w:rsidRPr="002255B4">
        <w:t>written</w:t>
      </w:r>
      <w:r w:rsidR="006C6F09">
        <w:t xml:space="preserve"> </w:t>
      </w:r>
      <w:r w:rsidRPr="002255B4">
        <w:t>witness</w:t>
      </w:r>
      <w:r w:rsidR="006C6F09">
        <w:t xml:space="preserve"> </w:t>
      </w:r>
      <w:r w:rsidRPr="002255B4">
        <w:t>card.</w:t>
      </w:r>
    </w:p>
    <w:p w14:paraId="64DFFD16" w14:textId="360BB107" w:rsidR="00457754" w:rsidRPr="002255B4" w:rsidRDefault="00457754" w:rsidP="00457754">
      <w:pPr>
        <w:pStyle w:val="ListBullet"/>
      </w:pPr>
      <w:r w:rsidRPr="002255B4">
        <w:t>Strategies</w:t>
      </w:r>
      <w:r w:rsidR="006C6F09">
        <w:t xml:space="preserve"> </w:t>
      </w:r>
      <w:r w:rsidRPr="002255B4">
        <w:t>to</w:t>
      </w:r>
      <w:r w:rsidR="006C6F09">
        <w:t xml:space="preserve"> </w:t>
      </w:r>
      <w:r w:rsidRPr="002255B4">
        <w:t>communicate</w:t>
      </w:r>
      <w:r w:rsidR="006C6F09">
        <w:t xml:space="preserve"> </w:t>
      </w:r>
      <w:r w:rsidRPr="002255B4">
        <w:t>with</w:t>
      </w:r>
      <w:r w:rsidR="006C6F09">
        <w:t xml:space="preserve"> </w:t>
      </w:r>
      <w:r w:rsidRPr="002255B4">
        <w:t>potential</w:t>
      </w:r>
      <w:r w:rsidR="006C6F09">
        <w:t xml:space="preserve"> </w:t>
      </w:r>
      <w:r w:rsidRPr="002255B4">
        <w:t>LEP</w:t>
      </w:r>
      <w:r w:rsidR="006C6F09">
        <w:t xml:space="preserve"> </w:t>
      </w:r>
      <w:r w:rsidRPr="002255B4">
        <w:t>populations</w:t>
      </w:r>
      <w:r w:rsidR="006C6F09">
        <w:t xml:space="preserve"> </w:t>
      </w:r>
      <w:r w:rsidRPr="002255B4">
        <w:t>during</w:t>
      </w:r>
      <w:r w:rsidR="006C6F09">
        <w:t xml:space="preserve"> </w:t>
      </w:r>
      <w:proofErr w:type="gramStart"/>
      <w:r w:rsidRPr="002255B4">
        <w:t>a</w:t>
      </w:r>
      <w:r w:rsidR="006C6F09">
        <w:t xml:space="preserve"> </w:t>
      </w:r>
      <w:r w:rsidRPr="002255B4">
        <w:t>virtual</w:t>
      </w:r>
      <w:proofErr w:type="gramEnd"/>
      <w:r w:rsidR="006C6F09">
        <w:t xml:space="preserve"> </w:t>
      </w:r>
      <w:r w:rsidRPr="002255B4">
        <w:t>public</w:t>
      </w:r>
      <w:r w:rsidR="006C6F09">
        <w:t xml:space="preserve"> </w:t>
      </w:r>
      <w:r w:rsidRPr="002255B4">
        <w:t>hearing</w:t>
      </w:r>
      <w:r w:rsidR="006C6F09">
        <w:t xml:space="preserve"> </w:t>
      </w:r>
      <w:r w:rsidRPr="002255B4">
        <w:t>should</w:t>
      </w:r>
      <w:r w:rsidR="006C6F09">
        <w:t xml:space="preserve"> </w:t>
      </w:r>
      <w:r w:rsidRPr="002255B4">
        <w:t>be</w:t>
      </w:r>
      <w:r w:rsidR="006C6F09">
        <w:t xml:space="preserve"> </w:t>
      </w:r>
      <w:r w:rsidRPr="002255B4">
        <w:t>developed.</w:t>
      </w:r>
      <w:r w:rsidR="006C6F09">
        <w:t xml:space="preserve"> </w:t>
      </w:r>
    </w:p>
    <w:p w14:paraId="7FFD2814" w14:textId="34DC40BA" w:rsidR="00457754" w:rsidRPr="002255B4" w:rsidRDefault="00457754" w:rsidP="00457754">
      <w:pPr>
        <w:pStyle w:val="ListBullet"/>
      </w:pPr>
      <w:r w:rsidRPr="002255B4">
        <w:t>A</w:t>
      </w:r>
      <w:r w:rsidR="006C6F09">
        <w:t xml:space="preserve"> </w:t>
      </w:r>
      <w:r w:rsidRPr="002255B4">
        <w:t>court</w:t>
      </w:r>
      <w:r w:rsidR="006C6F09">
        <w:t xml:space="preserve"> </w:t>
      </w:r>
      <w:r w:rsidRPr="002255B4">
        <w:t>reporter</w:t>
      </w:r>
      <w:r w:rsidR="006C6F09">
        <w:t xml:space="preserve"> </w:t>
      </w:r>
      <w:r w:rsidRPr="002255B4">
        <w:t>is</w:t>
      </w:r>
      <w:r w:rsidR="006C6F09">
        <w:t xml:space="preserve"> </w:t>
      </w:r>
      <w:r w:rsidRPr="002255B4">
        <w:t>not</w:t>
      </w:r>
      <w:r w:rsidR="006C6F09">
        <w:t xml:space="preserve"> </w:t>
      </w:r>
      <w:r w:rsidRPr="002255B4">
        <w:t>required</w:t>
      </w:r>
      <w:r w:rsidR="006C6F09">
        <w:t xml:space="preserve"> </w:t>
      </w:r>
      <w:r w:rsidRPr="002255B4">
        <w:t>for</w:t>
      </w:r>
      <w:r w:rsidR="006C6F09">
        <w:t xml:space="preserve"> </w:t>
      </w:r>
      <w:r w:rsidRPr="002255B4">
        <w:t>a</w:t>
      </w:r>
      <w:r w:rsidR="006C6F09">
        <w:t xml:space="preserve"> </w:t>
      </w:r>
      <w:r w:rsidRPr="002255B4">
        <w:t>virtual</w:t>
      </w:r>
      <w:r w:rsidR="006C6F09">
        <w:t xml:space="preserve"> </w:t>
      </w:r>
      <w:r w:rsidRPr="002255B4">
        <w:t>public</w:t>
      </w:r>
      <w:r w:rsidR="006C6F09">
        <w:t xml:space="preserve"> </w:t>
      </w:r>
      <w:r w:rsidRPr="002255B4">
        <w:t>hearing.</w:t>
      </w:r>
      <w:r w:rsidR="006C6F09">
        <w:t xml:space="preserve"> </w:t>
      </w:r>
    </w:p>
    <w:p w14:paraId="2DF78778" w14:textId="7DD8BCC2" w:rsidR="00457754" w:rsidRPr="002255B4" w:rsidRDefault="00457754" w:rsidP="00457754">
      <w:pPr>
        <w:pStyle w:val="ListBullet"/>
      </w:pPr>
      <w:r w:rsidRPr="002255B4">
        <w:t>A</w:t>
      </w:r>
      <w:r w:rsidR="006C6F09">
        <w:t xml:space="preserve"> </w:t>
      </w:r>
      <w:r w:rsidRPr="002255B4">
        <w:t>written</w:t>
      </w:r>
      <w:r w:rsidR="006C6F09">
        <w:t xml:space="preserve"> </w:t>
      </w:r>
      <w:r w:rsidRPr="002255B4">
        <w:t>comment</w:t>
      </w:r>
      <w:r w:rsidR="006C6F09">
        <w:t xml:space="preserve"> </w:t>
      </w:r>
      <w:r w:rsidRPr="002255B4">
        <w:t>period</w:t>
      </w:r>
      <w:r w:rsidR="006C6F09">
        <w:t xml:space="preserve"> </w:t>
      </w:r>
      <w:r w:rsidRPr="002255B4">
        <w:t>must</w:t>
      </w:r>
      <w:r w:rsidR="006C6F09">
        <w:t xml:space="preserve"> </w:t>
      </w:r>
      <w:r w:rsidRPr="002255B4">
        <w:t>extend</w:t>
      </w:r>
      <w:r w:rsidR="006C6F09">
        <w:t xml:space="preserve"> </w:t>
      </w:r>
      <w:r w:rsidRPr="002255B4">
        <w:t>at</w:t>
      </w:r>
      <w:r w:rsidR="006C6F09">
        <w:t xml:space="preserve"> </w:t>
      </w:r>
      <w:r w:rsidRPr="002255B4">
        <w:t>least</w:t>
      </w:r>
      <w:r w:rsidR="006C6F09">
        <w:t xml:space="preserve"> </w:t>
      </w:r>
      <w:r w:rsidRPr="002255B4">
        <w:t>15</w:t>
      </w:r>
      <w:r w:rsidR="006C6F09">
        <w:t xml:space="preserve"> </w:t>
      </w:r>
      <w:r w:rsidRPr="002255B4">
        <w:t>calendar</w:t>
      </w:r>
      <w:r w:rsidR="006C6F09">
        <w:t xml:space="preserve"> </w:t>
      </w:r>
      <w:r w:rsidRPr="002255B4">
        <w:t>days</w:t>
      </w:r>
      <w:r w:rsidR="006C6F09">
        <w:t xml:space="preserve"> </w:t>
      </w:r>
      <w:r w:rsidRPr="002255B4">
        <w:t>after</w:t>
      </w:r>
      <w:r w:rsidR="006C6F09">
        <w:t xml:space="preserve"> </w:t>
      </w:r>
      <w:r w:rsidRPr="002255B4">
        <w:t>the</w:t>
      </w:r>
      <w:r w:rsidR="006C6F09">
        <w:t xml:space="preserve"> </w:t>
      </w:r>
      <w:r w:rsidRPr="002255B4">
        <w:t>online</w:t>
      </w:r>
      <w:r w:rsidR="006C6F09">
        <w:t xml:space="preserve"> </w:t>
      </w:r>
      <w:r w:rsidRPr="002255B4">
        <w:t>presentation</w:t>
      </w:r>
      <w:r w:rsidR="006C6F09">
        <w:t xml:space="preserve"> </w:t>
      </w:r>
      <w:r w:rsidRPr="002255B4">
        <w:t>is</w:t>
      </w:r>
      <w:r w:rsidR="006C6F09">
        <w:t xml:space="preserve"> </w:t>
      </w:r>
      <w:r w:rsidRPr="002255B4">
        <w:t>posted.</w:t>
      </w:r>
      <w:r w:rsidR="006C6F09">
        <w:t xml:space="preserve"> </w:t>
      </w:r>
      <w:r w:rsidRPr="002255B4">
        <w:t>Consideration</w:t>
      </w:r>
      <w:r w:rsidR="006C6F09">
        <w:t xml:space="preserve"> </w:t>
      </w:r>
      <w:r w:rsidRPr="002255B4">
        <w:t>should</w:t>
      </w:r>
      <w:r w:rsidR="006C6F09">
        <w:t xml:space="preserve"> </w:t>
      </w:r>
      <w:r w:rsidRPr="002255B4">
        <w:t>be</w:t>
      </w:r>
      <w:r w:rsidR="006C6F09">
        <w:t xml:space="preserve"> </w:t>
      </w:r>
      <w:r w:rsidRPr="002255B4">
        <w:t>given</w:t>
      </w:r>
      <w:r w:rsidR="006C6F09">
        <w:t xml:space="preserve"> </w:t>
      </w:r>
      <w:r w:rsidRPr="002255B4">
        <w:t>to</w:t>
      </w:r>
      <w:r w:rsidR="006C6F09">
        <w:t xml:space="preserve"> </w:t>
      </w:r>
      <w:r w:rsidRPr="002255B4">
        <w:t>avoid</w:t>
      </w:r>
      <w:r w:rsidR="006C6F09">
        <w:t xml:space="preserve"> </w:t>
      </w:r>
      <w:r w:rsidRPr="002255B4">
        <w:t>comment</w:t>
      </w:r>
      <w:r w:rsidR="006C6F09">
        <w:t xml:space="preserve"> </w:t>
      </w:r>
      <w:r w:rsidRPr="002255B4">
        <w:t>deadlines</w:t>
      </w:r>
      <w:r w:rsidR="006C6F09">
        <w:t xml:space="preserve"> </w:t>
      </w:r>
      <w:r w:rsidRPr="002255B4">
        <w:t>that</w:t>
      </w:r>
      <w:r w:rsidR="006C6F09">
        <w:t xml:space="preserve"> </w:t>
      </w:r>
      <w:r w:rsidRPr="002255B4">
        <w:t>extend</w:t>
      </w:r>
      <w:r w:rsidR="006C6F09">
        <w:t xml:space="preserve"> </w:t>
      </w:r>
      <w:r w:rsidRPr="002255B4">
        <w:t>into</w:t>
      </w:r>
      <w:r w:rsidR="006C6F09">
        <w:t xml:space="preserve"> </w:t>
      </w:r>
      <w:r w:rsidRPr="002255B4">
        <w:t>holiday</w:t>
      </w:r>
      <w:r w:rsidR="006C6F09">
        <w:t xml:space="preserve"> </w:t>
      </w:r>
      <w:r w:rsidRPr="002255B4">
        <w:t>and</w:t>
      </w:r>
      <w:r w:rsidR="006C6F09">
        <w:t xml:space="preserve"> </w:t>
      </w:r>
      <w:r w:rsidRPr="002255B4">
        <w:t>or</w:t>
      </w:r>
      <w:r w:rsidR="006C6F09">
        <w:t xml:space="preserve"> </w:t>
      </w:r>
      <w:r w:rsidRPr="002255B4">
        <w:t>weekend</w:t>
      </w:r>
      <w:r w:rsidR="006C6F09">
        <w:t xml:space="preserve"> </w:t>
      </w:r>
      <w:r w:rsidRPr="002255B4">
        <w:t>periods.</w:t>
      </w:r>
      <w:r w:rsidR="006C6F09">
        <w:t xml:space="preserve"> </w:t>
      </w:r>
    </w:p>
    <w:p w14:paraId="0C14D858" w14:textId="0F8D2FE2" w:rsidR="00457754" w:rsidRPr="002255B4" w:rsidRDefault="00457754" w:rsidP="00457754">
      <w:pPr>
        <w:pStyle w:val="ListBullet"/>
      </w:pPr>
      <w:r w:rsidRPr="002255B4">
        <w:lastRenderedPageBreak/>
        <w:t>The</w:t>
      </w:r>
      <w:r w:rsidR="006C6F09">
        <w:t xml:space="preserve"> </w:t>
      </w:r>
      <w:r w:rsidRPr="002255B4">
        <w:t>documentation</w:t>
      </w:r>
      <w:r w:rsidR="006C6F09">
        <w:t xml:space="preserve"> </w:t>
      </w:r>
      <w:r w:rsidRPr="002255B4">
        <w:t>requirements</w:t>
      </w:r>
      <w:r w:rsidR="006C6F09">
        <w:t xml:space="preserve"> </w:t>
      </w:r>
      <w:r w:rsidRPr="002255B4">
        <w:t>set</w:t>
      </w:r>
      <w:r w:rsidR="006C6F09">
        <w:t xml:space="preserve"> </w:t>
      </w:r>
      <w:r w:rsidRPr="002255B4">
        <w:t>forth</w:t>
      </w:r>
      <w:r w:rsidR="006C6F09">
        <w:t xml:space="preserve"> </w:t>
      </w:r>
      <w:r w:rsidRPr="002255B4">
        <w:t>in</w:t>
      </w:r>
      <w:r w:rsidR="006C6F09">
        <w:t xml:space="preserve"> </w:t>
      </w:r>
      <w:r w:rsidRPr="002255B4">
        <w:t>Subsection</w:t>
      </w:r>
      <w:r w:rsidR="006C6F09">
        <w:t xml:space="preserve"> </w:t>
      </w:r>
      <w:r w:rsidRPr="00263E76">
        <w:rPr>
          <w:color w:val="0056A9"/>
          <w:u w:val="single"/>
        </w:rPr>
        <w:fldChar w:fldCharType="begin"/>
      </w:r>
      <w:r w:rsidRPr="00263E76">
        <w:rPr>
          <w:color w:val="0056A9"/>
          <w:u w:val="single"/>
        </w:rPr>
        <w:instrText xml:space="preserve"> REF _Ref219791511 \h  \* MERGEFORMAT </w:instrText>
      </w:r>
      <w:r w:rsidRPr="00263E76">
        <w:rPr>
          <w:color w:val="0056A9"/>
          <w:u w:val="single"/>
        </w:rPr>
      </w:r>
      <w:r w:rsidRPr="00263E76">
        <w:rPr>
          <w:color w:val="0056A9"/>
          <w:u w:val="single"/>
        </w:rPr>
        <w:fldChar w:fldCharType="separate"/>
      </w:r>
      <w:r w:rsidRPr="00263E76">
        <w:rPr>
          <w:color w:val="0056A9"/>
          <w:u w:val="single"/>
        </w:rPr>
        <w:t>14.4</w:t>
      </w:r>
      <w:r w:rsidRPr="00263E76">
        <w:rPr>
          <w:color w:val="0056A9"/>
          <w:u w:val="single"/>
        </w:rPr>
        <w:fldChar w:fldCharType="end"/>
      </w:r>
      <w:r w:rsidR="006C6F09">
        <w:t xml:space="preserve"> </w:t>
      </w:r>
      <w:r w:rsidRPr="002255B4">
        <w:t>apply</w:t>
      </w:r>
      <w:r w:rsidR="006C6F09">
        <w:t xml:space="preserve"> </w:t>
      </w:r>
      <w:r w:rsidRPr="002255B4">
        <w:t>to</w:t>
      </w:r>
      <w:r w:rsidR="006C6F09">
        <w:t xml:space="preserve"> </w:t>
      </w:r>
      <w:r w:rsidRPr="002255B4">
        <w:t>a</w:t>
      </w:r>
      <w:r w:rsidR="006C6F09">
        <w:t xml:space="preserve"> </w:t>
      </w:r>
      <w:r w:rsidRPr="002255B4">
        <w:t>virtual</w:t>
      </w:r>
      <w:r w:rsidR="006C6F09">
        <w:t xml:space="preserve"> </w:t>
      </w:r>
      <w:r w:rsidRPr="002255B4">
        <w:t>public</w:t>
      </w:r>
      <w:r w:rsidR="006C6F09">
        <w:t xml:space="preserve"> </w:t>
      </w:r>
      <w:r w:rsidRPr="002255B4">
        <w:t>hearing.</w:t>
      </w:r>
    </w:p>
    <w:p w14:paraId="16BC61F7" w14:textId="2A26FAB9" w:rsidR="00457754" w:rsidRDefault="00457754" w:rsidP="00457754">
      <w:r>
        <w:t>The</w:t>
      </w:r>
      <w:r w:rsidR="006C6F09">
        <w:t xml:space="preserve"> </w:t>
      </w:r>
      <w:r>
        <w:t>above</w:t>
      </w:r>
      <w:r w:rsidR="006C6F09">
        <w:t xml:space="preserve"> </w:t>
      </w:r>
      <w:r>
        <w:t>requirements</w:t>
      </w:r>
      <w:r w:rsidR="006C6F09">
        <w:t xml:space="preserve"> </w:t>
      </w:r>
      <w:r>
        <w:t>are</w:t>
      </w:r>
      <w:r w:rsidR="006C6F09">
        <w:t xml:space="preserve"> </w:t>
      </w:r>
      <w:r>
        <w:t>applicable</w:t>
      </w:r>
      <w:r w:rsidR="006C6F09">
        <w:t xml:space="preserve"> </w:t>
      </w:r>
      <w:r>
        <w:t>to</w:t>
      </w:r>
      <w:r w:rsidR="006C6F09">
        <w:t xml:space="preserve"> </w:t>
      </w:r>
      <w:r>
        <w:t>both</w:t>
      </w:r>
      <w:r w:rsidR="006C6F09">
        <w:t xml:space="preserve"> </w:t>
      </w:r>
      <w:r>
        <w:t>virtual</w:t>
      </w:r>
      <w:r w:rsidR="006C6F09">
        <w:t xml:space="preserve"> </w:t>
      </w:r>
      <w:r>
        <w:t>public</w:t>
      </w:r>
      <w:r w:rsidR="006C6F09">
        <w:t xml:space="preserve"> </w:t>
      </w:r>
      <w:r>
        <w:t>hearings</w:t>
      </w:r>
      <w:r w:rsidR="006C6F09">
        <w:t xml:space="preserve"> </w:t>
      </w:r>
      <w:r>
        <w:t>and</w:t>
      </w:r>
      <w:r w:rsidR="006C6F09">
        <w:t xml:space="preserve"> </w:t>
      </w:r>
      <w:r>
        <w:t>virtual</w:t>
      </w:r>
      <w:r w:rsidR="006C6F09">
        <w:t xml:space="preserve"> </w:t>
      </w:r>
      <w:r>
        <w:t>public</w:t>
      </w:r>
      <w:r w:rsidR="006C6F09">
        <w:t xml:space="preserve"> </w:t>
      </w:r>
      <w:r w:rsidRPr="00263E76">
        <w:t>meetings</w:t>
      </w:r>
      <w:r>
        <w:t>.</w:t>
      </w:r>
      <w:r w:rsidR="006C6F09">
        <w:t xml:space="preserve"> </w:t>
      </w:r>
      <w:r>
        <w:t>However,</w:t>
      </w:r>
      <w:r w:rsidR="006C6F09">
        <w:t xml:space="preserve"> </w:t>
      </w:r>
      <w:r>
        <w:t>the</w:t>
      </w:r>
      <w:r w:rsidR="006C6F09">
        <w:t xml:space="preserve"> </w:t>
      </w:r>
      <w:r>
        <w:t>following</w:t>
      </w:r>
      <w:r w:rsidR="006C6F09">
        <w:t xml:space="preserve"> </w:t>
      </w:r>
      <w:r>
        <w:t>requirements</w:t>
      </w:r>
      <w:r w:rsidR="006C6F09">
        <w:t xml:space="preserve"> </w:t>
      </w:r>
      <w:r>
        <w:t>are</w:t>
      </w:r>
      <w:r w:rsidR="006C6F09">
        <w:t xml:space="preserve"> </w:t>
      </w:r>
      <w:r>
        <w:t>specific</w:t>
      </w:r>
      <w:r w:rsidR="006C6F09">
        <w:t xml:space="preserve"> </w:t>
      </w:r>
      <w:r>
        <w:t>to</w:t>
      </w:r>
      <w:r w:rsidR="006C6F09">
        <w:t xml:space="preserve"> </w:t>
      </w:r>
      <w:r>
        <w:t>virtual</w:t>
      </w:r>
      <w:r w:rsidR="006C6F09">
        <w:t xml:space="preserve"> </w:t>
      </w:r>
      <w:r>
        <w:t>public</w:t>
      </w:r>
      <w:r w:rsidR="006C6F09">
        <w:rPr>
          <w:i/>
          <w:iCs/>
        </w:rPr>
        <w:t xml:space="preserve"> </w:t>
      </w:r>
      <w:r w:rsidRPr="00263E76">
        <w:rPr>
          <w:b/>
          <w:bCs/>
        </w:rPr>
        <w:t>hearings</w:t>
      </w:r>
      <w:r>
        <w:t>:</w:t>
      </w:r>
    </w:p>
    <w:p w14:paraId="54070AD5" w14:textId="47F19814" w:rsidR="00457754" w:rsidRPr="00404BBC" w:rsidRDefault="00457754" w:rsidP="00457754">
      <w:pPr>
        <w:pStyle w:val="ListBullet"/>
      </w:pPr>
      <w:r w:rsidRPr="00404BBC">
        <w:t>Verbal</w:t>
      </w:r>
      <w:r w:rsidR="006C6F09">
        <w:t xml:space="preserve"> </w:t>
      </w:r>
      <w:r w:rsidRPr="00404BBC">
        <w:t>testimony</w:t>
      </w:r>
      <w:r w:rsidR="006C6F09">
        <w:t xml:space="preserve"> </w:t>
      </w:r>
      <w:r w:rsidRPr="00404BBC">
        <w:t>must</w:t>
      </w:r>
      <w:r w:rsidR="006C6F09">
        <w:t xml:space="preserve"> </w:t>
      </w:r>
      <w:r w:rsidRPr="00404BBC">
        <w:t>be</w:t>
      </w:r>
      <w:r w:rsidR="006C6F09">
        <w:t xml:space="preserve"> </w:t>
      </w:r>
      <w:r w:rsidRPr="00404BBC">
        <w:t>allowed</w:t>
      </w:r>
      <w:r w:rsidR="006C6F09">
        <w:t xml:space="preserve"> </w:t>
      </w:r>
      <w:r w:rsidRPr="00404BBC">
        <w:t>by</w:t>
      </w:r>
      <w:r w:rsidR="006C6F09">
        <w:t xml:space="preserve"> </w:t>
      </w:r>
      <w:r w:rsidRPr="00404BBC">
        <w:t>phone</w:t>
      </w:r>
      <w:r w:rsidR="006C6F09">
        <w:t xml:space="preserve"> </w:t>
      </w:r>
      <w:r w:rsidRPr="00404BBC">
        <w:t>using</w:t>
      </w:r>
      <w:r w:rsidR="006C6F09">
        <w:t xml:space="preserve"> </w:t>
      </w:r>
      <w:r w:rsidRPr="00404BBC">
        <w:t>a</w:t>
      </w:r>
      <w:r w:rsidR="006C6F09">
        <w:t xml:space="preserve"> </w:t>
      </w:r>
      <w:r w:rsidRPr="00404BBC">
        <w:t>voicemail</w:t>
      </w:r>
      <w:r w:rsidR="006C6F09">
        <w:t xml:space="preserve"> </w:t>
      </w:r>
      <w:r w:rsidRPr="00404BBC">
        <w:t>system.</w:t>
      </w:r>
      <w:r w:rsidR="006C6F09">
        <w:t xml:space="preserve"> </w:t>
      </w:r>
      <w:r w:rsidRPr="00404BBC">
        <w:t>If</w:t>
      </w:r>
      <w:r w:rsidR="006C6F09">
        <w:t xml:space="preserve"> </w:t>
      </w:r>
      <w:r w:rsidRPr="00404BBC">
        <w:t>an</w:t>
      </w:r>
      <w:r w:rsidR="006C6F09">
        <w:t xml:space="preserve"> </w:t>
      </w:r>
      <w:r w:rsidRPr="00404BBC">
        <w:t>environmental</w:t>
      </w:r>
      <w:r w:rsidR="006C6F09">
        <w:t xml:space="preserve"> </w:t>
      </w:r>
      <w:r w:rsidRPr="00404BBC">
        <w:t>or</w:t>
      </w:r>
      <w:r w:rsidR="006C6F09">
        <w:t xml:space="preserve"> </w:t>
      </w:r>
      <w:r w:rsidRPr="00404BBC">
        <w:t>public</w:t>
      </w:r>
      <w:r w:rsidR="006C6F09">
        <w:t xml:space="preserve"> </w:t>
      </w:r>
      <w:r w:rsidRPr="00404BBC">
        <w:t>involvement</w:t>
      </w:r>
      <w:r w:rsidR="006C6F09">
        <w:t xml:space="preserve"> </w:t>
      </w:r>
      <w:r w:rsidRPr="00404BBC">
        <w:t>consultant</w:t>
      </w:r>
      <w:r w:rsidR="006C6F09">
        <w:t xml:space="preserve"> </w:t>
      </w:r>
      <w:r w:rsidRPr="00404BBC">
        <w:t>is</w:t>
      </w:r>
      <w:r w:rsidR="006C6F09">
        <w:t xml:space="preserve"> </w:t>
      </w:r>
      <w:r w:rsidRPr="00404BBC">
        <w:t>assisting</w:t>
      </w:r>
      <w:r w:rsidR="006C6F09">
        <w:t xml:space="preserve"> </w:t>
      </w:r>
      <w:r w:rsidRPr="00404BBC">
        <w:t>the</w:t>
      </w:r>
      <w:r w:rsidR="006C6F09">
        <w:t xml:space="preserve"> </w:t>
      </w:r>
      <w:r w:rsidRPr="00404BBC">
        <w:t>district</w:t>
      </w:r>
      <w:r w:rsidR="006C6F09">
        <w:t xml:space="preserve"> </w:t>
      </w:r>
      <w:r w:rsidRPr="00404BBC">
        <w:t>with</w:t>
      </w:r>
      <w:r w:rsidR="006C6F09">
        <w:t xml:space="preserve"> </w:t>
      </w:r>
      <w:r w:rsidRPr="00404BBC">
        <w:t>the</w:t>
      </w:r>
      <w:r w:rsidR="006C6F09">
        <w:t xml:space="preserve"> </w:t>
      </w:r>
      <w:r w:rsidRPr="00404BBC">
        <w:t>project,</w:t>
      </w:r>
      <w:r w:rsidR="006C6F09">
        <w:t xml:space="preserve"> </w:t>
      </w:r>
      <w:r w:rsidRPr="00404BBC">
        <w:t>then</w:t>
      </w:r>
      <w:r w:rsidR="006C6F09">
        <w:t xml:space="preserve"> </w:t>
      </w:r>
      <w:r w:rsidRPr="00404BBC">
        <w:t>that</w:t>
      </w:r>
      <w:r w:rsidR="006C6F09">
        <w:t xml:space="preserve"> </w:t>
      </w:r>
      <w:r w:rsidRPr="00404BBC">
        <w:t>consultant</w:t>
      </w:r>
      <w:r w:rsidR="006C6F09">
        <w:t xml:space="preserve"> </w:t>
      </w:r>
      <w:r w:rsidRPr="00404BBC">
        <w:t>is</w:t>
      </w:r>
      <w:r w:rsidR="006C6F09">
        <w:t xml:space="preserve"> </w:t>
      </w:r>
      <w:r w:rsidRPr="00404BBC">
        <w:t>typically</w:t>
      </w:r>
      <w:r w:rsidR="006C6F09">
        <w:t xml:space="preserve"> </w:t>
      </w:r>
      <w:r w:rsidRPr="00404BBC">
        <w:t>the</w:t>
      </w:r>
      <w:r w:rsidR="006C6F09">
        <w:t xml:space="preserve"> </w:t>
      </w:r>
      <w:r w:rsidRPr="00404BBC">
        <w:t>entity</w:t>
      </w:r>
      <w:r w:rsidR="006C6F09">
        <w:t xml:space="preserve"> </w:t>
      </w:r>
      <w:r w:rsidRPr="00404BBC">
        <w:t>that</w:t>
      </w:r>
      <w:r w:rsidR="006C6F09">
        <w:t xml:space="preserve"> </w:t>
      </w:r>
      <w:r w:rsidRPr="00404BBC">
        <w:t>sets</w:t>
      </w:r>
      <w:r w:rsidR="006C6F09">
        <w:t xml:space="preserve"> </w:t>
      </w:r>
      <w:r w:rsidRPr="00404BBC">
        <w:t>up</w:t>
      </w:r>
      <w:r w:rsidR="006C6F09">
        <w:t xml:space="preserve"> </w:t>
      </w:r>
      <w:r w:rsidRPr="00404BBC">
        <w:t>and</w:t>
      </w:r>
      <w:r w:rsidR="006C6F09">
        <w:t xml:space="preserve"> </w:t>
      </w:r>
      <w:r w:rsidRPr="00404BBC">
        <w:t>operates</w:t>
      </w:r>
      <w:r w:rsidR="006C6F09">
        <w:t xml:space="preserve"> </w:t>
      </w:r>
      <w:r w:rsidRPr="00404BBC">
        <w:t>the</w:t>
      </w:r>
      <w:r w:rsidR="006C6F09">
        <w:t xml:space="preserve"> </w:t>
      </w:r>
      <w:r w:rsidRPr="00404BBC">
        <w:t>voicemail</w:t>
      </w:r>
      <w:r w:rsidR="006C6F09">
        <w:t xml:space="preserve"> </w:t>
      </w:r>
      <w:r w:rsidRPr="00404BBC">
        <w:t>system</w:t>
      </w:r>
      <w:r w:rsidR="006C6F09">
        <w:t xml:space="preserve"> </w:t>
      </w:r>
      <w:r w:rsidRPr="00404BBC">
        <w:t>for</w:t>
      </w:r>
      <w:r w:rsidR="006C6F09">
        <w:t xml:space="preserve"> </w:t>
      </w:r>
      <w:r w:rsidRPr="00404BBC">
        <w:t>receiving</w:t>
      </w:r>
      <w:r w:rsidR="006C6F09">
        <w:t xml:space="preserve"> </w:t>
      </w:r>
      <w:r w:rsidRPr="00404BBC">
        <w:t>public</w:t>
      </w:r>
      <w:r w:rsidR="006C6F09">
        <w:t xml:space="preserve"> </w:t>
      </w:r>
      <w:r w:rsidRPr="00404BBC">
        <w:t>testimony.</w:t>
      </w:r>
      <w:r w:rsidR="006C6F09">
        <w:t xml:space="preserve"> </w:t>
      </w:r>
      <w:r w:rsidRPr="00404BBC">
        <w:t>If</w:t>
      </w:r>
      <w:r w:rsidR="006C6F09">
        <w:t xml:space="preserve"> </w:t>
      </w:r>
      <w:r w:rsidRPr="00404BBC">
        <w:t>there</w:t>
      </w:r>
      <w:r w:rsidR="006C6F09">
        <w:t xml:space="preserve"> </w:t>
      </w:r>
      <w:r w:rsidRPr="00404BBC">
        <w:t>is</w:t>
      </w:r>
      <w:r w:rsidR="006C6F09">
        <w:t xml:space="preserve"> </w:t>
      </w:r>
      <w:r w:rsidRPr="00404BBC">
        <w:t>no</w:t>
      </w:r>
      <w:r w:rsidR="006C6F09">
        <w:t xml:space="preserve"> </w:t>
      </w:r>
      <w:r w:rsidRPr="00404BBC">
        <w:t>such</w:t>
      </w:r>
      <w:r w:rsidR="006C6F09">
        <w:t xml:space="preserve"> </w:t>
      </w:r>
      <w:r w:rsidRPr="00404BBC">
        <w:t>consultant</w:t>
      </w:r>
      <w:r w:rsidR="006C6F09">
        <w:t xml:space="preserve"> </w:t>
      </w:r>
      <w:r w:rsidRPr="00404BBC">
        <w:t>on</w:t>
      </w:r>
      <w:r w:rsidR="006C6F09">
        <w:t xml:space="preserve"> </w:t>
      </w:r>
      <w:r w:rsidRPr="00404BBC">
        <w:t>the</w:t>
      </w:r>
      <w:r w:rsidR="006C6F09">
        <w:t xml:space="preserve"> </w:t>
      </w:r>
      <w:r w:rsidRPr="00404BBC">
        <w:t>project,</w:t>
      </w:r>
      <w:r w:rsidR="006C6F09">
        <w:t xml:space="preserve"> </w:t>
      </w:r>
      <w:r w:rsidRPr="00404BBC">
        <w:t>then</w:t>
      </w:r>
      <w:r w:rsidR="006C6F09">
        <w:t xml:space="preserve"> </w:t>
      </w:r>
      <w:r w:rsidRPr="00404BBC">
        <w:t>district</w:t>
      </w:r>
      <w:r w:rsidR="006C6F09">
        <w:t xml:space="preserve"> </w:t>
      </w:r>
      <w:r w:rsidRPr="00404BBC">
        <w:t>environmental</w:t>
      </w:r>
      <w:r w:rsidR="006C6F09">
        <w:t xml:space="preserve"> </w:t>
      </w:r>
      <w:r w:rsidRPr="00404BBC">
        <w:t>staff</w:t>
      </w:r>
      <w:r w:rsidR="006C6F09">
        <w:t xml:space="preserve"> </w:t>
      </w:r>
      <w:r w:rsidRPr="00404BBC">
        <w:t>should</w:t>
      </w:r>
      <w:r w:rsidR="006C6F09">
        <w:t xml:space="preserve"> </w:t>
      </w:r>
      <w:r w:rsidRPr="00404BBC">
        <w:t>reach</w:t>
      </w:r>
      <w:r w:rsidR="006C6F09">
        <w:t xml:space="preserve"> </w:t>
      </w:r>
      <w:r w:rsidRPr="00404BBC">
        <w:t>out</w:t>
      </w:r>
      <w:r w:rsidR="006C6F09">
        <w:t xml:space="preserve"> </w:t>
      </w:r>
      <w:r w:rsidRPr="00404BBC">
        <w:t>to</w:t>
      </w:r>
      <w:r w:rsidR="006C6F09">
        <w:t xml:space="preserve"> </w:t>
      </w:r>
      <w:r w:rsidRPr="00404BBC">
        <w:t>the</w:t>
      </w:r>
      <w:r w:rsidR="006C6F09">
        <w:t xml:space="preserve"> </w:t>
      </w:r>
      <w:r w:rsidRPr="00404BBC">
        <w:t>TPP</w:t>
      </w:r>
      <w:r w:rsidR="006C6F09">
        <w:t xml:space="preserve"> </w:t>
      </w:r>
      <w:r w:rsidRPr="00404BBC">
        <w:t>PI’s</w:t>
      </w:r>
      <w:r w:rsidR="006C6F09">
        <w:t xml:space="preserve"> </w:t>
      </w:r>
      <w:r w:rsidRPr="00404BBC">
        <w:t>Section</w:t>
      </w:r>
      <w:r w:rsidR="006C6F09">
        <w:t xml:space="preserve"> </w:t>
      </w:r>
      <w:r w:rsidRPr="00404BBC">
        <w:t>for</w:t>
      </w:r>
      <w:r w:rsidR="006C6F09">
        <w:t xml:space="preserve"> </w:t>
      </w:r>
      <w:r w:rsidRPr="00404BBC">
        <w:t>assistance</w:t>
      </w:r>
      <w:r w:rsidR="006C6F09">
        <w:t xml:space="preserve"> </w:t>
      </w:r>
      <w:r w:rsidRPr="00404BBC">
        <w:t>in</w:t>
      </w:r>
      <w:r w:rsidR="006C6F09">
        <w:t xml:space="preserve"> </w:t>
      </w:r>
      <w:r w:rsidRPr="00404BBC">
        <w:t>setting</w:t>
      </w:r>
      <w:r w:rsidR="006C6F09">
        <w:t xml:space="preserve"> </w:t>
      </w:r>
      <w:r w:rsidRPr="00404BBC">
        <w:t>up</w:t>
      </w:r>
      <w:r w:rsidR="006C6F09">
        <w:t xml:space="preserve"> </w:t>
      </w:r>
      <w:r w:rsidRPr="00404BBC">
        <w:t>and</w:t>
      </w:r>
      <w:r w:rsidR="006C6F09">
        <w:t xml:space="preserve"> </w:t>
      </w:r>
      <w:r w:rsidRPr="00404BBC">
        <w:t>operating</w:t>
      </w:r>
      <w:r w:rsidR="006C6F09">
        <w:t xml:space="preserve"> </w:t>
      </w:r>
      <w:r w:rsidRPr="00404BBC">
        <w:t>the</w:t>
      </w:r>
      <w:r w:rsidR="006C6F09">
        <w:t xml:space="preserve"> </w:t>
      </w:r>
      <w:r w:rsidRPr="00404BBC">
        <w:t>voicemail</w:t>
      </w:r>
      <w:r w:rsidR="006C6F09">
        <w:t xml:space="preserve"> </w:t>
      </w:r>
      <w:r w:rsidRPr="00404BBC">
        <w:t>system</w:t>
      </w:r>
      <w:r w:rsidR="006C6F09">
        <w:t xml:space="preserve"> </w:t>
      </w:r>
      <w:r w:rsidRPr="00404BBC">
        <w:t>for</w:t>
      </w:r>
      <w:r w:rsidR="006C6F09">
        <w:t xml:space="preserve"> </w:t>
      </w:r>
      <w:r w:rsidRPr="00404BBC">
        <w:t>receiving</w:t>
      </w:r>
      <w:r w:rsidR="006C6F09">
        <w:t xml:space="preserve"> </w:t>
      </w:r>
      <w:r w:rsidRPr="00404BBC">
        <w:t>public</w:t>
      </w:r>
      <w:r w:rsidR="006C6F09">
        <w:t xml:space="preserve"> </w:t>
      </w:r>
      <w:r w:rsidRPr="00404BBC">
        <w:t>testimony.</w:t>
      </w:r>
    </w:p>
    <w:p w14:paraId="2D377FDF" w14:textId="2419D078" w:rsidR="00457754" w:rsidRPr="00404BBC" w:rsidRDefault="00457754" w:rsidP="00457754">
      <w:pPr>
        <w:pStyle w:val="ListBullet"/>
      </w:pPr>
      <w:r w:rsidRPr="00404BBC">
        <w:t>All</w:t>
      </w:r>
      <w:r w:rsidR="006C6F09">
        <w:t xml:space="preserve"> </w:t>
      </w:r>
      <w:r w:rsidRPr="00404BBC">
        <w:t>verbal</w:t>
      </w:r>
      <w:r w:rsidR="006C6F09">
        <w:t xml:space="preserve"> </w:t>
      </w:r>
      <w:r w:rsidRPr="00404BBC">
        <w:t>testimony</w:t>
      </w:r>
      <w:r w:rsidR="006C6F09">
        <w:t xml:space="preserve"> </w:t>
      </w:r>
      <w:r w:rsidRPr="00404BBC">
        <w:t>must</w:t>
      </w:r>
      <w:r w:rsidR="006C6F09">
        <w:t xml:space="preserve"> </w:t>
      </w:r>
      <w:r w:rsidRPr="00404BBC">
        <w:t>be</w:t>
      </w:r>
      <w:r w:rsidR="006C6F09">
        <w:t xml:space="preserve"> </w:t>
      </w:r>
      <w:r w:rsidRPr="00404BBC">
        <w:t>received</w:t>
      </w:r>
      <w:r w:rsidR="006C6F09">
        <w:t xml:space="preserve"> </w:t>
      </w:r>
      <w:r w:rsidRPr="00404BBC">
        <w:t>by</w:t>
      </w:r>
      <w:r w:rsidR="006C6F09">
        <w:t xml:space="preserve"> </w:t>
      </w:r>
      <w:r w:rsidRPr="00404BBC">
        <w:t>the</w:t>
      </w:r>
      <w:r w:rsidR="006C6F09">
        <w:t xml:space="preserve"> </w:t>
      </w:r>
      <w:r w:rsidRPr="00404BBC">
        <w:t>end</w:t>
      </w:r>
      <w:r w:rsidR="006C6F09">
        <w:t xml:space="preserve"> </w:t>
      </w:r>
      <w:r w:rsidRPr="00404BBC">
        <w:t>of</w:t>
      </w:r>
      <w:r w:rsidR="006C6F09">
        <w:t xml:space="preserve"> </w:t>
      </w:r>
      <w:r w:rsidRPr="00404BBC">
        <w:t>the</w:t>
      </w:r>
      <w:r w:rsidR="006C6F09">
        <w:t xml:space="preserve"> </w:t>
      </w:r>
      <w:r w:rsidRPr="00404BBC">
        <w:t>15-calendar</w:t>
      </w:r>
      <w:r w:rsidR="006C6F09">
        <w:t xml:space="preserve"> </w:t>
      </w:r>
      <w:r w:rsidRPr="00404BBC">
        <w:t>day</w:t>
      </w:r>
      <w:r w:rsidR="006C6F09">
        <w:t xml:space="preserve"> </w:t>
      </w:r>
      <w:r w:rsidRPr="00404BBC">
        <w:t>comment</w:t>
      </w:r>
      <w:r w:rsidR="006C6F09">
        <w:t xml:space="preserve"> </w:t>
      </w:r>
      <w:r w:rsidRPr="00404BBC">
        <w:t>period.</w:t>
      </w:r>
    </w:p>
    <w:p w14:paraId="45315678" w14:textId="3BE70694" w:rsidR="00457754" w:rsidRPr="00404BBC" w:rsidRDefault="00457754" w:rsidP="00457754">
      <w:pPr>
        <w:pStyle w:val="ListBullet"/>
      </w:pPr>
      <w:r w:rsidRPr="00404BBC">
        <w:t>Voicemail</w:t>
      </w:r>
      <w:r w:rsidR="006C6F09">
        <w:t xml:space="preserve"> </w:t>
      </w:r>
      <w:r w:rsidRPr="00404BBC">
        <w:t>greeting</w:t>
      </w:r>
      <w:r w:rsidR="006C6F09">
        <w:t xml:space="preserve"> </w:t>
      </w:r>
      <w:r w:rsidRPr="00404BBC">
        <w:t>options</w:t>
      </w:r>
      <w:r w:rsidR="006C6F09">
        <w:t xml:space="preserve"> </w:t>
      </w:r>
      <w:r w:rsidRPr="00404BBC">
        <w:t>should</w:t>
      </w:r>
      <w:r w:rsidR="006C6F09">
        <w:t xml:space="preserve"> </w:t>
      </w:r>
      <w:r w:rsidRPr="00404BBC">
        <w:t>be</w:t>
      </w:r>
      <w:r w:rsidR="006C6F09">
        <w:t xml:space="preserve"> </w:t>
      </w:r>
      <w:r w:rsidRPr="00404BBC">
        <w:t>provided</w:t>
      </w:r>
      <w:r w:rsidR="006C6F09">
        <w:t xml:space="preserve"> </w:t>
      </w:r>
      <w:r w:rsidRPr="00404BBC">
        <w:t>in</w:t>
      </w:r>
      <w:r w:rsidR="006C6F09">
        <w:t xml:space="preserve"> </w:t>
      </w:r>
      <w:r w:rsidRPr="00404BBC">
        <w:t>English,</w:t>
      </w:r>
      <w:r w:rsidR="006C6F09">
        <w:t xml:space="preserve"> </w:t>
      </w:r>
      <w:r w:rsidRPr="00404BBC">
        <w:t>Spanish,</w:t>
      </w:r>
      <w:r w:rsidR="006C6F09">
        <w:t xml:space="preserve"> </w:t>
      </w:r>
      <w:r w:rsidRPr="00404BBC">
        <w:t>or</w:t>
      </w:r>
      <w:r w:rsidR="006C6F09">
        <w:t xml:space="preserve"> </w:t>
      </w:r>
      <w:r w:rsidRPr="00404BBC">
        <w:t>any</w:t>
      </w:r>
      <w:r w:rsidR="006C6F09">
        <w:t xml:space="preserve"> </w:t>
      </w:r>
      <w:r w:rsidRPr="00404BBC">
        <w:t>other</w:t>
      </w:r>
      <w:r w:rsidR="006C6F09">
        <w:t xml:space="preserve"> </w:t>
      </w:r>
      <w:r w:rsidRPr="00404BBC">
        <w:t>language</w:t>
      </w:r>
      <w:r w:rsidR="006C6F09">
        <w:t xml:space="preserve"> </w:t>
      </w:r>
      <w:r w:rsidRPr="00404BBC">
        <w:t>that</w:t>
      </w:r>
      <w:r w:rsidR="006C6F09">
        <w:t xml:space="preserve"> </w:t>
      </w:r>
      <w:r w:rsidRPr="00404BBC">
        <w:t>is</w:t>
      </w:r>
      <w:r w:rsidR="006C6F09">
        <w:t xml:space="preserve"> </w:t>
      </w:r>
      <w:r w:rsidRPr="00404BBC">
        <w:t>prevalent</w:t>
      </w:r>
      <w:r w:rsidR="006C6F09">
        <w:t xml:space="preserve"> </w:t>
      </w:r>
      <w:r w:rsidRPr="00404BBC">
        <w:t>in</w:t>
      </w:r>
      <w:r w:rsidR="006C6F09">
        <w:t xml:space="preserve"> </w:t>
      </w:r>
      <w:r w:rsidRPr="00404BBC">
        <w:t>the</w:t>
      </w:r>
      <w:r w:rsidR="006C6F09">
        <w:t xml:space="preserve"> </w:t>
      </w:r>
      <w:r w:rsidRPr="00404BBC">
        <w:t>project</w:t>
      </w:r>
      <w:r w:rsidR="006C6F09">
        <w:t xml:space="preserve"> </w:t>
      </w:r>
      <w:r w:rsidRPr="00404BBC">
        <w:t>area.</w:t>
      </w:r>
    </w:p>
    <w:p w14:paraId="10CF05E0" w14:textId="6B07B0E3" w:rsidR="00457754" w:rsidRPr="00404BBC" w:rsidRDefault="00457754" w:rsidP="00457754">
      <w:pPr>
        <w:pStyle w:val="ListBullet"/>
      </w:pPr>
      <w:r w:rsidRPr="00404BBC">
        <w:t>The</w:t>
      </w:r>
      <w:r w:rsidR="006C6F09">
        <w:t xml:space="preserve"> </w:t>
      </w:r>
      <w:r w:rsidRPr="00404BBC">
        <w:t>voicemail</w:t>
      </w:r>
      <w:r w:rsidR="006C6F09">
        <w:t xml:space="preserve"> </w:t>
      </w:r>
      <w:r w:rsidRPr="00404BBC">
        <w:t>greeting</w:t>
      </w:r>
      <w:r w:rsidR="006C6F09">
        <w:t xml:space="preserve"> </w:t>
      </w:r>
      <w:r w:rsidRPr="00404BBC">
        <w:t>should</w:t>
      </w:r>
      <w:r w:rsidR="006C6F09">
        <w:t xml:space="preserve"> </w:t>
      </w:r>
      <w:r w:rsidRPr="00404BBC">
        <w:t>instruct</w:t>
      </w:r>
      <w:r w:rsidR="006C6F09">
        <w:t xml:space="preserve"> </w:t>
      </w:r>
      <w:r w:rsidRPr="00404BBC">
        <w:t>callers</w:t>
      </w:r>
      <w:r w:rsidR="006C6F09">
        <w:t xml:space="preserve"> </w:t>
      </w:r>
      <w:r w:rsidRPr="00404BBC">
        <w:t>to</w:t>
      </w:r>
      <w:r w:rsidR="006C6F09">
        <w:t xml:space="preserve"> </w:t>
      </w:r>
      <w:r w:rsidRPr="00404BBC">
        <w:t>limit</w:t>
      </w:r>
      <w:r w:rsidR="006C6F09">
        <w:t xml:space="preserve"> </w:t>
      </w:r>
      <w:r w:rsidRPr="00404BBC">
        <w:t>their</w:t>
      </w:r>
      <w:r w:rsidR="006C6F09">
        <w:t xml:space="preserve"> </w:t>
      </w:r>
      <w:r w:rsidRPr="00404BBC">
        <w:t>oral</w:t>
      </w:r>
      <w:r w:rsidR="006C6F09">
        <w:t xml:space="preserve"> </w:t>
      </w:r>
      <w:r w:rsidRPr="00404BBC">
        <w:t>testimony</w:t>
      </w:r>
      <w:r w:rsidR="006C6F09">
        <w:t xml:space="preserve"> </w:t>
      </w:r>
      <w:r w:rsidRPr="00404BBC">
        <w:t>to</w:t>
      </w:r>
      <w:r w:rsidR="006C6F09">
        <w:t xml:space="preserve"> </w:t>
      </w:r>
      <w:r w:rsidRPr="00404BBC">
        <w:t>no</w:t>
      </w:r>
      <w:r w:rsidR="006C6F09">
        <w:t xml:space="preserve"> </w:t>
      </w:r>
      <w:r w:rsidRPr="00404BBC">
        <w:t>more</w:t>
      </w:r>
      <w:r w:rsidR="006C6F09">
        <w:t xml:space="preserve"> </w:t>
      </w:r>
      <w:r w:rsidRPr="00404BBC">
        <w:t>than</w:t>
      </w:r>
      <w:r w:rsidR="006C6F09">
        <w:t xml:space="preserve"> </w:t>
      </w:r>
      <w:r w:rsidRPr="00404BBC">
        <w:t>three</w:t>
      </w:r>
      <w:r w:rsidR="006C6F09">
        <w:t xml:space="preserve"> </w:t>
      </w:r>
      <w:r w:rsidRPr="00404BBC">
        <w:t>minutes.</w:t>
      </w:r>
      <w:r w:rsidR="006C6F09">
        <w:t xml:space="preserve"> </w:t>
      </w:r>
      <w:r w:rsidRPr="00404BBC">
        <w:t>If</w:t>
      </w:r>
      <w:r w:rsidR="006C6F09">
        <w:t xml:space="preserve"> </w:t>
      </w:r>
      <w:r w:rsidRPr="00404BBC">
        <w:t>possible,</w:t>
      </w:r>
      <w:r w:rsidR="006C6F09">
        <w:t xml:space="preserve"> </w:t>
      </w:r>
      <w:r w:rsidRPr="00404BBC">
        <w:t>the</w:t>
      </w:r>
      <w:r w:rsidR="006C6F09">
        <w:t xml:space="preserve"> </w:t>
      </w:r>
      <w:r w:rsidRPr="00404BBC">
        <w:t>voicemail</w:t>
      </w:r>
      <w:r w:rsidR="006C6F09">
        <w:t xml:space="preserve"> </w:t>
      </w:r>
      <w:r w:rsidRPr="00404BBC">
        <w:t>system</w:t>
      </w:r>
      <w:r w:rsidR="006C6F09">
        <w:t xml:space="preserve"> </w:t>
      </w:r>
      <w:r w:rsidRPr="00404BBC">
        <w:t>should</w:t>
      </w:r>
      <w:r w:rsidR="006C6F09">
        <w:t xml:space="preserve"> </w:t>
      </w:r>
      <w:r w:rsidRPr="00404BBC">
        <w:t>be</w:t>
      </w:r>
      <w:r w:rsidR="006C6F09">
        <w:t xml:space="preserve"> </w:t>
      </w:r>
      <w:r w:rsidR="00470BFD" w:rsidRPr="00404BBC">
        <w:t>set</w:t>
      </w:r>
      <w:r w:rsidR="006C6F09">
        <w:t xml:space="preserve"> </w:t>
      </w:r>
      <w:r w:rsidR="00470BFD" w:rsidRPr="00404BBC">
        <w:t>up</w:t>
      </w:r>
      <w:r w:rsidR="006C6F09">
        <w:t xml:space="preserve"> </w:t>
      </w:r>
      <w:r w:rsidRPr="00404BBC">
        <w:t>to</w:t>
      </w:r>
      <w:r w:rsidR="006C6F09">
        <w:t xml:space="preserve"> </w:t>
      </w:r>
      <w:r w:rsidRPr="00404BBC">
        <w:t>cut-off</w:t>
      </w:r>
      <w:r w:rsidR="006C6F09">
        <w:t xml:space="preserve"> </w:t>
      </w:r>
      <w:r w:rsidRPr="00404BBC">
        <w:t>recording</w:t>
      </w:r>
      <w:r w:rsidR="006C6F09">
        <w:t xml:space="preserve"> </w:t>
      </w:r>
      <w:r w:rsidRPr="00404BBC">
        <w:t>at</w:t>
      </w:r>
      <w:r w:rsidR="006C6F09">
        <w:t xml:space="preserve"> </w:t>
      </w:r>
      <w:r w:rsidRPr="00404BBC">
        <w:t>four</w:t>
      </w:r>
      <w:r w:rsidR="006C6F09">
        <w:t xml:space="preserve"> </w:t>
      </w:r>
      <w:r w:rsidRPr="00404BBC">
        <w:t>minutes,</w:t>
      </w:r>
      <w:r w:rsidR="006C6F09">
        <w:t xml:space="preserve"> </w:t>
      </w:r>
      <w:r w:rsidRPr="00404BBC">
        <w:t>so</w:t>
      </w:r>
      <w:r w:rsidR="006C6F09">
        <w:t xml:space="preserve"> </w:t>
      </w:r>
      <w:r w:rsidRPr="00404BBC">
        <w:t>that</w:t>
      </w:r>
      <w:r w:rsidR="006C6F09">
        <w:t xml:space="preserve"> </w:t>
      </w:r>
      <w:r w:rsidRPr="00404BBC">
        <w:t>if</w:t>
      </w:r>
      <w:r w:rsidR="006C6F09">
        <w:t xml:space="preserve"> </w:t>
      </w:r>
      <w:r w:rsidRPr="00404BBC">
        <w:t>the</w:t>
      </w:r>
      <w:r w:rsidR="006C6F09">
        <w:t xml:space="preserve"> </w:t>
      </w:r>
      <w:r w:rsidRPr="00404BBC">
        <w:t>caller</w:t>
      </w:r>
      <w:r w:rsidR="006C6F09">
        <w:t xml:space="preserve"> </w:t>
      </w:r>
      <w:r w:rsidRPr="00404BBC">
        <w:t>goes</w:t>
      </w:r>
      <w:r w:rsidR="006C6F09">
        <w:t xml:space="preserve"> </w:t>
      </w:r>
      <w:r w:rsidRPr="00404BBC">
        <w:t>a</w:t>
      </w:r>
      <w:r w:rsidR="006C6F09">
        <w:t xml:space="preserve"> </w:t>
      </w:r>
      <w:r w:rsidRPr="00404BBC">
        <w:t>little</w:t>
      </w:r>
      <w:r w:rsidR="006C6F09">
        <w:t xml:space="preserve"> </w:t>
      </w:r>
      <w:r w:rsidRPr="00404BBC">
        <w:t>bit</w:t>
      </w:r>
      <w:r w:rsidR="006C6F09">
        <w:t xml:space="preserve"> </w:t>
      </w:r>
      <w:r w:rsidRPr="00404BBC">
        <w:t>over</w:t>
      </w:r>
      <w:r w:rsidR="006C6F09">
        <w:t xml:space="preserve"> </w:t>
      </w:r>
      <w:r w:rsidRPr="00404BBC">
        <w:t>the</w:t>
      </w:r>
      <w:r w:rsidR="006C6F09">
        <w:t xml:space="preserve"> </w:t>
      </w:r>
      <w:r w:rsidRPr="00404BBC">
        <w:t>three</w:t>
      </w:r>
      <w:r w:rsidR="006C6F09">
        <w:t xml:space="preserve"> </w:t>
      </w:r>
      <w:r w:rsidRPr="00404BBC">
        <w:t>minutes,</w:t>
      </w:r>
      <w:r w:rsidR="006C6F09">
        <w:t xml:space="preserve"> </w:t>
      </w:r>
      <w:r w:rsidRPr="00404BBC">
        <w:t>their</w:t>
      </w:r>
      <w:r w:rsidR="006C6F09">
        <w:t xml:space="preserve"> </w:t>
      </w:r>
      <w:r w:rsidRPr="00404BBC">
        <w:t>oral</w:t>
      </w:r>
      <w:r w:rsidR="006C6F09">
        <w:t xml:space="preserve"> </w:t>
      </w:r>
      <w:r w:rsidRPr="00404BBC">
        <w:t>testimony</w:t>
      </w:r>
      <w:r w:rsidR="006C6F09">
        <w:t xml:space="preserve"> </w:t>
      </w:r>
      <w:r w:rsidRPr="00404BBC">
        <w:t>will</w:t>
      </w:r>
      <w:r w:rsidR="006C6F09">
        <w:t xml:space="preserve"> </w:t>
      </w:r>
      <w:r w:rsidRPr="00404BBC">
        <w:t>not</w:t>
      </w:r>
      <w:r w:rsidR="006C6F09">
        <w:t xml:space="preserve"> </w:t>
      </w:r>
      <w:r w:rsidRPr="00404BBC">
        <w:t>be</w:t>
      </w:r>
      <w:r w:rsidR="006C6F09">
        <w:t xml:space="preserve"> </w:t>
      </w:r>
      <w:r w:rsidRPr="00404BBC">
        <w:t>cut-off</w:t>
      </w:r>
      <w:r w:rsidR="006C6F09">
        <w:t xml:space="preserve"> </w:t>
      </w:r>
      <w:r w:rsidRPr="00404BBC">
        <w:t>mid-sentence.</w:t>
      </w:r>
    </w:p>
    <w:p w14:paraId="71211267" w14:textId="6CB3682F" w:rsidR="00457754" w:rsidRPr="00404BBC" w:rsidRDefault="00457754" w:rsidP="00457754">
      <w:pPr>
        <w:pStyle w:val="ListBullet"/>
      </w:pPr>
      <w:r w:rsidRPr="00404BBC">
        <w:t>The</w:t>
      </w:r>
      <w:r w:rsidR="006C6F09">
        <w:t xml:space="preserve"> </w:t>
      </w:r>
      <w:r w:rsidRPr="00404BBC">
        <w:t>voicemail</w:t>
      </w:r>
      <w:r w:rsidR="006C6F09">
        <w:t xml:space="preserve"> </w:t>
      </w:r>
      <w:r w:rsidRPr="00404BBC">
        <w:t>greeting</w:t>
      </w:r>
      <w:r w:rsidR="006C6F09">
        <w:t xml:space="preserve"> </w:t>
      </w:r>
      <w:r w:rsidRPr="00404BBC">
        <w:t>should</w:t>
      </w:r>
      <w:r w:rsidR="006C6F09">
        <w:t xml:space="preserve"> </w:t>
      </w:r>
      <w:r w:rsidRPr="00404BBC">
        <w:t>instruct</w:t>
      </w:r>
      <w:r w:rsidR="006C6F09">
        <w:t xml:space="preserve"> </w:t>
      </w:r>
      <w:r w:rsidRPr="00404BBC">
        <w:t>callers</w:t>
      </w:r>
      <w:r w:rsidR="006C6F09">
        <w:t xml:space="preserve"> </w:t>
      </w:r>
      <w:r w:rsidRPr="00404BBC">
        <w:t>to</w:t>
      </w:r>
      <w:r w:rsidR="006C6F09">
        <w:t xml:space="preserve"> </w:t>
      </w:r>
      <w:r w:rsidRPr="00404BBC">
        <w:t>give</w:t>
      </w:r>
      <w:r w:rsidR="006C6F09">
        <w:t xml:space="preserve"> </w:t>
      </w:r>
      <w:r w:rsidRPr="00404BBC">
        <w:t>their</w:t>
      </w:r>
      <w:r w:rsidR="006C6F09">
        <w:t xml:space="preserve"> </w:t>
      </w:r>
      <w:r w:rsidRPr="00404BBC">
        <w:t>name</w:t>
      </w:r>
      <w:r w:rsidR="006C6F09">
        <w:t xml:space="preserve"> </w:t>
      </w:r>
      <w:r w:rsidRPr="00404BBC">
        <w:t>and</w:t>
      </w:r>
      <w:r w:rsidR="006C6F09">
        <w:t xml:space="preserve"> </w:t>
      </w:r>
      <w:r w:rsidRPr="00404BBC">
        <w:t>who</w:t>
      </w:r>
      <w:r w:rsidR="006C6F09">
        <w:t xml:space="preserve"> </w:t>
      </w:r>
      <w:r w:rsidRPr="00404BBC">
        <w:t>they</w:t>
      </w:r>
      <w:r w:rsidR="006C6F09">
        <w:t xml:space="preserve"> </w:t>
      </w:r>
      <w:r w:rsidRPr="00404BBC">
        <w:t>are</w:t>
      </w:r>
      <w:r w:rsidR="006C6F09">
        <w:t xml:space="preserve"> </w:t>
      </w:r>
      <w:r w:rsidRPr="00404BBC">
        <w:t>representing</w:t>
      </w:r>
      <w:r w:rsidR="006C6F09">
        <w:t xml:space="preserve"> </w:t>
      </w:r>
      <w:r w:rsidRPr="00404BBC">
        <w:t>if</w:t>
      </w:r>
      <w:r w:rsidR="006C6F09">
        <w:t xml:space="preserve"> </w:t>
      </w:r>
      <w:r w:rsidRPr="00404BBC">
        <w:t>an</w:t>
      </w:r>
      <w:r w:rsidR="006C6F09">
        <w:t xml:space="preserve"> </w:t>
      </w:r>
      <w:r w:rsidRPr="00404BBC">
        <w:t>entity</w:t>
      </w:r>
      <w:r w:rsidR="006C6F09">
        <w:t xml:space="preserve"> </w:t>
      </w:r>
      <w:r w:rsidRPr="00404BBC">
        <w:t>other</w:t>
      </w:r>
      <w:r w:rsidR="006C6F09">
        <w:t xml:space="preserve"> </w:t>
      </w:r>
      <w:r w:rsidRPr="00404BBC">
        <w:t>than</w:t>
      </w:r>
      <w:r w:rsidR="006C6F09">
        <w:t xml:space="preserve"> </w:t>
      </w:r>
      <w:r w:rsidRPr="00404BBC">
        <w:t>themselves.</w:t>
      </w:r>
    </w:p>
    <w:p w14:paraId="1CCBE3D2" w14:textId="777BB463" w:rsidR="00457754" w:rsidRPr="00404BBC" w:rsidRDefault="00457754" w:rsidP="00457754">
      <w:pPr>
        <w:pStyle w:val="ListBullet"/>
      </w:pPr>
      <w:r w:rsidRPr="00404BBC">
        <w:t>Voicemails</w:t>
      </w:r>
      <w:r w:rsidR="006C6F09">
        <w:t xml:space="preserve"> </w:t>
      </w:r>
      <w:r w:rsidRPr="00404BBC">
        <w:t>do</w:t>
      </w:r>
      <w:r w:rsidR="006C6F09">
        <w:t xml:space="preserve"> </w:t>
      </w:r>
      <w:r w:rsidRPr="00404BBC">
        <w:t>not</w:t>
      </w:r>
      <w:r w:rsidR="006C6F09">
        <w:t xml:space="preserve"> </w:t>
      </w:r>
      <w:r w:rsidRPr="00404BBC">
        <w:t>need</w:t>
      </w:r>
      <w:r w:rsidR="006C6F09">
        <w:t xml:space="preserve"> </w:t>
      </w:r>
      <w:r w:rsidRPr="00404BBC">
        <w:t>to</w:t>
      </w:r>
      <w:r w:rsidR="006C6F09">
        <w:t xml:space="preserve"> </w:t>
      </w:r>
      <w:r w:rsidRPr="00404BBC">
        <w:t>be</w:t>
      </w:r>
      <w:r w:rsidR="006C6F09">
        <w:t xml:space="preserve"> </w:t>
      </w:r>
      <w:r w:rsidRPr="00404BBC">
        <w:t>transcribed</w:t>
      </w:r>
      <w:r w:rsidR="006C6F09">
        <w:t xml:space="preserve"> </w:t>
      </w:r>
      <w:r w:rsidRPr="00404BBC">
        <w:t>by</w:t>
      </w:r>
      <w:r w:rsidR="006C6F09">
        <w:t xml:space="preserve"> </w:t>
      </w:r>
      <w:r w:rsidRPr="00404BBC">
        <w:t>a</w:t>
      </w:r>
      <w:r w:rsidR="006C6F09">
        <w:t xml:space="preserve"> </w:t>
      </w:r>
      <w:r w:rsidRPr="00404BBC">
        <w:t>court</w:t>
      </w:r>
      <w:r w:rsidR="006C6F09">
        <w:t xml:space="preserve"> </w:t>
      </w:r>
      <w:r w:rsidRPr="00404BBC">
        <w:t>reporter.</w:t>
      </w:r>
      <w:r w:rsidR="006C6F09">
        <w:t xml:space="preserve"> </w:t>
      </w:r>
      <w:r w:rsidRPr="00404BBC">
        <w:t>They</w:t>
      </w:r>
      <w:r w:rsidR="006C6F09">
        <w:t xml:space="preserve"> </w:t>
      </w:r>
      <w:r w:rsidRPr="00404BBC">
        <w:t>can</w:t>
      </w:r>
      <w:r w:rsidR="006C6F09">
        <w:t xml:space="preserve"> </w:t>
      </w:r>
      <w:r w:rsidRPr="00404BBC">
        <w:t>be</w:t>
      </w:r>
      <w:r w:rsidR="006C6F09">
        <w:t xml:space="preserve"> </w:t>
      </w:r>
      <w:r w:rsidRPr="00404BBC">
        <w:t>transcribed</w:t>
      </w:r>
      <w:r w:rsidR="006C6F09">
        <w:t xml:space="preserve"> </w:t>
      </w:r>
      <w:r w:rsidRPr="00404BBC">
        <w:t>by</w:t>
      </w:r>
      <w:r w:rsidR="006C6F09">
        <w:t xml:space="preserve"> </w:t>
      </w:r>
      <w:r w:rsidRPr="00404BBC">
        <w:t>TxDOT</w:t>
      </w:r>
      <w:r w:rsidR="006C6F09">
        <w:t xml:space="preserve"> </w:t>
      </w:r>
      <w:r w:rsidRPr="00404BBC">
        <w:t>staff</w:t>
      </w:r>
      <w:r w:rsidR="006C6F09">
        <w:t xml:space="preserve"> </w:t>
      </w:r>
      <w:r w:rsidRPr="00404BBC">
        <w:t>or</w:t>
      </w:r>
      <w:r w:rsidR="006C6F09">
        <w:t xml:space="preserve"> </w:t>
      </w:r>
      <w:r w:rsidRPr="00404BBC">
        <w:t>a</w:t>
      </w:r>
      <w:r w:rsidR="006C6F09">
        <w:t xml:space="preserve"> </w:t>
      </w:r>
      <w:r w:rsidRPr="00404BBC">
        <w:t>consultant.</w:t>
      </w:r>
      <w:r w:rsidR="006C6F09">
        <w:t xml:space="preserve"> </w:t>
      </w:r>
      <w:r w:rsidRPr="00404BBC">
        <w:t>If</w:t>
      </w:r>
      <w:r w:rsidR="006C6F09">
        <w:t xml:space="preserve"> </w:t>
      </w:r>
      <w:r w:rsidRPr="00404BBC">
        <w:t>the</w:t>
      </w:r>
      <w:r w:rsidR="006C6F09">
        <w:t xml:space="preserve"> </w:t>
      </w:r>
      <w:r w:rsidRPr="00404BBC">
        <w:t>voicemail</w:t>
      </w:r>
      <w:r w:rsidR="006C6F09">
        <w:t xml:space="preserve"> </w:t>
      </w:r>
      <w:r w:rsidRPr="00404BBC">
        <w:t>is</w:t>
      </w:r>
      <w:r w:rsidR="006C6F09">
        <w:t xml:space="preserve"> </w:t>
      </w:r>
      <w:r w:rsidRPr="00404BBC">
        <w:t>unintelligible,</w:t>
      </w:r>
      <w:r w:rsidR="006C6F09">
        <w:t xml:space="preserve"> </w:t>
      </w:r>
      <w:r w:rsidRPr="00404BBC">
        <w:t>then</w:t>
      </w:r>
      <w:r w:rsidR="006C6F09">
        <w:t xml:space="preserve"> </w:t>
      </w:r>
      <w:r w:rsidRPr="00404BBC">
        <w:t>the</w:t>
      </w:r>
      <w:r w:rsidR="006C6F09">
        <w:t xml:space="preserve"> </w:t>
      </w:r>
      <w:r w:rsidRPr="00404BBC">
        <w:t>transcribers</w:t>
      </w:r>
      <w:r w:rsidR="006C6F09">
        <w:t xml:space="preserve"> </w:t>
      </w:r>
      <w:r w:rsidRPr="00404BBC">
        <w:t>simply</w:t>
      </w:r>
      <w:r w:rsidR="006C6F09">
        <w:t xml:space="preserve"> </w:t>
      </w:r>
      <w:proofErr w:type="gramStart"/>
      <w:r w:rsidRPr="00404BBC">
        <w:t>notes</w:t>
      </w:r>
      <w:proofErr w:type="gramEnd"/>
      <w:r w:rsidR="006C6F09">
        <w:t xml:space="preserve"> </w:t>
      </w:r>
      <w:r w:rsidRPr="00404BBC">
        <w:t>“response</w:t>
      </w:r>
      <w:r w:rsidR="006C6F09">
        <w:t xml:space="preserve"> </w:t>
      </w:r>
      <w:r w:rsidRPr="00404BBC">
        <w:t>garbled</w:t>
      </w:r>
      <w:r w:rsidR="006C6F09">
        <w:t xml:space="preserve"> </w:t>
      </w:r>
      <w:r w:rsidRPr="00404BBC">
        <w:t>or</w:t>
      </w:r>
      <w:r w:rsidR="006C6F09">
        <w:t xml:space="preserve"> </w:t>
      </w:r>
      <w:r w:rsidRPr="00404BBC">
        <w:t>unintelligible”</w:t>
      </w:r>
      <w:r w:rsidR="006C6F09">
        <w:t xml:space="preserve"> </w:t>
      </w:r>
      <w:r w:rsidRPr="00404BBC">
        <w:t>on</w:t>
      </w:r>
      <w:r w:rsidR="006C6F09">
        <w:t xml:space="preserve"> </w:t>
      </w:r>
      <w:r w:rsidRPr="00404BBC">
        <w:t>the</w:t>
      </w:r>
      <w:r w:rsidR="006C6F09">
        <w:t xml:space="preserve"> </w:t>
      </w:r>
      <w:r w:rsidRPr="00404BBC">
        <w:t>transcript.</w:t>
      </w:r>
      <w:r w:rsidR="006C6F09">
        <w:t xml:space="preserve"> </w:t>
      </w:r>
      <w:r w:rsidRPr="00404BBC">
        <w:t>There</w:t>
      </w:r>
      <w:r w:rsidR="006C6F09">
        <w:t xml:space="preserve"> </w:t>
      </w:r>
      <w:r w:rsidRPr="00404BBC">
        <w:t>is</w:t>
      </w:r>
      <w:r w:rsidR="006C6F09">
        <w:t xml:space="preserve"> </w:t>
      </w:r>
      <w:r w:rsidRPr="00404BBC">
        <w:t>no</w:t>
      </w:r>
      <w:r w:rsidR="006C6F09">
        <w:t xml:space="preserve"> </w:t>
      </w:r>
      <w:r w:rsidRPr="00404BBC">
        <w:t>need</w:t>
      </w:r>
      <w:r w:rsidR="006C6F09">
        <w:t xml:space="preserve"> </w:t>
      </w:r>
      <w:r w:rsidRPr="00404BBC">
        <w:t>to</w:t>
      </w:r>
      <w:r w:rsidR="006C6F09">
        <w:t xml:space="preserve"> </w:t>
      </w:r>
      <w:r w:rsidRPr="00404BBC">
        <w:t>call</w:t>
      </w:r>
      <w:r w:rsidR="006C6F09">
        <w:t xml:space="preserve"> </w:t>
      </w:r>
      <w:r w:rsidRPr="00404BBC">
        <w:t>the</w:t>
      </w:r>
      <w:r w:rsidR="006C6F09">
        <w:t xml:space="preserve"> </w:t>
      </w:r>
      <w:r w:rsidRPr="00404BBC">
        <w:t>person</w:t>
      </w:r>
      <w:r w:rsidR="006C6F09">
        <w:t xml:space="preserve"> </w:t>
      </w:r>
      <w:r w:rsidRPr="00404BBC">
        <w:t>back.</w:t>
      </w:r>
    </w:p>
    <w:p w14:paraId="54EFA011" w14:textId="790D2511" w:rsidR="00457754" w:rsidRPr="00404BBC" w:rsidRDefault="00457754" w:rsidP="00457754">
      <w:pPr>
        <w:pStyle w:val="ListBullet"/>
      </w:pPr>
      <w:r w:rsidRPr="00404BBC">
        <w:t>It</w:t>
      </w:r>
      <w:r w:rsidR="006C6F09">
        <w:t xml:space="preserve"> </w:t>
      </w:r>
      <w:r w:rsidRPr="00404BBC">
        <w:t>is</w:t>
      </w:r>
      <w:r w:rsidR="006C6F09">
        <w:t xml:space="preserve"> </w:t>
      </w:r>
      <w:r w:rsidRPr="00404BBC">
        <w:t>not</w:t>
      </w:r>
      <w:r w:rsidR="006C6F09">
        <w:t xml:space="preserve"> </w:t>
      </w:r>
      <w:r w:rsidRPr="00404BBC">
        <w:t>necessary</w:t>
      </w:r>
      <w:r w:rsidR="006C6F09">
        <w:t xml:space="preserve"> </w:t>
      </w:r>
      <w:r w:rsidRPr="00404BBC">
        <w:t>to</w:t>
      </w:r>
      <w:r w:rsidR="006C6F09">
        <w:t xml:space="preserve"> </w:t>
      </w:r>
      <w:r w:rsidRPr="00404BBC">
        <w:t>use</w:t>
      </w:r>
      <w:r w:rsidR="006C6F09">
        <w:t xml:space="preserve"> </w:t>
      </w:r>
      <w:r w:rsidRPr="00404BBC">
        <w:t>a</w:t>
      </w:r>
      <w:r w:rsidR="006C6F09">
        <w:t xml:space="preserve"> </w:t>
      </w:r>
      <w:r w:rsidRPr="00404BBC">
        <w:t>1-800</w:t>
      </w:r>
      <w:r w:rsidR="006C6F09">
        <w:t xml:space="preserve"> </w:t>
      </w:r>
      <w:r w:rsidRPr="00404BBC">
        <w:t>number</w:t>
      </w:r>
      <w:r w:rsidR="006C6F09">
        <w:t xml:space="preserve"> </w:t>
      </w:r>
      <w:r w:rsidRPr="00404BBC">
        <w:t>for</w:t>
      </w:r>
      <w:r w:rsidR="006C6F09">
        <w:t xml:space="preserve"> </w:t>
      </w:r>
      <w:r w:rsidRPr="00404BBC">
        <w:t>the</w:t>
      </w:r>
      <w:r w:rsidR="006C6F09">
        <w:t xml:space="preserve"> </w:t>
      </w:r>
      <w:r w:rsidRPr="00404BBC">
        <w:t>call-in</w:t>
      </w:r>
      <w:r w:rsidR="006C6F09">
        <w:t xml:space="preserve"> </w:t>
      </w:r>
      <w:r w:rsidRPr="00404BBC">
        <w:t>voicemail</w:t>
      </w:r>
      <w:r w:rsidR="006C6F09">
        <w:t xml:space="preserve"> </w:t>
      </w:r>
      <w:r w:rsidRPr="00404BBC">
        <w:t>option.</w:t>
      </w:r>
    </w:p>
    <w:p w14:paraId="07DC8F89" w14:textId="0D91C72A" w:rsidR="00457754" w:rsidRPr="00404BBC" w:rsidRDefault="00457754" w:rsidP="00457754">
      <w:pPr>
        <w:pStyle w:val="ListBullet"/>
      </w:pPr>
      <w:r w:rsidRPr="00404BBC">
        <w:t>The</w:t>
      </w:r>
      <w:r w:rsidR="006C6F09">
        <w:t xml:space="preserve"> </w:t>
      </w:r>
      <w:r w:rsidRPr="00404BBC">
        <w:t>online</w:t>
      </w:r>
      <w:r w:rsidR="006C6F09">
        <w:t xml:space="preserve"> </w:t>
      </w:r>
      <w:r w:rsidRPr="00404BBC">
        <w:t>presentation</w:t>
      </w:r>
      <w:r w:rsidR="006C6F09">
        <w:t xml:space="preserve"> </w:t>
      </w:r>
      <w:r w:rsidRPr="00404BBC">
        <w:t>must</w:t>
      </w:r>
      <w:r w:rsidR="006C6F09">
        <w:t xml:space="preserve"> </w:t>
      </w:r>
      <w:r w:rsidRPr="00404BBC">
        <w:t>identify</w:t>
      </w:r>
      <w:r w:rsidR="006C6F09">
        <w:t xml:space="preserve"> </w:t>
      </w:r>
      <w:r w:rsidRPr="00404BBC">
        <w:t>the</w:t>
      </w:r>
      <w:r w:rsidR="006C6F09">
        <w:t xml:space="preserve"> </w:t>
      </w:r>
      <w:r w:rsidRPr="00404BBC">
        <w:t>phone</w:t>
      </w:r>
      <w:r w:rsidR="006C6F09">
        <w:t xml:space="preserve"> </w:t>
      </w:r>
      <w:r w:rsidRPr="00404BBC">
        <w:t>number</w:t>
      </w:r>
      <w:r w:rsidR="006C6F09">
        <w:t xml:space="preserve"> </w:t>
      </w:r>
      <w:r w:rsidRPr="00404BBC">
        <w:t>to</w:t>
      </w:r>
      <w:r w:rsidR="006C6F09">
        <w:t xml:space="preserve"> </w:t>
      </w:r>
      <w:r w:rsidRPr="00404BBC">
        <w:t>use</w:t>
      </w:r>
      <w:r w:rsidR="006C6F09">
        <w:t xml:space="preserve"> </w:t>
      </w:r>
      <w:r w:rsidRPr="00404BBC">
        <w:t>for</w:t>
      </w:r>
      <w:r w:rsidR="006C6F09">
        <w:t xml:space="preserve"> </w:t>
      </w:r>
      <w:r w:rsidRPr="00404BBC">
        <w:t>providing</w:t>
      </w:r>
      <w:r w:rsidR="006C6F09">
        <w:t xml:space="preserve"> </w:t>
      </w:r>
      <w:r w:rsidRPr="00404BBC">
        <w:t>verbal</w:t>
      </w:r>
      <w:r w:rsidR="006C6F09">
        <w:t xml:space="preserve"> </w:t>
      </w:r>
      <w:r w:rsidRPr="00404BBC">
        <w:t>testimony.</w:t>
      </w:r>
    </w:p>
    <w:p w14:paraId="337B28B4" w14:textId="189A3974" w:rsidR="00457754" w:rsidRPr="0055668E" w:rsidRDefault="00457754" w:rsidP="0055668E">
      <w:pPr>
        <w:pStyle w:val="Heading4"/>
      </w:pPr>
      <w:bookmarkStart w:id="72" w:name="_Ref220388283"/>
      <w:r w:rsidRPr="0055668E">
        <w:lastRenderedPageBreak/>
        <w:t>6.3.2</w:t>
      </w:r>
      <w:r w:rsidR="006C6F09">
        <w:t xml:space="preserve"> </w:t>
      </w:r>
      <w:r w:rsidRPr="0055668E">
        <w:t>Virtual</w:t>
      </w:r>
      <w:r w:rsidR="006C6F09">
        <w:t xml:space="preserve"> </w:t>
      </w:r>
      <w:r w:rsidRPr="0055668E">
        <w:t>Public</w:t>
      </w:r>
      <w:r w:rsidR="006C6F09">
        <w:t xml:space="preserve"> </w:t>
      </w:r>
      <w:r w:rsidRPr="0055668E">
        <w:t>Hearing</w:t>
      </w:r>
      <w:r w:rsidR="006C6F09">
        <w:t xml:space="preserve"> </w:t>
      </w:r>
      <w:r w:rsidRPr="0055668E">
        <w:t>with</w:t>
      </w:r>
      <w:r w:rsidR="006C6F09">
        <w:t xml:space="preserve"> </w:t>
      </w:r>
      <w:r w:rsidRPr="0055668E">
        <w:t>in-Person</w:t>
      </w:r>
      <w:r w:rsidR="006C6F09">
        <w:t xml:space="preserve"> </w:t>
      </w:r>
      <w:r w:rsidRPr="0055668E">
        <w:t>Option</w:t>
      </w:r>
      <w:bookmarkEnd w:id="72"/>
      <w:r w:rsidR="006C6F09">
        <w:t xml:space="preserve"> </w:t>
      </w:r>
    </w:p>
    <w:p w14:paraId="16D54222" w14:textId="200EA4A0" w:rsidR="00457754" w:rsidRDefault="00457754" w:rsidP="00457754">
      <w:pPr>
        <w:spacing w:after="0"/>
      </w:pPr>
      <w:r>
        <w:t>A</w:t>
      </w:r>
      <w:r w:rsidR="006C6F09">
        <w:t xml:space="preserve"> </w:t>
      </w:r>
      <w:r>
        <w:t>virtual</w:t>
      </w:r>
      <w:r w:rsidR="006C6F09">
        <w:t xml:space="preserve"> </w:t>
      </w:r>
      <w:r>
        <w:t>public</w:t>
      </w:r>
      <w:r w:rsidR="006C6F09">
        <w:t xml:space="preserve"> </w:t>
      </w:r>
      <w:r>
        <w:t>hearing</w:t>
      </w:r>
      <w:r w:rsidR="006C6F09">
        <w:t xml:space="preserve"> </w:t>
      </w:r>
      <w:r>
        <w:t>with</w:t>
      </w:r>
      <w:r w:rsidR="006C6F09">
        <w:t xml:space="preserve"> </w:t>
      </w:r>
      <w:r>
        <w:t>in-person</w:t>
      </w:r>
      <w:r w:rsidR="006C6F09">
        <w:t xml:space="preserve"> </w:t>
      </w:r>
      <w:r>
        <w:t>option</w:t>
      </w:r>
      <w:r w:rsidR="006C6F09">
        <w:t xml:space="preserve"> </w:t>
      </w:r>
      <w:r>
        <w:t>consists</w:t>
      </w:r>
      <w:r w:rsidR="006C6F09">
        <w:t xml:space="preserve"> </w:t>
      </w:r>
      <w:r>
        <w:t>of</w:t>
      </w:r>
      <w:r w:rsidR="006C6F09">
        <w:t xml:space="preserve"> </w:t>
      </w:r>
      <w:r>
        <w:t>(1)</w:t>
      </w:r>
      <w:r w:rsidR="006C6F09">
        <w:t xml:space="preserve"> </w:t>
      </w:r>
      <w:r>
        <w:t>a</w:t>
      </w:r>
      <w:r w:rsidR="006C6F09">
        <w:t xml:space="preserve"> </w:t>
      </w:r>
      <w:r>
        <w:t>virtual</w:t>
      </w:r>
      <w:r w:rsidR="006C6F09">
        <w:t xml:space="preserve"> </w:t>
      </w:r>
      <w:r>
        <w:t>public</w:t>
      </w:r>
      <w:r w:rsidR="006C6F09">
        <w:t xml:space="preserve"> </w:t>
      </w:r>
      <w:r>
        <w:t>hearing</w:t>
      </w:r>
      <w:r w:rsidR="006C6F09">
        <w:t xml:space="preserve"> </w:t>
      </w:r>
      <w:r w:rsidRPr="002250E7">
        <w:t>(see</w:t>
      </w:r>
      <w:r w:rsidR="006C6F09">
        <w:t xml:space="preserve"> </w:t>
      </w:r>
      <w:r w:rsidRPr="002250E7">
        <w:t>Section</w:t>
      </w:r>
      <w:r w:rsidR="006C6F09">
        <w:t xml:space="preserve"> </w:t>
      </w:r>
      <w:r w:rsidR="002250E7" w:rsidRPr="00263E76">
        <w:rPr>
          <w:u w:val="single"/>
        </w:rPr>
        <w:fldChar w:fldCharType="begin"/>
      </w:r>
      <w:r w:rsidR="002250E7" w:rsidRPr="00263E76">
        <w:rPr>
          <w:u w:val="single"/>
        </w:rPr>
        <w:instrText xml:space="preserve"> REF _Ref220388356 \h  \* MERGEFORMAT </w:instrText>
      </w:r>
      <w:r w:rsidR="002250E7" w:rsidRPr="00263E76">
        <w:rPr>
          <w:u w:val="single"/>
        </w:rPr>
      </w:r>
      <w:r w:rsidR="002250E7" w:rsidRPr="00263E76">
        <w:rPr>
          <w:u w:val="single"/>
        </w:rPr>
        <w:fldChar w:fldCharType="separate"/>
      </w:r>
      <w:r w:rsidR="002250E7" w:rsidRPr="00263E76">
        <w:rPr>
          <w:color w:val="0056A9"/>
          <w:u w:val="single"/>
        </w:rPr>
        <w:t>6.3.1</w:t>
      </w:r>
      <w:r w:rsidR="002250E7" w:rsidRPr="00263E76">
        <w:rPr>
          <w:u w:val="single"/>
        </w:rPr>
        <w:fldChar w:fldCharType="end"/>
      </w:r>
      <w:r w:rsidR="006C6F09">
        <w:t xml:space="preserve"> </w:t>
      </w:r>
      <w:r w:rsidRPr="002250E7">
        <w:t>above)</w:t>
      </w:r>
      <w:r w:rsidR="006C6F09">
        <w:t xml:space="preserve"> </w:t>
      </w:r>
      <w:r w:rsidRPr="002250E7">
        <w:t>and</w:t>
      </w:r>
      <w:r w:rsidR="006C6F09">
        <w:t xml:space="preserve"> </w:t>
      </w:r>
      <w:r>
        <w:t>(2)</w:t>
      </w:r>
      <w:r w:rsidR="006C6F09">
        <w:t xml:space="preserve"> </w:t>
      </w:r>
      <w:r>
        <w:t>provision</w:t>
      </w:r>
      <w:r w:rsidR="006C6F09">
        <w:t xml:space="preserve"> </w:t>
      </w:r>
      <w:r>
        <w:t>of</w:t>
      </w:r>
      <w:r w:rsidR="006C6F09">
        <w:t xml:space="preserve"> </w:t>
      </w:r>
      <w:r>
        <w:t>a</w:t>
      </w:r>
      <w:r w:rsidR="006C6F09">
        <w:t xml:space="preserve"> </w:t>
      </w:r>
      <w:r>
        <w:t>physical</w:t>
      </w:r>
      <w:r w:rsidR="006C6F09">
        <w:t xml:space="preserve"> </w:t>
      </w:r>
      <w:r>
        <w:t>space</w:t>
      </w:r>
      <w:r w:rsidR="006C6F09">
        <w:t xml:space="preserve"> </w:t>
      </w:r>
      <w:r>
        <w:t>at</w:t>
      </w:r>
      <w:r w:rsidR="006C6F09">
        <w:t xml:space="preserve"> </w:t>
      </w:r>
      <w:r>
        <w:t>a</w:t>
      </w:r>
      <w:r w:rsidR="006C6F09">
        <w:t xml:space="preserve"> </w:t>
      </w:r>
      <w:r>
        <w:t>non-TxDOT</w:t>
      </w:r>
      <w:r w:rsidR="006C6F09">
        <w:t xml:space="preserve"> </w:t>
      </w:r>
      <w:r>
        <w:t>facility</w:t>
      </w:r>
      <w:r w:rsidR="006C6F09">
        <w:t xml:space="preserve"> </w:t>
      </w:r>
      <w:r>
        <w:t>or</w:t>
      </w:r>
      <w:r w:rsidR="006C6F09">
        <w:t xml:space="preserve"> </w:t>
      </w:r>
      <w:r>
        <w:t>TxDOT</w:t>
      </w:r>
      <w:r w:rsidR="006C6F09">
        <w:t xml:space="preserve"> </w:t>
      </w:r>
      <w:r>
        <w:t>district,</w:t>
      </w:r>
      <w:r w:rsidR="006C6F09">
        <w:t xml:space="preserve"> </w:t>
      </w:r>
      <w:r>
        <w:t>area,</w:t>
      </w:r>
      <w:r w:rsidR="006C6F09">
        <w:t xml:space="preserve"> </w:t>
      </w:r>
      <w:r>
        <w:t>or</w:t>
      </w:r>
      <w:r w:rsidR="006C6F09">
        <w:t xml:space="preserve"> </w:t>
      </w:r>
      <w:r>
        <w:t>maintenance</w:t>
      </w:r>
      <w:r w:rsidR="006C6F09">
        <w:t xml:space="preserve"> </w:t>
      </w:r>
      <w:r>
        <w:t>office</w:t>
      </w:r>
      <w:r w:rsidR="006C6F09">
        <w:t xml:space="preserve"> </w:t>
      </w:r>
      <w:r>
        <w:t>for</w:t>
      </w:r>
      <w:r w:rsidR="006C6F09">
        <w:t xml:space="preserve"> </w:t>
      </w:r>
      <w:r>
        <w:t>attendees</w:t>
      </w:r>
      <w:r w:rsidR="006C6F09">
        <w:t xml:space="preserve"> </w:t>
      </w:r>
      <w:r>
        <w:t>to,</w:t>
      </w:r>
      <w:r w:rsidR="006C6F09">
        <w:t xml:space="preserve"> </w:t>
      </w:r>
      <w:r>
        <w:t>at</w:t>
      </w:r>
      <w:r w:rsidR="006C6F09">
        <w:t xml:space="preserve"> </w:t>
      </w:r>
      <w:r>
        <w:t>their</w:t>
      </w:r>
      <w:r w:rsidR="006C6F09">
        <w:t xml:space="preserve"> </w:t>
      </w:r>
      <w:r>
        <w:t>discretion,</w:t>
      </w:r>
      <w:r w:rsidR="006C6F09">
        <w:t xml:space="preserve"> </w:t>
      </w:r>
      <w:r>
        <w:t>attend</w:t>
      </w:r>
      <w:r w:rsidR="006C6F09">
        <w:t xml:space="preserve"> </w:t>
      </w:r>
      <w:r>
        <w:t>in-person.</w:t>
      </w:r>
      <w:r w:rsidR="006C6F09">
        <w:t xml:space="preserve"> </w:t>
      </w:r>
    </w:p>
    <w:p w14:paraId="0E56C36F" w14:textId="341572A9" w:rsidR="00457754" w:rsidRDefault="00457754" w:rsidP="00457754">
      <w:r>
        <w:t>Verbal</w:t>
      </w:r>
      <w:r w:rsidR="006C6F09">
        <w:t xml:space="preserve"> </w:t>
      </w:r>
      <w:r>
        <w:t>comments</w:t>
      </w:r>
      <w:r w:rsidR="006C6F09">
        <w:t xml:space="preserve"> </w:t>
      </w:r>
      <w:r>
        <w:t>do</w:t>
      </w:r>
      <w:r w:rsidR="006C6F09">
        <w:t xml:space="preserve"> </w:t>
      </w:r>
      <w:r>
        <w:t>not</w:t>
      </w:r>
      <w:r w:rsidR="006C6F09">
        <w:t xml:space="preserve"> </w:t>
      </w:r>
      <w:r>
        <w:t>need</w:t>
      </w:r>
      <w:r w:rsidR="006C6F09">
        <w:t xml:space="preserve"> </w:t>
      </w:r>
      <w:r>
        <w:t>to</w:t>
      </w:r>
      <w:r w:rsidR="006C6F09">
        <w:t xml:space="preserve"> </w:t>
      </w:r>
      <w:r>
        <w:t>be</w:t>
      </w:r>
      <w:r w:rsidR="006C6F09">
        <w:t xml:space="preserve"> </w:t>
      </w:r>
      <w:r>
        <w:t>accepted</w:t>
      </w:r>
      <w:r w:rsidR="006C6F09">
        <w:t xml:space="preserve"> </w:t>
      </w:r>
      <w:proofErr w:type="gramStart"/>
      <w:r>
        <w:t>at</w:t>
      </w:r>
      <w:proofErr w:type="gramEnd"/>
      <w:r w:rsidR="006C6F09">
        <w:t xml:space="preserve"> </w:t>
      </w:r>
      <w:r>
        <w:t>the</w:t>
      </w:r>
      <w:r w:rsidR="006C6F09">
        <w:t xml:space="preserve"> </w:t>
      </w:r>
      <w:r>
        <w:t>in-person</w:t>
      </w:r>
      <w:r w:rsidR="006C6F09">
        <w:t xml:space="preserve"> </w:t>
      </w:r>
      <w:r>
        <w:t>option.</w:t>
      </w:r>
      <w:r w:rsidR="006C6F09">
        <w:t xml:space="preserve"> </w:t>
      </w:r>
      <w:r>
        <w:t>However,</w:t>
      </w:r>
      <w:r w:rsidR="006C6F09">
        <w:t xml:space="preserve"> </w:t>
      </w:r>
      <w:r>
        <w:t>a</w:t>
      </w:r>
      <w:r w:rsidR="006C6F09">
        <w:t xml:space="preserve"> </w:t>
      </w:r>
      <w:r>
        <w:t>district</w:t>
      </w:r>
      <w:r w:rsidR="006C6F09">
        <w:t xml:space="preserve"> </w:t>
      </w:r>
      <w:r>
        <w:t>may</w:t>
      </w:r>
      <w:r w:rsidR="006C6F09">
        <w:t xml:space="preserve"> </w:t>
      </w:r>
      <w:r>
        <w:t>accept</w:t>
      </w:r>
      <w:r w:rsidR="006C6F09">
        <w:t xml:space="preserve"> </w:t>
      </w:r>
      <w:r>
        <w:t>verbal</w:t>
      </w:r>
      <w:r w:rsidR="006C6F09">
        <w:t xml:space="preserve"> </w:t>
      </w:r>
      <w:r>
        <w:t>comments</w:t>
      </w:r>
      <w:r w:rsidR="006C6F09">
        <w:t xml:space="preserve"> </w:t>
      </w:r>
      <w:r>
        <w:t>at</w:t>
      </w:r>
      <w:r w:rsidR="006C6F09">
        <w:t xml:space="preserve"> </w:t>
      </w:r>
      <w:r>
        <w:t>the</w:t>
      </w:r>
      <w:r w:rsidR="006C6F09">
        <w:t xml:space="preserve"> </w:t>
      </w:r>
      <w:r>
        <w:t>in-person</w:t>
      </w:r>
      <w:r w:rsidR="006C6F09">
        <w:t xml:space="preserve"> </w:t>
      </w:r>
      <w:r>
        <w:t>option</w:t>
      </w:r>
      <w:r w:rsidR="006C6F09">
        <w:t xml:space="preserve"> </w:t>
      </w:r>
      <w:r>
        <w:t>if</w:t>
      </w:r>
      <w:r w:rsidR="006C6F09">
        <w:t xml:space="preserve"> </w:t>
      </w:r>
      <w:r>
        <w:t>they</w:t>
      </w:r>
      <w:r w:rsidR="006C6F09">
        <w:t xml:space="preserve"> </w:t>
      </w:r>
      <w:r>
        <w:t>choose.</w:t>
      </w:r>
      <w:r w:rsidR="006C6F09">
        <w:t xml:space="preserve"> </w:t>
      </w:r>
      <w:r>
        <w:t>If</w:t>
      </w:r>
      <w:r w:rsidR="006C6F09">
        <w:t xml:space="preserve"> </w:t>
      </w:r>
      <w:r>
        <w:t>verbal</w:t>
      </w:r>
      <w:r w:rsidR="006C6F09">
        <w:t xml:space="preserve"> </w:t>
      </w:r>
      <w:r>
        <w:t>comments</w:t>
      </w:r>
      <w:r w:rsidR="006C6F09">
        <w:t xml:space="preserve"> </w:t>
      </w:r>
      <w:r>
        <w:t>are</w:t>
      </w:r>
      <w:r w:rsidR="006C6F09">
        <w:t xml:space="preserve"> </w:t>
      </w:r>
      <w:r>
        <w:t>accepted</w:t>
      </w:r>
      <w:r w:rsidR="006C6F09">
        <w:t xml:space="preserve"> </w:t>
      </w:r>
      <w:r>
        <w:t>at</w:t>
      </w:r>
      <w:r w:rsidR="006C6F09">
        <w:t xml:space="preserve"> </w:t>
      </w:r>
      <w:r>
        <w:t>the</w:t>
      </w:r>
      <w:r w:rsidR="006C6F09">
        <w:t xml:space="preserve"> </w:t>
      </w:r>
      <w:r>
        <w:t>in-person</w:t>
      </w:r>
      <w:r w:rsidR="006C6F09">
        <w:t xml:space="preserve"> </w:t>
      </w:r>
      <w:r>
        <w:t>option</w:t>
      </w:r>
      <w:r w:rsidR="006C6F09">
        <w:t xml:space="preserve"> </w:t>
      </w:r>
      <w:r>
        <w:t>for</w:t>
      </w:r>
      <w:r w:rsidR="006C6F09">
        <w:t xml:space="preserve"> </w:t>
      </w:r>
      <w:r>
        <w:t>a</w:t>
      </w:r>
      <w:r w:rsidR="006C6F09">
        <w:t xml:space="preserve"> </w:t>
      </w:r>
      <w:r>
        <w:t>virtual</w:t>
      </w:r>
      <w:r w:rsidR="006C6F09">
        <w:t xml:space="preserve"> </w:t>
      </w:r>
      <w:r>
        <w:t>public</w:t>
      </w:r>
      <w:r w:rsidR="006C6F09">
        <w:t xml:space="preserve"> </w:t>
      </w:r>
      <w:r>
        <w:t>hearing,</w:t>
      </w:r>
      <w:r w:rsidR="006C6F09">
        <w:t xml:space="preserve"> </w:t>
      </w:r>
      <w:r>
        <w:t>then</w:t>
      </w:r>
      <w:r w:rsidR="006C6F09">
        <w:t xml:space="preserve"> </w:t>
      </w:r>
      <w:r>
        <w:t>a</w:t>
      </w:r>
      <w:r w:rsidR="006C6F09">
        <w:t xml:space="preserve"> </w:t>
      </w:r>
      <w:r>
        <w:t>court</w:t>
      </w:r>
      <w:r w:rsidR="006C6F09">
        <w:t xml:space="preserve"> </w:t>
      </w:r>
      <w:r>
        <w:t>reporter</w:t>
      </w:r>
      <w:r w:rsidR="006C6F09">
        <w:t xml:space="preserve"> </w:t>
      </w:r>
      <w:r>
        <w:t>or</w:t>
      </w:r>
      <w:r w:rsidR="006C6F09">
        <w:t xml:space="preserve"> </w:t>
      </w:r>
      <w:r>
        <w:t>similar</w:t>
      </w:r>
      <w:r w:rsidR="006C6F09">
        <w:t xml:space="preserve"> </w:t>
      </w:r>
      <w:r>
        <w:t>transcription</w:t>
      </w:r>
      <w:r w:rsidR="006C6F09">
        <w:t xml:space="preserve"> </w:t>
      </w:r>
      <w:r>
        <w:t>service</w:t>
      </w:r>
      <w:r w:rsidR="006C6F09">
        <w:t xml:space="preserve"> </w:t>
      </w:r>
      <w:r>
        <w:t>must</w:t>
      </w:r>
      <w:r w:rsidR="006C6F09">
        <w:t xml:space="preserve"> </w:t>
      </w:r>
      <w:r>
        <w:t>be</w:t>
      </w:r>
      <w:r w:rsidR="006C6F09">
        <w:t xml:space="preserve"> </w:t>
      </w:r>
      <w:r>
        <w:t>used.</w:t>
      </w:r>
      <w:r w:rsidR="006C6F09">
        <w:t xml:space="preserve"> </w:t>
      </w:r>
    </w:p>
    <w:p w14:paraId="31942BD4" w14:textId="526EC0FE" w:rsidR="00457754" w:rsidRDefault="00457754" w:rsidP="00457754">
      <w:r>
        <w:t>The</w:t>
      </w:r>
      <w:r w:rsidR="006C6F09">
        <w:t xml:space="preserve"> </w:t>
      </w:r>
      <w:r>
        <w:t>in-person</w:t>
      </w:r>
      <w:r w:rsidR="006C6F09">
        <w:t xml:space="preserve"> </w:t>
      </w:r>
      <w:r>
        <w:t>option</w:t>
      </w:r>
      <w:r w:rsidR="006C6F09">
        <w:t xml:space="preserve"> </w:t>
      </w:r>
      <w:r>
        <w:t>will</w:t>
      </w:r>
      <w:r w:rsidR="006C6F09">
        <w:t xml:space="preserve"> </w:t>
      </w:r>
      <w:r>
        <w:t>be</w:t>
      </w:r>
      <w:r w:rsidR="006C6F09">
        <w:t xml:space="preserve"> </w:t>
      </w:r>
      <w:r>
        <w:t>at</w:t>
      </w:r>
      <w:r w:rsidR="006C6F09">
        <w:t xml:space="preserve"> </w:t>
      </w:r>
      <w:r>
        <w:t>a</w:t>
      </w:r>
      <w:r w:rsidR="006C6F09">
        <w:t xml:space="preserve"> </w:t>
      </w:r>
      <w:r>
        <w:t>specific</w:t>
      </w:r>
      <w:r w:rsidR="006C6F09">
        <w:t xml:space="preserve"> </w:t>
      </w:r>
      <w:r>
        <w:t>time</w:t>
      </w:r>
      <w:r w:rsidR="006C6F09">
        <w:t xml:space="preserve"> </w:t>
      </w:r>
      <w:r>
        <w:t>on</w:t>
      </w:r>
      <w:r w:rsidR="006C6F09">
        <w:t xml:space="preserve"> </w:t>
      </w:r>
      <w:r>
        <w:t>a</w:t>
      </w:r>
      <w:r w:rsidR="006C6F09">
        <w:t xml:space="preserve"> </w:t>
      </w:r>
      <w:r>
        <w:t>specific</w:t>
      </w:r>
      <w:r w:rsidR="006C6F09">
        <w:t xml:space="preserve"> </w:t>
      </w:r>
      <w:r>
        <w:t>date.</w:t>
      </w:r>
      <w:r w:rsidR="006C6F09">
        <w:t xml:space="preserve"> </w:t>
      </w:r>
      <w:r>
        <w:t>Districts</w:t>
      </w:r>
      <w:r w:rsidR="006C6F09">
        <w:t xml:space="preserve"> </w:t>
      </w:r>
      <w:r>
        <w:t>should</w:t>
      </w:r>
      <w:r w:rsidR="006C6F09">
        <w:t xml:space="preserve"> </w:t>
      </w:r>
      <w:r>
        <w:t>work</w:t>
      </w:r>
      <w:r w:rsidR="006C6F09">
        <w:t xml:space="preserve"> </w:t>
      </w:r>
      <w:r>
        <w:t>with</w:t>
      </w:r>
      <w:r w:rsidR="006C6F09">
        <w:t xml:space="preserve"> </w:t>
      </w:r>
      <w:r>
        <w:t>their</w:t>
      </w:r>
      <w:r w:rsidR="006C6F09">
        <w:t xml:space="preserve"> </w:t>
      </w:r>
      <w:r>
        <w:t>public</w:t>
      </w:r>
      <w:r w:rsidR="006C6F09">
        <w:t xml:space="preserve"> </w:t>
      </w:r>
      <w:r>
        <w:t>involvement</w:t>
      </w:r>
      <w:r w:rsidR="006C6F09">
        <w:t xml:space="preserve"> </w:t>
      </w:r>
      <w:r>
        <w:t>specialist</w:t>
      </w:r>
      <w:r w:rsidR="006C6F09">
        <w:t xml:space="preserve"> </w:t>
      </w:r>
      <w:r>
        <w:t>to</w:t>
      </w:r>
      <w:r w:rsidR="006C6F09">
        <w:t xml:space="preserve"> </w:t>
      </w:r>
      <w:r>
        <w:t>determine</w:t>
      </w:r>
      <w:r w:rsidR="006C6F09">
        <w:t xml:space="preserve"> </w:t>
      </w:r>
      <w:r>
        <w:t>the</w:t>
      </w:r>
      <w:r w:rsidR="006C6F09">
        <w:t xml:space="preserve"> </w:t>
      </w:r>
      <w:r>
        <w:t>most</w:t>
      </w:r>
      <w:r w:rsidR="006C6F09">
        <w:t xml:space="preserve"> </w:t>
      </w:r>
      <w:r>
        <w:t>appropriate</w:t>
      </w:r>
      <w:r w:rsidR="006C6F09">
        <w:t xml:space="preserve"> </w:t>
      </w:r>
      <w:r>
        <w:t>day</w:t>
      </w:r>
      <w:r w:rsidR="006C6F09">
        <w:t xml:space="preserve"> </w:t>
      </w:r>
      <w:r>
        <w:t>and</w:t>
      </w:r>
      <w:r w:rsidR="006C6F09">
        <w:t xml:space="preserve"> </w:t>
      </w:r>
      <w:r>
        <w:t>time</w:t>
      </w:r>
      <w:r w:rsidR="006C6F09">
        <w:t xml:space="preserve"> </w:t>
      </w:r>
      <w:r>
        <w:t>for</w:t>
      </w:r>
      <w:r w:rsidR="006C6F09">
        <w:t xml:space="preserve"> </w:t>
      </w:r>
      <w:r>
        <w:t>the</w:t>
      </w:r>
      <w:r w:rsidR="006C6F09">
        <w:t xml:space="preserve"> </w:t>
      </w:r>
      <w:r>
        <w:t>in-person</w:t>
      </w:r>
      <w:r w:rsidR="006C6F09">
        <w:t xml:space="preserve"> </w:t>
      </w:r>
      <w:r>
        <w:t>option.</w:t>
      </w:r>
      <w:r w:rsidR="006C6F09">
        <w:t xml:space="preserve"> </w:t>
      </w:r>
      <w:r>
        <w:t>In-person</w:t>
      </w:r>
      <w:r w:rsidR="006C6F09">
        <w:t xml:space="preserve"> </w:t>
      </w:r>
      <w:r>
        <w:t>options</w:t>
      </w:r>
      <w:r w:rsidR="006C6F09">
        <w:t xml:space="preserve"> </w:t>
      </w:r>
      <w:r>
        <w:t>should</w:t>
      </w:r>
      <w:r w:rsidR="006C6F09">
        <w:t xml:space="preserve"> </w:t>
      </w:r>
      <w:r>
        <w:t>be</w:t>
      </w:r>
      <w:r w:rsidR="006C6F09">
        <w:t xml:space="preserve"> </w:t>
      </w:r>
      <w:r>
        <w:t>scheduled</w:t>
      </w:r>
      <w:r w:rsidR="006C6F09">
        <w:t xml:space="preserve"> </w:t>
      </w:r>
      <w:r>
        <w:t>on</w:t>
      </w:r>
      <w:r w:rsidR="006C6F09">
        <w:t xml:space="preserve"> </w:t>
      </w:r>
      <w:r>
        <w:t>weekday</w:t>
      </w:r>
      <w:r w:rsidR="006C6F09">
        <w:t xml:space="preserve"> </w:t>
      </w:r>
      <w:r>
        <w:t>afternoons</w:t>
      </w:r>
      <w:r w:rsidR="006C6F09">
        <w:t xml:space="preserve"> </w:t>
      </w:r>
      <w:r>
        <w:t>or</w:t>
      </w:r>
      <w:r w:rsidR="006C6F09">
        <w:t xml:space="preserve"> </w:t>
      </w:r>
      <w:r>
        <w:t>early</w:t>
      </w:r>
      <w:r w:rsidR="006C6F09">
        <w:t xml:space="preserve"> </w:t>
      </w:r>
      <w:r>
        <w:t>evenings</w:t>
      </w:r>
      <w:r w:rsidR="006C6F09">
        <w:t xml:space="preserve"> </w:t>
      </w:r>
      <w:r>
        <w:t>unless</w:t>
      </w:r>
      <w:r w:rsidR="006C6F09">
        <w:t xml:space="preserve"> </w:t>
      </w:r>
      <w:r>
        <w:t>the</w:t>
      </w:r>
      <w:r w:rsidR="006C6F09">
        <w:t xml:space="preserve"> </w:t>
      </w:r>
      <w:r>
        <w:t>public</w:t>
      </w:r>
      <w:r w:rsidR="006C6F09">
        <w:t xml:space="preserve"> </w:t>
      </w:r>
      <w:r>
        <w:t>prefers</w:t>
      </w:r>
      <w:r w:rsidR="006C6F09">
        <w:t xml:space="preserve"> </w:t>
      </w:r>
      <w:r>
        <w:t>another</w:t>
      </w:r>
      <w:r w:rsidR="006C6F09">
        <w:t xml:space="preserve"> </w:t>
      </w:r>
      <w:r>
        <w:t>time.</w:t>
      </w:r>
      <w:r w:rsidR="006C6F09">
        <w:t xml:space="preserve"> </w:t>
      </w:r>
      <w:r>
        <w:t>If</w:t>
      </w:r>
      <w:r w:rsidR="006C6F09">
        <w:t xml:space="preserve"> </w:t>
      </w:r>
      <w:r>
        <w:t>there</w:t>
      </w:r>
      <w:r w:rsidR="006C6F09">
        <w:t xml:space="preserve"> </w:t>
      </w:r>
      <w:r>
        <w:t>is</w:t>
      </w:r>
      <w:r w:rsidR="006C6F09">
        <w:t xml:space="preserve"> </w:t>
      </w:r>
      <w:r>
        <w:t>a</w:t>
      </w:r>
      <w:r w:rsidR="006C6F09">
        <w:t xml:space="preserve"> </w:t>
      </w:r>
      <w:r>
        <w:t>significant</w:t>
      </w:r>
      <w:r w:rsidR="006C6F09">
        <w:t xml:space="preserve"> </w:t>
      </w:r>
      <w:r>
        <w:t>civic</w:t>
      </w:r>
      <w:r w:rsidR="006C6F09">
        <w:t xml:space="preserve"> </w:t>
      </w:r>
      <w:r>
        <w:t>activity</w:t>
      </w:r>
      <w:r w:rsidR="006C6F09">
        <w:t xml:space="preserve"> </w:t>
      </w:r>
      <w:r>
        <w:t>planned</w:t>
      </w:r>
      <w:r w:rsidR="006C6F09">
        <w:t xml:space="preserve"> </w:t>
      </w:r>
      <w:r>
        <w:t>for</w:t>
      </w:r>
      <w:r w:rsidR="006C6F09">
        <w:t xml:space="preserve"> </w:t>
      </w:r>
      <w:r>
        <w:t>a</w:t>
      </w:r>
      <w:r w:rsidR="006C6F09">
        <w:t xml:space="preserve"> </w:t>
      </w:r>
      <w:r>
        <w:t>certain</w:t>
      </w:r>
      <w:r w:rsidR="006C6F09">
        <w:t xml:space="preserve"> </w:t>
      </w:r>
      <w:r>
        <w:t>day,</w:t>
      </w:r>
      <w:r w:rsidR="006C6F09">
        <w:t xml:space="preserve"> </w:t>
      </w:r>
      <w:r>
        <w:t>schedule</w:t>
      </w:r>
      <w:r w:rsidR="006C6F09">
        <w:t xml:space="preserve"> </w:t>
      </w:r>
      <w:r>
        <w:t>the</w:t>
      </w:r>
      <w:r w:rsidR="006C6F09">
        <w:t xml:space="preserve"> </w:t>
      </w:r>
      <w:r>
        <w:t>in-person</w:t>
      </w:r>
      <w:r w:rsidR="006C6F09">
        <w:t xml:space="preserve"> </w:t>
      </w:r>
      <w:r>
        <w:t>option</w:t>
      </w:r>
      <w:r w:rsidR="006C6F09">
        <w:t xml:space="preserve"> </w:t>
      </w:r>
      <w:r>
        <w:t>when</w:t>
      </w:r>
      <w:r w:rsidR="006C6F09">
        <w:t xml:space="preserve"> </w:t>
      </w:r>
      <w:r>
        <w:t>there</w:t>
      </w:r>
      <w:r w:rsidR="006C6F09">
        <w:t xml:space="preserve"> </w:t>
      </w:r>
      <w:r>
        <w:t>is</w:t>
      </w:r>
      <w:r w:rsidR="006C6F09">
        <w:t xml:space="preserve"> </w:t>
      </w:r>
      <w:r>
        <w:t>not</w:t>
      </w:r>
      <w:r w:rsidR="006C6F09">
        <w:t xml:space="preserve"> </w:t>
      </w:r>
      <w:r>
        <w:t>a</w:t>
      </w:r>
      <w:r w:rsidR="006C6F09">
        <w:t xml:space="preserve"> </w:t>
      </w:r>
      <w:r>
        <w:t>conflict.</w:t>
      </w:r>
      <w:r w:rsidR="006C6F09">
        <w:t xml:space="preserve"> </w:t>
      </w:r>
      <w:r>
        <w:t>Also,</w:t>
      </w:r>
      <w:r w:rsidR="006C6F09">
        <w:t xml:space="preserve"> </w:t>
      </w:r>
      <w:r>
        <w:t>avoid</w:t>
      </w:r>
      <w:r w:rsidR="006C6F09">
        <w:t xml:space="preserve"> </w:t>
      </w:r>
      <w:r>
        <w:t>scheduling</w:t>
      </w:r>
      <w:r w:rsidR="006C6F09">
        <w:t xml:space="preserve"> </w:t>
      </w:r>
      <w:r>
        <w:t>in-person</w:t>
      </w:r>
      <w:r w:rsidR="006C6F09">
        <w:t xml:space="preserve"> </w:t>
      </w:r>
      <w:r>
        <w:t>options</w:t>
      </w:r>
      <w:r w:rsidR="006C6F09">
        <w:t xml:space="preserve"> </w:t>
      </w:r>
      <w:r>
        <w:t>near</w:t>
      </w:r>
      <w:r w:rsidR="006C6F09">
        <w:t xml:space="preserve"> </w:t>
      </w:r>
      <w:r>
        <w:t>or</w:t>
      </w:r>
      <w:r w:rsidR="006C6F09">
        <w:t xml:space="preserve"> </w:t>
      </w:r>
      <w:r>
        <w:t>on</w:t>
      </w:r>
      <w:r w:rsidR="006C6F09">
        <w:t xml:space="preserve"> </w:t>
      </w:r>
      <w:r>
        <w:t>significant</w:t>
      </w:r>
      <w:r w:rsidR="006C6F09">
        <w:t xml:space="preserve"> </w:t>
      </w:r>
      <w:r>
        <w:t>national,</w:t>
      </w:r>
      <w:r w:rsidR="006C6F09">
        <w:t xml:space="preserve"> </w:t>
      </w:r>
      <w:r>
        <w:t>religious,</w:t>
      </w:r>
      <w:r w:rsidR="006C6F09">
        <w:t xml:space="preserve"> </w:t>
      </w:r>
      <w:r>
        <w:t>or</w:t>
      </w:r>
      <w:r w:rsidR="006C6F09">
        <w:t xml:space="preserve"> </w:t>
      </w:r>
      <w:r>
        <w:t>school</w:t>
      </w:r>
      <w:r w:rsidR="006C6F09">
        <w:t xml:space="preserve"> </w:t>
      </w:r>
      <w:r>
        <w:t>holidays.</w:t>
      </w:r>
    </w:p>
    <w:p w14:paraId="1C6227D4" w14:textId="177A1039" w:rsidR="00457754" w:rsidRDefault="00457754" w:rsidP="00457754">
      <w:r>
        <w:t>The</w:t>
      </w:r>
      <w:r w:rsidR="006C6F09">
        <w:t xml:space="preserve"> </w:t>
      </w:r>
      <w:r>
        <w:t>15-calendar-day</w:t>
      </w:r>
      <w:r w:rsidR="006C6F09">
        <w:t xml:space="preserve"> </w:t>
      </w:r>
      <w:r>
        <w:t>comment</w:t>
      </w:r>
      <w:r w:rsidR="006C6F09">
        <w:t xml:space="preserve"> </w:t>
      </w:r>
      <w:r>
        <w:t>period</w:t>
      </w:r>
      <w:r w:rsidR="006C6F09">
        <w:t xml:space="preserve"> </w:t>
      </w:r>
      <w:r>
        <w:t>must</w:t>
      </w:r>
      <w:r w:rsidR="006C6F09">
        <w:t xml:space="preserve"> </w:t>
      </w:r>
      <w:r>
        <w:t>be</w:t>
      </w:r>
      <w:r w:rsidR="006C6F09">
        <w:t xml:space="preserve"> </w:t>
      </w:r>
      <w:r>
        <w:t>calculated</w:t>
      </w:r>
      <w:r w:rsidR="006C6F09">
        <w:t xml:space="preserve"> </w:t>
      </w:r>
      <w:r>
        <w:t>from</w:t>
      </w:r>
      <w:r w:rsidR="006C6F09">
        <w:t xml:space="preserve"> </w:t>
      </w:r>
      <w:r>
        <w:t>the</w:t>
      </w:r>
      <w:r w:rsidR="006C6F09">
        <w:t xml:space="preserve"> </w:t>
      </w:r>
      <w:r>
        <w:t>date</w:t>
      </w:r>
      <w:r w:rsidR="006C6F09">
        <w:t xml:space="preserve"> </w:t>
      </w:r>
      <w:r>
        <w:t>of</w:t>
      </w:r>
      <w:r w:rsidR="006C6F09">
        <w:t xml:space="preserve"> </w:t>
      </w:r>
      <w:r>
        <w:t>the</w:t>
      </w:r>
      <w:r w:rsidR="006C6F09">
        <w:t xml:space="preserve"> </w:t>
      </w:r>
      <w:r>
        <w:t>virtual</w:t>
      </w:r>
      <w:r w:rsidR="006C6F09">
        <w:t xml:space="preserve"> </w:t>
      </w:r>
      <w:r>
        <w:t>public</w:t>
      </w:r>
      <w:r w:rsidR="006C6F09">
        <w:t xml:space="preserve"> </w:t>
      </w:r>
      <w:r>
        <w:t>hearing,</w:t>
      </w:r>
      <w:r w:rsidR="006C6F09">
        <w:t xml:space="preserve"> </w:t>
      </w:r>
      <w:r>
        <w:t>or</w:t>
      </w:r>
      <w:r w:rsidR="006C6F09">
        <w:t xml:space="preserve"> </w:t>
      </w:r>
      <w:r>
        <w:t>the</w:t>
      </w:r>
      <w:r w:rsidR="006C6F09">
        <w:t xml:space="preserve"> </w:t>
      </w:r>
      <w:r>
        <w:t>day</w:t>
      </w:r>
      <w:r w:rsidR="006C6F09">
        <w:t xml:space="preserve"> </w:t>
      </w:r>
      <w:r>
        <w:t>of</w:t>
      </w:r>
      <w:r w:rsidR="006C6F09">
        <w:t xml:space="preserve"> </w:t>
      </w:r>
      <w:r>
        <w:t>the</w:t>
      </w:r>
      <w:r w:rsidR="006C6F09">
        <w:t xml:space="preserve"> </w:t>
      </w:r>
      <w:r>
        <w:t>in-person</w:t>
      </w:r>
      <w:r w:rsidR="006C6F09">
        <w:t xml:space="preserve"> </w:t>
      </w:r>
      <w:r>
        <w:t>option,</w:t>
      </w:r>
      <w:r w:rsidR="006C6F09">
        <w:t xml:space="preserve"> </w:t>
      </w:r>
      <w:r>
        <w:t>whichever</w:t>
      </w:r>
      <w:r w:rsidR="006C6F09">
        <w:t xml:space="preserve"> </w:t>
      </w:r>
      <w:r>
        <w:t>is</w:t>
      </w:r>
      <w:r w:rsidR="006C6F09">
        <w:t xml:space="preserve"> </w:t>
      </w:r>
      <w:r>
        <w:t>later.</w:t>
      </w:r>
      <w:r w:rsidR="006C6F09">
        <w:t xml:space="preserve"> </w:t>
      </w:r>
      <w:r>
        <w:t>Consideration</w:t>
      </w:r>
      <w:r w:rsidR="006C6F09">
        <w:t xml:space="preserve"> </w:t>
      </w:r>
      <w:r>
        <w:t>should</w:t>
      </w:r>
      <w:r w:rsidR="006C6F09">
        <w:t xml:space="preserve"> </w:t>
      </w:r>
      <w:r>
        <w:t>be</w:t>
      </w:r>
      <w:r w:rsidR="006C6F09">
        <w:t xml:space="preserve"> </w:t>
      </w:r>
      <w:r>
        <w:t>given</w:t>
      </w:r>
      <w:r w:rsidR="006C6F09">
        <w:t xml:space="preserve"> </w:t>
      </w:r>
      <w:r>
        <w:t>to</w:t>
      </w:r>
      <w:r w:rsidR="006C6F09">
        <w:t xml:space="preserve"> </w:t>
      </w:r>
      <w:r>
        <w:t>avoid</w:t>
      </w:r>
      <w:r w:rsidR="006C6F09">
        <w:t xml:space="preserve"> </w:t>
      </w:r>
      <w:r>
        <w:t>comment</w:t>
      </w:r>
      <w:r w:rsidR="006C6F09">
        <w:t xml:space="preserve"> </w:t>
      </w:r>
      <w:r>
        <w:t>deadlines</w:t>
      </w:r>
      <w:r w:rsidR="006C6F09">
        <w:t xml:space="preserve"> </w:t>
      </w:r>
      <w:r>
        <w:t>that</w:t>
      </w:r>
      <w:r w:rsidR="006C6F09">
        <w:t xml:space="preserve"> </w:t>
      </w:r>
      <w:r>
        <w:t>extend</w:t>
      </w:r>
      <w:r w:rsidR="006C6F09">
        <w:t xml:space="preserve"> </w:t>
      </w:r>
      <w:r>
        <w:t>into</w:t>
      </w:r>
      <w:r w:rsidR="006C6F09">
        <w:t xml:space="preserve"> </w:t>
      </w:r>
      <w:r>
        <w:t>holiday</w:t>
      </w:r>
      <w:r w:rsidR="006C6F09">
        <w:t xml:space="preserve"> </w:t>
      </w:r>
      <w:r>
        <w:t>and</w:t>
      </w:r>
      <w:r w:rsidR="006C6F09">
        <w:t xml:space="preserve"> </w:t>
      </w:r>
      <w:r>
        <w:t>or</w:t>
      </w:r>
      <w:r w:rsidR="006C6F09">
        <w:t xml:space="preserve"> </w:t>
      </w:r>
      <w:r>
        <w:t>weekend</w:t>
      </w:r>
      <w:r w:rsidR="006C6F09">
        <w:t xml:space="preserve"> </w:t>
      </w:r>
      <w:r>
        <w:t>periods.</w:t>
      </w:r>
    </w:p>
    <w:p w14:paraId="7C9EB240" w14:textId="0037DBF4" w:rsidR="00457754" w:rsidRDefault="00457754" w:rsidP="00457754">
      <w:r>
        <w:t>Districts</w:t>
      </w:r>
      <w:r w:rsidR="006C6F09">
        <w:t xml:space="preserve"> </w:t>
      </w:r>
      <w:r>
        <w:t>are</w:t>
      </w:r>
      <w:r w:rsidR="006C6F09">
        <w:t xml:space="preserve"> </w:t>
      </w:r>
      <w:r>
        <w:t>encouraged</w:t>
      </w:r>
      <w:r w:rsidR="006C6F09">
        <w:t xml:space="preserve"> </w:t>
      </w:r>
      <w:r>
        <w:t>to</w:t>
      </w:r>
      <w:r w:rsidR="006C6F09">
        <w:t xml:space="preserve"> </w:t>
      </w:r>
      <w:r>
        <w:t>have</w:t>
      </w:r>
      <w:r w:rsidR="006C6F09">
        <w:t xml:space="preserve"> </w:t>
      </w:r>
      <w:r>
        <w:t>a</w:t>
      </w:r>
      <w:r w:rsidR="006C6F09">
        <w:t xml:space="preserve"> </w:t>
      </w:r>
      <w:r>
        <w:t>staffing</w:t>
      </w:r>
      <w:r w:rsidR="006C6F09">
        <w:t xml:space="preserve"> </w:t>
      </w:r>
      <w:r>
        <w:t>plan</w:t>
      </w:r>
      <w:r w:rsidR="006C6F09">
        <w:t xml:space="preserve"> </w:t>
      </w:r>
      <w:r>
        <w:t>for</w:t>
      </w:r>
      <w:r w:rsidR="006C6F09">
        <w:t xml:space="preserve"> </w:t>
      </w:r>
      <w:r>
        <w:t>the</w:t>
      </w:r>
      <w:r w:rsidR="006C6F09">
        <w:t xml:space="preserve"> </w:t>
      </w:r>
      <w:r>
        <w:t>in-person</w:t>
      </w:r>
      <w:r w:rsidR="006C6F09">
        <w:t xml:space="preserve"> </w:t>
      </w:r>
      <w:r>
        <w:t>option,</w:t>
      </w:r>
      <w:r w:rsidR="006C6F09">
        <w:t xml:space="preserve"> </w:t>
      </w:r>
      <w:r>
        <w:t>including</w:t>
      </w:r>
      <w:r w:rsidR="006C6F09">
        <w:t xml:space="preserve"> </w:t>
      </w:r>
      <w:r>
        <w:t>staff</w:t>
      </w:r>
      <w:r w:rsidR="006C6F09">
        <w:t xml:space="preserve"> </w:t>
      </w:r>
      <w:r>
        <w:t>who</w:t>
      </w:r>
      <w:r w:rsidR="006C6F09">
        <w:t xml:space="preserve"> </w:t>
      </w:r>
      <w:r>
        <w:t>would</w:t>
      </w:r>
      <w:r w:rsidR="006C6F09">
        <w:t xml:space="preserve"> </w:t>
      </w:r>
      <w:r>
        <w:t>be</w:t>
      </w:r>
      <w:r w:rsidR="006C6F09">
        <w:t xml:space="preserve"> </w:t>
      </w:r>
      <w:r>
        <w:t>assigned</w:t>
      </w:r>
      <w:r w:rsidR="006C6F09">
        <w:t xml:space="preserve"> </w:t>
      </w:r>
      <w:r>
        <w:t>as</w:t>
      </w:r>
      <w:r w:rsidR="006C6F09">
        <w:t xml:space="preserve"> </w:t>
      </w:r>
      <w:r>
        <w:t>back-up</w:t>
      </w:r>
      <w:r w:rsidR="006C6F09">
        <w:t xml:space="preserve"> </w:t>
      </w:r>
      <w:r>
        <w:t>in</w:t>
      </w:r>
      <w:r w:rsidR="006C6F09">
        <w:t xml:space="preserve"> </w:t>
      </w:r>
      <w:r>
        <w:t>case</w:t>
      </w:r>
      <w:r w:rsidR="006C6F09">
        <w:t xml:space="preserve"> </w:t>
      </w:r>
      <w:r>
        <w:t>the</w:t>
      </w:r>
      <w:r w:rsidR="006C6F09">
        <w:t xml:space="preserve"> </w:t>
      </w:r>
      <w:r>
        <w:t>original</w:t>
      </w:r>
      <w:r w:rsidR="006C6F09">
        <w:t xml:space="preserve"> </w:t>
      </w:r>
      <w:r>
        <w:t>staff</w:t>
      </w:r>
      <w:r w:rsidR="006C6F09">
        <w:t xml:space="preserve"> </w:t>
      </w:r>
      <w:r>
        <w:t>member</w:t>
      </w:r>
      <w:r w:rsidR="006C6F09">
        <w:t xml:space="preserve"> </w:t>
      </w:r>
      <w:r>
        <w:t>cannot</w:t>
      </w:r>
      <w:r w:rsidR="006C6F09">
        <w:t xml:space="preserve"> </w:t>
      </w:r>
      <w:r>
        <w:t>attend.</w:t>
      </w:r>
      <w:r w:rsidR="006C6F09">
        <w:t xml:space="preserve"> </w:t>
      </w:r>
      <w:r>
        <w:t>This</w:t>
      </w:r>
      <w:r w:rsidR="006C6F09">
        <w:t xml:space="preserve"> </w:t>
      </w:r>
      <w:r>
        <w:t>would</w:t>
      </w:r>
      <w:r w:rsidR="006C6F09">
        <w:t xml:space="preserve"> </w:t>
      </w:r>
      <w:r>
        <w:t>include</w:t>
      </w:r>
      <w:r w:rsidR="006C6F09">
        <w:t xml:space="preserve"> </w:t>
      </w:r>
      <w:r>
        <w:t>staff</w:t>
      </w:r>
      <w:r w:rsidR="006C6F09">
        <w:t xml:space="preserve"> </w:t>
      </w:r>
      <w:r>
        <w:t>or</w:t>
      </w:r>
      <w:r w:rsidR="006C6F09">
        <w:t xml:space="preserve"> </w:t>
      </w:r>
      <w:r>
        <w:t>consultants</w:t>
      </w:r>
      <w:r w:rsidR="006C6F09">
        <w:t xml:space="preserve"> </w:t>
      </w:r>
      <w:r>
        <w:t>who</w:t>
      </w:r>
      <w:r w:rsidR="006C6F09">
        <w:t xml:space="preserve"> </w:t>
      </w:r>
      <w:r>
        <w:t>will</w:t>
      </w:r>
      <w:r w:rsidR="006C6F09">
        <w:t xml:space="preserve"> </w:t>
      </w:r>
      <w:r>
        <w:t>be</w:t>
      </w:r>
      <w:r w:rsidR="006C6F09">
        <w:t xml:space="preserve"> </w:t>
      </w:r>
      <w:r>
        <w:t>in</w:t>
      </w:r>
      <w:r w:rsidR="006C6F09">
        <w:t xml:space="preserve"> </w:t>
      </w:r>
      <w:r>
        <w:t>attendance</w:t>
      </w:r>
      <w:r w:rsidR="006C6F09">
        <w:t xml:space="preserve"> </w:t>
      </w:r>
      <w:r>
        <w:t>to</w:t>
      </w:r>
      <w:r w:rsidR="006C6F09">
        <w:t xml:space="preserve"> </w:t>
      </w:r>
      <w:r>
        <w:t>answer</w:t>
      </w:r>
      <w:r w:rsidR="006C6F09">
        <w:t xml:space="preserve"> </w:t>
      </w:r>
      <w:r>
        <w:t>questions</w:t>
      </w:r>
      <w:r w:rsidR="006C6F09">
        <w:t xml:space="preserve"> </w:t>
      </w:r>
      <w:r>
        <w:t>and</w:t>
      </w:r>
      <w:r w:rsidR="006C6F09">
        <w:t xml:space="preserve"> </w:t>
      </w:r>
      <w:r>
        <w:t>a</w:t>
      </w:r>
      <w:r w:rsidR="006C6F09">
        <w:t xml:space="preserve"> </w:t>
      </w:r>
      <w:r>
        <w:t>person</w:t>
      </w:r>
      <w:r w:rsidR="006C6F09">
        <w:t xml:space="preserve"> </w:t>
      </w:r>
      <w:r>
        <w:t>who</w:t>
      </w:r>
      <w:r w:rsidR="006C6F09">
        <w:t xml:space="preserve"> </w:t>
      </w:r>
      <w:r>
        <w:t>will</w:t>
      </w:r>
      <w:r w:rsidR="006C6F09">
        <w:t xml:space="preserve"> </w:t>
      </w:r>
      <w:r>
        <w:t>be</w:t>
      </w:r>
      <w:r w:rsidR="006C6F09">
        <w:t xml:space="preserve"> </w:t>
      </w:r>
      <w:r>
        <w:t>leading</w:t>
      </w:r>
      <w:r w:rsidR="006C6F09">
        <w:t xml:space="preserve"> </w:t>
      </w:r>
      <w:r>
        <w:t>the</w:t>
      </w:r>
      <w:r w:rsidR="006C6F09">
        <w:t xml:space="preserve"> </w:t>
      </w:r>
      <w:r>
        <w:t>attendees</w:t>
      </w:r>
      <w:r w:rsidR="006C6F09">
        <w:t xml:space="preserve"> </w:t>
      </w:r>
      <w:r>
        <w:t>to</w:t>
      </w:r>
      <w:r w:rsidR="006C6F09">
        <w:t xml:space="preserve"> </w:t>
      </w:r>
      <w:r>
        <w:t>the</w:t>
      </w:r>
      <w:r w:rsidR="006C6F09">
        <w:t xml:space="preserve"> </w:t>
      </w:r>
      <w:r>
        <w:t>hearing</w:t>
      </w:r>
      <w:r w:rsidR="006C6F09">
        <w:t xml:space="preserve"> </w:t>
      </w:r>
      <w:r>
        <w:t>room.</w:t>
      </w:r>
    </w:p>
    <w:p w14:paraId="6F2930F7" w14:textId="239290E8" w:rsidR="00457754" w:rsidRDefault="00457754" w:rsidP="00457754">
      <w:r>
        <w:t>Contracting</w:t>
      </w:r>
      <w:r w:rsidR="006C6F09">
        <w:t xml:space="preserve"> </w:t>
      </w:r>
      <w:r>
        <w:t>for</w:t>
      </w:r>
      <w:r w:rsidR="006C6F09">
        <w:t xml:space="preserve"> </w:t>
      </w:r>
      <w:r>
        <w:t>security</w:t>
      </w:r>
      <w:r w:rsidR="006C6F09">
        <w:t xml:space="preserve"> </w:t>
      </w:r>
      <w:r>
        <w:t>personnel</w:t>
      </w:r>
      <w:r w:rsidR="006C6F09">
        <w:t xml:space="preserve"> </w:t>
      </w:r>
      <w:r>
        <w:t>to</w:t>
      </w:r>
      <w:r w:rsidR="006C6F09">
        <w:t xml:space="preserve"> </w:t>
      </w:r>
      <w:r>
        <w:t>be</w:t>
      </w:r>
      <w:r w:rsidR="006C6F09">
        <w:t xml:space="preserve"> </w:t>
      </w:r>
      <w:r>
        <w:t>present</w:t>
      </w:r>
      <w:r w:rsidR="006C6F09">
        <w:t xml:space="preserve"> </w:t>
      </w:r>
      <w:r>
        <w:t>for</w:t>
      </w:r>
      <w:r w:rsidR="006C6F09">
        <w:t xml:space="preserve"> </w:t>
      </w:r>
      <w:r>
        <w:t>the</w:t>
      </w:r>
      <w:r w:rsidR="006C6F09">
        <w:t xml:space="preserve"> </w:t>
      </w:r>
      <w:r>
        <w:t>in-person</w:t>
      </w:r>
      <w:r w:rsidR="006C6F09">
        <w:t xml:space="preserve"> </w:t>
      </w:r>
      <w:r>
        <w:t>option</w:t>
      </w:r>
      <w:r w:rsidR="006C6F09">
        <w:t xml:space="preserve"> </w:t>
      </w:r>
      <w:r>
        <w:t>is</w:t>
      </w:r>
      <w:r w:rsidR="006C6F09">
        <w:t xml:space="preserve"> </w:t>
      </w:r>
      <w:r>
        <w:t>also</w:t>
      </w:r>
      <w:r w:rsidR="006C6F09">
        <w:t xml:space="preserve"> </w:t>
      </w:r>
      <w:r>
        <w:t>recommended,</w:t>
      </w:r>
      <w:r w:rsidR="006C6F09">
        <w:t xml:space="preserve"> </w:t>
      </w:r>
      <w:r>
        <w:t>especially</w:t>
      </w:r>
      <w:r w:rsidR="006C6F09">
        <w:t xml:space="preserve"> </w:t>
      </w:r>
      <w:r>
        <w:t>for</w:t>
      </w:r>
      <w:r w:rsidR="006C6F09">
        <w:t xml:space="preserve"> </w:t>
      </w:r>
      <w:r>
        <w:t>controversial</w:t>
      </w:r>
      <w:r w:rsidR="006C6F09">
        <w:t xml:space="preserve"> </w:t>
      </w:r>
      <w:r>
        <w:t>projects.</w:t>
      </w:r>
    </w:p>
    <w:p w14:paraId="1A486D57" w14:textId="7F676174" w:rsidR="00457754" w:rsidRDefault="00457754" w:rsidP="00457754">
      <w:r>
        <w:lastRenderedPageBreak/>
        <w:t>Attendance</w:t>
      </w:r>
      <w:r w:rsidR="006C6F09">
        <w:t xml:space="preserve"> </w:t>
      </w:r>
      <w:r>
        <w:t>by</w:t>
      </w:r>
      <w:r w:rsidR="006C6F09">
        <w:t xml:space="preserve"> </w:t>
      </w:r>
      <w:r>
        <w:t>TxDOT</w:t>
      </w:r>
      <w:r w:rsidR="006C6F09">
        <w:t xml:space="preserve"> </w:t>
      </w:r>
      <w:r>
        <w:t>staff</w:t>
      </w:r>
      <w:r w:rsidR="006C6F09">
        <w:t xml:space="preserve"> </w:t>
      </w:r>
      <w:r>
        <w:t>at</w:t>
      </w:r>
      <w:r w:rsidR="006C6F09">
        <w:t xml:space="preserve"> </w:t>
      </w:r>
      <w:r>
        <w:t>an</w:t>
      </w:r>
      <w:r w:rsidR="006C6F09">
        <w:t xml:space="preserve"> </w:t>
      </w:r>
      <w:r>
        <w:t>in-person</w:t>
      </w:r>
      <w:r w:rsidR="006C6F09">
        <w:t xml:space="preserve"> </w:t>
      </w:r>
      <w:r>
        <w:t>option</w:t>
      </w:r>
      <w:r w:rsidR="006C6F09">
        <w:t xml:space="preserve"> </w:t>
      </w:r>
      <w:r>
        <w:t>held</w:t>
      </w:r>
      <w:r w:rsidR="006C6F09">
        <w:t xml:space="preserve"> </w:t>
      </w:r>
      <w:r>
        <w:t>by</w:t>
      </w:r>
      <w:r w:rsidR="006C6F09">
        <w:t xml:space="preserve"> </w:t>
      </w:r>
      <w:r>
        <w:t>a</w:t>
      </w:r>
      <w:r w:rsidR="006C6F09">
        <w:t xml:space="preserve"> </w:t>
      </w:r>
      <w:r>
        <w:t>local</w:t>
      </w:r>
      <w:r w:rsidR="006C6F09">
        <w:t xml:space="preserve"> </w:t>
      </w:r>
      <w:r>
        <w:t>government</w:t>
      </w:r>
      <w:r w:rsidR="006C6F09">
        <w:t xml:space="preserve"> </w:t>
      </w:r>
      <w:r>
        <w:t>project</w:t>
      </w:r>
      <w:r w:rsidR="006C6F09">
        <w:t xml:space="preserve"> </w:t>
      </w:r>
      <w:r>
        <w:t>sponsor,</w:t>
      </w:r>
      <w:r w:rsidR="006C6F09">
        <w:t xml:space="preserve"> </w:t>
      </w:r>
      <w:r>
        <w:t>although</w:t>
      </w:r>
      <w:r w:rsidR="006C6F09">
        <w:t xml:space="preserve"> </w:t>
      </w:r>
      <w:r>
        <w:t>not</w:t>
      </w:r>
      <w:r w:rsidR="006C6F09">
        <w:t xml:space="preserve"> </w:t>
      </w:r>
      <w:r>
        <w:t>required,</w:t>
      </w:r>
      <w:r w:rsidR="006C6F09">
        <w:t xml:space="preserve"> </w:t>
      </w:r>
      <w:r>
        <w:t>is</w:t>
      </w:r>
      <w:r w:rsidR="006C6F09">
        <w:t xml:space="preserve"> </w:t>
      </w:r>
      <w:r>
        <w:t>recommended</w:t>
      </w:r>
      <w:r w:rsidR="006C6F09">
        <w:t xml:space="preserve"> </w:t>
      </w:r>
      <w:r>
        <w:t>as</w:t>
      </w:r>
      <w:r w:rsidR="006C6F09">
        <w:t xml:space="preserve"> </w:t>
      </w:r>
      <w:r>
        <w:t>another</w:t>
      </w:r>
      <w:r w:rsidR="006C6F09">
        <w:t xml:space="preserve"> </w:t>
      </w:r>
      <w:r>
        <w:t>example</w:t>
      </w:r>
      <w:r w:rsidR="006C6F09">
        <w:t xml:space="preserve"> </w:t>
      </w:r>
      <w:r>
        <w:t>of</w:t>
      </w:r>
      <w:r w:rsidR="006C6F09">
        <w:t xml:space="preserve"> </w:t>
      </w:r>
      <w:r>
        <w:t>TxDOT</w:t>
      </w:r>
      <w:r w:rsidR="006C6F09">
        <w:t xml:space="preserve"> </w:t>
      </w:r>
      <w:r>
        <w:t>doing</w:t>
      </w:r>
      <w:r w:rsidR="006C6F09">
        <w:t xml:space="preserve"> </w:t>
      </w:r>
      <w:r>
        <w:t>more</w:t>
      </w:r>
      <w:r w:rsidR="006C6F09">
        <w:t xml:space="preserve"> </w:t>
      </w:r>
      <w:r>
        <w:t>than</w:t>
      </w:r>
      <w:r w:rsidR="006C6F09">
        <w:t xml:space="preserve"> </w:t>
      </w:r>
      <w:r>
        <w:t>the</w:t>
      </w:r>
      <w:r w:rsidR="006C6F09">
        <w:t xml:space="preserve"> </w:t>
      </w:r>
      <w:r>
        <w:t>minimum.</w:t>
      </w:r>
    </w:p>
    <w:p w14:paraId="679774F3" w14:textId="0D3D0284" w:rsidR="00457754" w:rsidRDefault="00457754" w:rsidP="00457754">
      <w:pPr>
        <w:spacing w:after="0"/>
      </w:pPr>
      <w:r>
        <w:t>For</w:t>
      </w:r>
      <w:r w:rsidR="006C6F09">
        <w:t xml:space="preserve"> </w:t>
      </w:r>
      <w:r>
        <w:t>federal</w:t>
      </w:r>
      <w:r w:rsidR="006C6F09">
        <w:t xml:space="preserve"> </w:t>
      </w:r>
      <w:r>
        <w:t>assigned</w:t>
      </w:r>
      <w:r w:rsidR="006C6F09">
        <w:t xml:space="preserve"> </w:t>
      </w:r>
      <w:r>
        <w:t>projects</w:t>
      </w:r>
      <w:r w:rsidR="006C6F09">
        <w:t xml:space="preserve"> </w:t>
      </w:r>
      <w:r>
        <w:t>in</w:t>
      </w:r>
      <w:r w:rsidR="006C6F09">
        <w:t xml:space="preserve"> </w:t>
      </w:r>
      <w:r>
        <w:t>accordance</w:t>
      </w:r>
      <w:r w:rsidR="006C6F09">
        <w:t xml:space="preserve"> </w:t>
      </w:r>
      <w:r>
        <w:t>with</w:t>
      </w:r>
      <w:r w:rsidR="006C6F09">
        <w:t xml:space="preserve"> </w:t>
      </w:r>
      <w:r>
        <w:t>the</w:t>
      </w:r>
      <w:r w:rsidR="006C6F09">
        <w:t xml:space="preserve"> </w:t>
      </w:r>
      <w:r>
        <w:t>Assignment</w:t>
      </w:r>
      <w:r w:rsidR="006C6F09">
        <w:t xml:space="preserve"> </w:t>
      </w:r>
      <w:r>
        <w:t>MOU,</w:t>
      </w:r>
      <w:r w:rsidR="006C6F09">
        <w:t xml:space="preserve"> </w:t>
      </w:r>
      <w:r>
        <w:t>the</w:t>
      </w:r>
      <w:r w:rsidR="006C6F09">
        <w:t xml:space="preserve"> </w:t>
      </w:r>
      <w:r>
        <w:t>following</w:t>
      </w:r>
      <w:r w:rsidR="006C6F09">
        <w:t xml:space="preserve"> </w:t>
      </w:r>
      <w:r>
        <w:t>language</w:t>
      </w:r>
      <w:r w:rsidR="006C6F09">
        <w:t xml:space="preserve"> </w:t>
      </w:r>
      <w:r>
        <w:t>must</w:t>
      </w:r>
      <w:r w:rsidR="006C6F09">
        <w:t xml:space="preserve"> </w:t>
      </w:r>
      <w:r>
        <w:t>be</w:t>
      </w:r>
      <w:r w:rsidR="006C6F09">
        <w:t xml:space="preserve"> </w:t>
      </w:r>
      <w:r>
        <w:t>included</w:t>
      </w:r>
      <w:r w:rsidR="006C6F09">
        <w:t xml:space="preserve"> </w:t>
      </w:r>
      <w:r>
        <w:t>in</w:t>
      </w:r>
      <w:r w:rsidR="006C6F09">
        <w:t xml:space="preserve"> </w:t>
      </w:r>
      <w:r>
        <w:t>the</w:t>
      </w:r>
      <w:r w:rsidR="006C6F09">
        <w:t xml:space="preserve"> </w:t>
      </w:r>
      <w:r>
        <w:t>handout</w:t>
      </w:r>
      <w:r w:rsidR="006C6F09">
        <w:t xml:space="preserve"> </w:t>
      </w:r>
      <w:r>
        <w:t>material,</w:t>
      </w:r>
      <w:r w:rsidR="006C6F09">
        <w:t xml:space="preserve"> </w:t>
      </w:r>
      <w:r>
        <w:t>on</w:t>
      </w:r>
      <w:r w:rsidR="006C6F09">
        <w:t xml:space="preserve"> </w:t>
      </w:r>
      <w:r>
        <w:t>a</w:t>
      </w:r>
      <w:r w:rsidR="006C6F09">
        <w:t xml:space="preserve"> </w:t>
      </w:r>
      <w:r>
        <w:t>display</w:t>
      </w:r>
      <w:r w:rsidR="006C6F09">
        <w:t xml:space="preserve"> </w:t>
      </w:r>
      <w:r>
        <w:t>board</w:t>
      </w:r>
      <w:r w:rsidR="006C6F09">
        <w:t xml:space="preserve"> </w:t>
      </w:r>
      <w:r>
        <w:t>or</w:t>
      </w:r>
      <w:r w:rsidR="006C6F09">
        <w:t xml:space="preserve"> </w:t>
      </w:r>
      <w:r>
        <w:t>in</w:t>
      </w:r>
      <w:r w:rsidR="006C6F09">
        <w:t xml:space="preserve"> </w:t>
      </w:r>
      <w:r>
        <w:t>the</w:t>
      </w:r>
      <w:r w:rsidR="006C6F09">
        <w:t xml:space="preserve"> </w:t>
      </w:r>
      <w:r>
        <w:t>presentation.</w:t>
      </w:r>
      <w:r w:rsidR="006C6F09">
        <w:t xml:space="preserve"> </w:t>
      </w:r>
    </w:p>
    <w:p w14:paraId="386E8005" w14:textId="0FCDEF82" w:rsidR="00457754" w:rsidRPr="007503B5" w:rsidRDefault="00457754" w:rsidP="00457754">
      <w:pPr>
        <w:rPr>
          <w:i/>
          <w:iCs/>
        </w:rPr>
      </w:pPr>
      <w:r w:rsidRPr="007503B5">
        <w:rPr>
          <w:i/>
          <w:iCs/>
        </w:rPr>
        <w:t>The</w:t>
      </w:r>
      <w:r w:rsidR="006C6F09">
        <w:rPr>
          <w:i/>
          <w:iCs/>
        </w:rPr>
        <w:t xml:space="preserve"> </w:t>
      </w:r>
      <w:r w:rsidRPr="007503B5">
        <w:rPr>
          <w:i/>
          <w:iCs/>
        </w:rPr>
        <w:t>environmental</w:t>
      </w:r>
      <w:r w:rsidR="006C6F09">
        <w:rPr>
          <w:i/>
          <w:iCs/>
        </w:rPr>
        <w:t xml:space="preserve"> </w:t>
      </w:r>
      <w:r w:rsidRPr="007503B5">
        <w:rPr>
          <w:i/>
          <w:iCs/>
        </w:rPr>
        <w:t>review,</w:t>
      </w:r>
      <w:r w:rsidR="006C6F09">
        <w:rPr>
          <w:i/>
          <w:iCs/>
        </w:rPr>
        <w:t xml:space="preserve"> </w:t>
      </w:r>
      <w:r w:rsidRPr="007503B5">
        <w:rPr>
          <w:i/>
          <w:iCs/>
        </w:rPr>
        <w:t>consultation,</w:t>
      </w:r>
      <w:r w:rsidR="006C6F09">
        <w:rPr>
          <w:i/>
          <w:iCs/>
        </w:rPr>
        <w:t xml:space="preserve"> </w:t>
      </w:r>
      <w:r w:rsidRPr="007503B5">
        <w:rPr>
          <w:i/>
          <w:iCs/>
        </w:rPr>
        <w:t>and</w:t>
      </w:r>
      <w:r w:rsidR="006C6F09">
        <w:rPr>
          <w:i/>
          <w:iCs/>
        </w:rPr>
        <w:t xml:space="preserve"> </w:t>
      </w:r>
      <w:r w:rsidRPr="007503B5">
        <w:rPr>
          <w:i/>
          <w:iCs/>
        </w:rPr>
        <w:t>other</w:t>
      </w:r>
      <w:r w:rsidR="006C6F09">
        <w:rPr>
          <w:i/>
          <w:iCs/>
        </w:rPr>
        <w:t xml:space="preserve"> </w:t>
      </w:r>
      <w:r w:rsidRPr="007503B5">
        <w:rPr>
          <w:i/>
          <w:iCs/>
        </w:rPr>
        <w:t>actions</w:t>
      </w:r>
      <w:r w:rsidR="006C6F09">
        <w:rPr>
          <w:i/>
          <w:iCs/>
        </w:rPr>
        <w:t xml:space="preserve"> </w:t>
      </w:r>
      <w:r w:rsidRPr="007503B5">
        <w:rPr>
          <w:i/>
          <w:iCs/>
        </w:rPr>
        <w:t>required</w:t>
      </w:r>
      <w:r w:rsidR="006C6F09">
        <w:rPr>
          <w:i/>
          <w:iCs/>
        </w:rPr>
        <w:t xml:space="preserve"> </w:t>
      </w:r>
      <w:r w:rsidRPr="007503B5">
        <w:rPr>
          <w:i/>
          <w:iCs/>
        </w:rPr>
        <w:t>by</w:t>
      </w:r>
      <w:r w:rsidR="006C6F09">
        <w:rPr>
          <w:i/>
          <w:iCs/>
        </w:rPr>
        <w:t xml:space="preserve"> </w:t>
      </w:r>
      <w:r w:rsidRPr="007503B5">
        <w:rPr>
          <w:i/>
          <w:iCs/>
        </w:rPr>
        <w:t>applicable</w:t>
      </w:r>
      <w:r w:rsidR="006C6F09">
        <w:rPr>
          <w:i/>
          <w:iCs/>
        </w:rPr>
        <w:t xml:space="preserve"> </w:t>
      </w:r>
      <w:r w:rsidRPr="007503B5">
        <w:rPr>
          <w:i/>
          <w:iCs/>
        </w:rPr>
        <w:t>Federal</w:t>
      </w:r>
      <w:r w:rsidR="006C6F09">
        <w:rPr>
          <w:i/>
          <w:iCs/>
        </w:rPr>
        <w:t xml:space="preserve"> </w:t>
      </w:r>
      <w:r w:rsidRPr="007503B5">
        <w:rPr>
          <w:i/>
          <w:iCs/>
        </w:rPr>
        <w:t>environmental</w:t>
      </w:r>
      <w:r w:rsidR="006C6F09">
        <w:rPr>
          <w:i/>
          <w:iCs/>
        </w:rPr>
        <w:t xml:space="preserve"> </w:t>
      </w:r>
      <w:r w:rsidRPr="007503B5">
        <w:rPr>
          <w:i/>
          <w:iCs/>
        </w:rPr>
        <w:t>laws</w:t>
      </w:r>
      <w:r w:rsidR="006C6F09">
        <w:rPr>
          <w:i/>
          <w:iCs/>
        </w:rPr>
        <w:t xml:space="preserve"> </w:t>
      </w:r>
      <w:r w:rsidRPr="007503B5">
        <w:rPr>
          <w:i/>
          <w:iCs/>
        </w:rPr>
        <w:t>for</w:t>
      </w:r>
      <w:r w:rsidR="006C6F09">
        <w:rPr>
          <w:i/>
          <w:iCs/>
        </w:rPr>
        <w:t xml:space="preserve"> </w:t>
      </w:r>
      <w:r w:rsidRPr="007503B5">
        <w:rPr>
          <w:i/>
          <w:iCs/>
        </w:rPr>
        <w:t>this</w:t>
      </w:r>
      <w:r w:rsidR="006C6F09">
        <w:rPr>
          <w:i/>
          <w:iCs/>
        </w:rPr>
        <w:t xml:space="preserve"> </w:t>
      </w:r>
      <w:r w:rsidRPr="007503B5">
        <w:rPr>
          <w:i/>
          <w:iCs/>
        </w:rPr>
        <w:t>project</w:t>
      </w:r>
      <w:r w:rsidR="006C6F09">
        <w:rPr>
          <w:i/>
          <w:iCs/>
        </w:rPr>
        <w:t xml:space="preserve"> </w:t>
      </w:r>
      <w:r w:rsidRPr="007503B5">
        <w:rPr>
          <w:i/>
          <w:iCs/>
        </w:rPr>
        <w:t>are</w:t>
      </w:r>
      <w:r w:rsidR="006C6F09">
        <w:rPr>
          <w:i/>
          <w:iCs/>
        </w:rPr>
        <w:t xml:space="preserve"> </w:t>
      </w:r>
      <w:r w:rsidRPr="007503B5">
        <w:rPr>
          <w:i/>
          <w:iCs/>
        </w:rPr>
        <w:t>being,</w:t>
      </w:r>
      <w:r w:rsidR="006C6F09">
        <w:rPr>
          <w:i/>
          <w:iCs/>
        </w:rPr>
        <w:t xml:space="preserve"> </w:t>
      </w:r>
      <w:r w:rsidRPr="007503B5">
        <w:rPr>
          <w:i/>
          <w:iCs/>
        </w:rPr>
        <w:t>or</w:t>
      </w:r>
      <w:r w:rsidR="006C6F09">
        <w:rPr>
          <w:i/>
          <w:iCs/>
        </w:rPr>
        <w:t xml:space="preserve"> </w:t>
      </w:r>
      <w:r w:rsidRPr="007503B5">
        <w:rPr>
          <w:i/>
          <w:iCs/>
        </w:rPr>
        <w:t>have</w:t>
      </w:r>
      <w:r w:rsidR="006C6F09">
        <w:rPr>
          <w:i/>
          <w:iCs/>
        </w:rPr>
        <w:t xml:space="preserve"> </w:t>
      </w:r>
      <w:r w:rsidRPr="007503B5">
        <w:rPr>
          <w:i/>
          <w:iCs/>
        </w:rPr>
        <w:t>been,</w:t>
      </w:r>
      <w:r w:rsidR="006C6F09">
        <w:rPr>
          <w:i/>
          <w:iCs/>
        </w:rPr>
        <w:t xml:space="preserve"> </w:t>
      </w:r>
      <w:r w:rsidR="003651C6" w:rsidRPr="007503B5">
        <w:rPr>
          <w:i/>
          <w:iCs/>
        </w:rPr>
        <w:t>carried</w:t>
      </w:r>
      <w:r w:rsidR="003651C6">
        <w:rPr>
          <w:i/>
          <w:iCs/>
        </w:rPr>
        <w:t xml:space="preserve"> out</w:t>
      </w:r>
      <w:r w:rsidR="006C6F09">
        <w:rPr>
          <w:i/>
          <w:iCs/>
        </w:rPr>
        <w:t xml:space="preserve"> </w:t>
      </w:r>
      <w:r w:rsidRPr="007503B5">
        <w:rPr>
          <w:i/>
          <w:iCs/>
        </w:rPr>
        <w:t>by</w:t>
      </w:r>
      <w:r w:rsidR="006C6F09">
        <w:rPr>
          <w:i/>
          <w:iCs/>
        </w:rPr>
        <w:t xml:space="preserve"> </w:t>
      </w:r>
      <w:r w:rsidRPr="007503B5">
        <w:rPr>
          <w:i/>
          <w:iCs/>
        </w:rPr>
        <w:t>TxDOT</w:t>
      </w:r>
      <w:r w:rsidR="006C6F09">
        <w:rPr>
          <w:i/>
          <w:iCs/>
        </w:rPr>
        <w:t xml:space="preserve"> </w:t>
      </w:r>
      <w:r w:rsidRPr="007503B5">
        <w:rPr>
          <w:i/>
          <w:iCs/>
        </w:rPr>
        <w:t>pursuant</w:t>
      </w:r>
      <w:r w:rsidR="006C6F09">
        <w:rPr>
          <w:i/>
          <w:iCs/>
        </w:rPr>
        <w:t xml:space="preserve"> </w:t>
      </w:r>
      <w:r w:rsidRPr="007503B5">
        <w:rPr>
          <w:i/>
          <w:iCs/>
        </w:rPr>
        <w:t>to</w:t>
      </w:r>
      <w:r w:rsidR="006C6F09">
        <w:rPr>
          <w:i/>
          <w:iCs/>
        </w:rPr>
        <w:t xml:space="preserve"> </w:t>
      </w:r>
      <w:r w:rsidRPr="007503B5">
        <w:rPr>
          <w:i/>
          <w:iCs/>
        </w:rPr>
        <w:t>23</w:t>
      </w:r>
      <w:r w:rsidR="006C6F09">
        <w:rPr>
          <w:i/>
          <w:iCs/>
        </w:rPr>
        <w:t xml:space="preserve"> </w:t>
      </w:r>
      <w:r w:rsidRPr="007503B5">
        <w:rPr>
          <w:i/>
          <w:iCs/>
        </w:rPr>
        <w:t>U.S.C.</w:t>
      </w:r>
      <w:r w:rsidR="006C6F09">
        <w:rPr>
          <w:i/>
          <w:iCs/>
        </w:rPr>
        <w:t xml:space="preserve"> </w:t>
      </w:r>
      <w:r w:rsidRPr="007503B5">
        <w:rPr>
          <w:i/>
          <w:iCs/>
        </w:rPr>
        <w:t>327</w:t>
      </w:r>
      <w:r w:rsidR="006C6F09">
        <w:rPr>
          <w:i/>
          <w:iCs/>
        </w:rPr>
        <w:t xml:space="preserve"> </w:t>
      </w:r>
      <w:r w:rsidRPr="007503B5">
        <w:rPr>
          <w:i/>
          <w:iCs/>
        </w:rPr>
        <w:t>and</w:t>
      </w:r>
      <w:r w:rsidR="006C6F09">
        <w:rPr>
          <w:i/>
          <w:iCs/>
        </w:rPr>
        <w:t xml:space="preserve"> </w:t>
      </w:r>
      <w:r w:rsidRPr="007503B5">
        <w:rPr>
          <w:i/>
          <w:iCs/>
        </w:rPr>
        <w:t>a</w:t>
      </w:r>
      <w:r w:rsidR="006C6F09">
        <w:rPr>
          <w:i/>
          <w:iCs/>
        </w:rPr>
        <w:t xml:space="preserve"> </w:t>
      </w:r>
      <w:r w:rsidRPr="007503B5">
        <w:rPr>
          <w:i/>
          <w:iCs/>
        </w:rPr>
        <w:t>Memorandum</w:t>
      </w:r>
      <w:r w:rsidR="006C6F09">
        <w:rPr>
          <w:i/>
          <w:iCs/>
        </w:rPr>
        <w:t xml:space="preserve"> </w:t>
      </w:r>
      <w:r w:rsidRPr="007503B5">
        <w:rPr>
          <w:i/>
          <w:iCs/>
        </w:rPr>
        <w:t>of</w:t>
      </w:r>
      <w:r w:rsidR="006C6F09">
        <w:rPr>
          <w:i/>
          <w:iCs/>
        </w:rPr>
        <w:t xml:space="preserve"> </w:t>
      </w:r>
      <w:r w:rsidRPr="007503B5">
        <w:rPr>
          <w:i/>
          <w:iCs/>
        </w:rPr>
        <w:t>Understanding</w:t>
      </w:r>
      <w:r w:rsidR="006C6F09">
        <w:rPr>
          <w:i/>
          <w:iCs/>
        </w:rPr>
        <w:t xml:space="preserve"> </w:t>
      </w:r>
      <w:r w:rsidRPr="007503B5">
        <w:rPr>
          <w:i/>
          <w:iCs/>
        </w:rPr>
        <w:t>dated</w:t>
      </w:r>
      <w:r w:rsidR="006C6F09">
        <w:rPr>
          <w:i/>
          <w:iCs/>
        </w:rPr>
        <w:t xml:space="preserve"> </w:t>
      </w:r>
      <w:r w:rsidRPr="007503B5">
        <w:rPr>
          <w:i/>
          <w:iCs/>
        </w:rPr>
        <w:t>July</w:t>
      </w:r>
      <w:r w:rsidR="006C6F09">
        <w:rPr>
          <w:i/>
          <w:iCs/>
        </w:rPr>
        <w:t xml:space="preserve"> </w:t>
      </w:r>
      <w:r w:rsidRPr="007503B5">
        <w:rPr>
          <w:i/>
          <w:iCs/>
        </w:rPr>
        <w:t>17,</w:t>
      </w:r>
      <w:r w:rsidR="006C6F09">
        <w:rPr>
          <w:i/>
          <w:iCs/>
        </w:rPr>
        <w:t xml:space="preserve"> </w:t>
      </w:r>
      <w:r w:rsidRPr="007503B5">
        <w:rPr>
          <w:i/>
          <w:iCs/>
        </w:rPr>
        <w:t>2025,</w:t>
      </w:r>
      <w:r w:rsidR="006C6F09">
        <w:rPr>
          <w:i/>
          <w:iCs/>
        </w:rPr>
        <w:t xml:space="preserve"> </w:t>
      </w:r>
      <w:r w:rsidRPr="007503B5">
        <w:rPr>
          <w:i/>
          <w:iCs/>
        </w:rPr>
        <w:t>and</w:t>
      </w:r>
      <w:r w:rsidR="006C6F09">
        <w:rPr>
          <w:i/>
          <w:iCs/>
        </w:rPr>
        <w:t xml:space="preserve"> </w:t>
      </w:r>
      <w:r w:rsidRPr="007503B5">
        <w:rPr>
          <w:i/>
          <w:iCs/>
        </w:rPr>
        <w:t>executed</w:t>
      </w:r>
      <w:r w:rsidR="006C6F09">
        <w:rPr>
          <w:i/>
          <w:iCs/>
        </w:rPr>
        <w:t xml:space="preserve"> </w:t>
      </w:r>
      <w:r w:rsidRPr="007503B5">
        <w:rPr>
          <w:i/>
          <w:iCs/>
        </w:rPr>
        <w:t>by</w:t>
      </w:r>
      <w:r w:rsidR="006C6F09">
        <w:rPr>
          <w:i/>
          <w:iCs/>
        </w:rPr>
        <w:t xml:space="preserve"> </w:t>
      </w:r>
      <w:r w:rsidRPr="007503B5">
        <w:rPr>
          <w:i/>
          <w:iCs/>
        </w:rPr>
        <w:t>FHWA</w:t>
      </w:r>
      <w:r w:rsidR="006C6F09">
        <w:rPr>
          <w:i/>
          <w:iCs/>
        </w:rPr>
        <w:t xml:space="preserve"> </w:t>
      </w:r>
      <w:r w:rsidRPr="007503B5">
        <w:rPr>
          <w:i/>
          <w:iCs/>
        </w:rPr>
        <w:t>and</w:t>
      </w:r>
      <w:r w:rsidR="006C6F09">
        <w:rPr>
          <w:i/>
          <w:iCs/>
        </w:rPr>
        <w:t xml:space="preserve"> </w:t>
      </w:r>
      <w:r w:rsidRPr="007503B5">
        <w:rPr>
          <w:i/>
          <w:iCs/>
        </w:rPr>
        <w:t>TxDOT.</w:t>
      </w:r>
    </w:p>
    <w:p w14:paraId="02320F52" w14:textId="531813DE" w:rsidR="00457754" w:rsidRDefault="00457754" w:rsidP="00457754">
      <w:r>
        <w:t>Carefully</w:t>
      </w:r>
      <w:r w:rsidR="006C6F09">
        <w:t xml:space="preserve"> </w:t>
      </w:r>
      <w:r>
        <w:t>select</w:t>
      </w:r>
      <w:r w:rsidR="006C6F09">
        <w:t xml:space="preserve"> </w:t>
      </w:r>
      <w:r>
        <w:t>the</w:t>
      </w:r>
      <w:r w:rsidR="006C6F09">
        <w:t xml:space="preserve"> </w:t>
      </w:r>
      <w:r>
        <w:t>location</w:t>
      </w:r>
      <w:r w:rsidR="006C6F09">
        <w:t xml:space="preserve"> </w:t>
      </w:r>
      <w:r>
        <w:t>of</w:t>
      </w:r>
      <w:r w:rsidR="006C6F09">
        <w:t xml:space="preserve"> </w:t>
      </w:r>
      <w:r>
        <w:t>the</w:t>
      </w:r>
      <w:r w:rsidR="006C6F09">
        <w:t xml:space="preserve"> </w:t>
      </w:r>
      <w:r>
        <w:t>in-person</w:t>
      </w:r>
      <w:r w:rsidR="006C6F09">
        <w:t xml:space="preserve"> </w:t>
      </w:r>
      <w:r>
        <w:t>option</w:t>
      </w:r>
      <w:r w:rsidR="006C6F09">
        <w:t xml:space="preserve"> </w:t>
      </w:r>
      <w:r>
        <w:t>for</w:t>
      </w:r>
      <w:r w:rsidR="006C6F09">
        <w:t xml:space="preserve"> </w:t>
      </w:r>
      <w:r>
        <w:t>proximity</w:t>
      </w:r>
      <w:r w:rsidR="006C6F09">
        <w:t xml:space="preserve"> </w:t>
      </w:r>
      <w:r>
        <w:t>to</w:t>
      </w:r>
      <w:r w:rsidR="006C6F09">
        <w:t xml:space="preserve"> </w:t>
      </w:r>
      <w:r>
        <w:t>the</w:t>
      </w:r>
      <w:r w:rsidR="006C6F09">
        <w:t xml:space="preserve"> </w:t>
      </w:r>
      <w:r>
        <w:t>proposed</w:t>
      </w:r>
      <w:r w:rsidR="006C6F09">
        <w:t xml:space="preserve"> </w:t>
      </w:r>
      <w:r>
        <w:t>project,</w:t>
      </w:r>
      <w:r w:rsidR="006C6F09">
        <w:t xml:space="preserve"> </w:t>
      </w:r>
      <w:r>
        <w:t>proximity</w:t>
      </w:r>
      <w:r w:rsidR="006C6F09">
        <w:t xml:space="preserve"> </w:t>
      </w:r>
      <w:r>
        <w:t>and</w:t>
      </w:r>
      <w:r w:rsidR="006C6F09">
        <w:t xml:space="preserve"> </w:t>
      </w:r>
      <w:r>
        <w:t>access</w:t>
      </w:r>
      <w:r w:rsidR="006C6F09">
        <w:t xml:space="preserve"> </w:t>
      </w:r>
      <w:r>
        <w:t>for</w:t>
      </w:r>
      <w:r w:rsidR="006C6F09">
        <w:t xml:space="preserve"> </w:t>
      </w:r>
      <w:r>
        <w:t>the</w:t>
      </w:r>
      <w:r w:rsidR="006C6F09">
        <w:t xml:space="preserve"> </w:t>
      </w:r>
      <w:r>
        <w:t>anticipated</w:t>
      </w:r>
      <w:r w:rsidR="006C6F09">
        <w:t xml:space="preserve"> </w:t>
      </w:r>
      <w:r>
        <w:t>audience,</w:t>
      </w:r>
      <w:r w:rsidR="006C6F09">
        <w:t xml:space="preserve"> </w:t>
      </w:r>
      <w:r>
        <w:t>appropriate</w:t>
      </w:r>
      <w:r w:rsidR="006C6F09">
        <w:t xml:space="preserve"> </w:t>
      </w:r>
      <w:r>
        <w:t>size,</w:t>
      </w:r>
      <w:r w:rsidR="006C6F09">
        <w:t xml:space="preserve"> </w:t>
      </w:r>
      <w:r>
        <w:t>effective</w:t>
      </w:r>
      <w:r w:rsidR="006C6F09">
        <w:t xml:space="preserve"> </w:t>
      </w:r>
      <w:r>
        <w:t>public</w:t>
      </w:r>
      <w:r w:rsidR="006C6F09">
        <w:t xml:space="preserve"> </w:t>
      </w:r>
      <w:r>
        <w:t>address</w:t>
      </w:r>
      <w:r w:rsidR="006C6F09">
        <w:t xml:space="preserve"> </w:t>
      </w:r>
      <w:r>
        <w:t>systems,</w:t>
      </w:r>
      <w:r w:rsidR="006C6F09">
        <w:t xml:space="preserve"> </w:t>
      </w:r>
      <w:r>
        <w:t>and</w:t>
      </w:r>
      <w:r w:rsidR="006C6F09">
        <w:t xml:space="preserve"> </w:t>
      </w:r>
      <w:r>
        <w:t>adequate</w:t>
      </w:r>
      <w:r w:rsidR="006C6F09">
        <w:t xml:space="preserve"> </w:t>
      </w:r>
      <w:r>
        <w:t>room</w:t>
      </w:r>
      <w:r w:rsidR="006C6F09">
        <w:t xml:space="preserve"> </w:t>
      </w:r>
      <w:r>
        <w:t>for</w:t>
      </w:r>
      <w:r w:rsidR="006C6F09">
        <w:t xml:space="preserve"> </w:t>
      </w:r>
      <w:r>
        <w:t>exhibits.</w:t>
      </w:r>
      <w:r w:rsidR="006C6F09">
        <w:t xml:space="preserve"> </w:t>
      </w:r>
      <w:r>
        <w:t>The</w:t>
      </w:r>
      <w:r w:rsidR="006C6F09">
        <w:t xml:space="preserve"> </w:t>
      </w:r>
      <w:r>
        <w:t>location</w:t>
      </w:r>
      <w:r w:rsidR="006C6F09">
        <w:t xml:space="preserve"> </w:t>
      </w:r>
      <w:r>
        <w:t>also</w:t>
      </w:r>
      <w:r w:rsidR="006C6F09">
        <w:t xml:space="preserve"> </w:t>
      </w:r>
      <w:r>
        <w:t>must</w:t>
      </w:r>
      <w:r w:rsidR="006C6F09">
        <w:t xml:space="preserve"> </w:t>
      </w:r>
      <w:r>
        <w:t>have</w:t>
      </w:r>
      <w:r w:rsidR="006C6F09">
        <w:t xml:space="preserve"> </w:t>
      </w:r>
      <w:r>
        <w:t>adequate</w:t>
      </w:r>
      <w:r w:rsidR="006C6F09">
        <w:t xml:space="preserve"> </w:t>
      </w:r>
      <w:r>
        <w:t>public</w:t>
      </w:r>
      <w:r w:rsidR="006C6F09">
        <w:t xml:space="preserve"> </w:t>
      </w:r>
      <w:r>
        <w:t>parking,</w:t>
      </w:r>
      <w:r w:rsidR="006C6F09">
        <w:t xml:space="preserve"> </w:t>
      </w:r>
      <w:r>
        <w:t>have</w:t>
      </w:r>
      <w:r w:rsidR="006C6F09">
        <w:t xml:space="preserve"> </w:t>
      </w:r>
      <w:r>
        <w:t>accessible</w:t>
      </w:r>
      <w:r w:rsidR="006C6F09">
        <w:t xml:space="preserve"> </w:t>
      </w:r>
      <w:r>
        <w:t>entries,</w:t>
      </w:r>
      <w:r w:rsidR="006C6F09">
        <w:t xml:space="preserve"> </w:t>
      </w:r>
      <w:r>
        <w:t>and</w:t>
      </w:r>
      <w:r w:rsidR="006C6F09">
        <w:t xml:space="preserve"> </w:t>
      </w:r>
      <w:r>
        <w:t>comply</w:t>
      </w:r>
      <w:r w:rsidR="006C6F09">
        <w:t xml:space="preserve"> </w:t>
      </w:r>
      <w:r>
        <w:t>with</w:t>
      </w:r>
      <w:r w:rsidR="006C6F09">
        <w:t xml:space="preserve"> </w:t>
      </w:r>
      <w:r>
        <w:t>the</w:t>
      </w:r>
      <w:r w:rsidR="006C6F09">
        <w:t xml:space="preserve"> </w:t>
      </w:r>
      <w:r>
        <w:t>Americans</w:t>
      </w:r>
      <w:r w:rsidR="006C6F09">
        <w:t xml:space="preserve"> </w:t>
      </w:r>
      <w:r>
        <w:t>with</w:t>
      </w:r>
      <w:r w:rsidR="006C6F09">
        <w:t xml:space="preserve"> </w:t>
      </w:r>
      <w:r>
        <w:t>Disabilities</w:t>
      </w:r>
      <w:r w:rsidR="006C6F09">
        <w:t xml:space="preserve"> </w:t>
      </w:r>
      <w:r>
        <w:t>Act.</w:t>
      </w:r>
      <w:r w:rsidR="006C6F09">
        <w:t xml:space="preserve"> </w:t>
      </w:r>
      <w:r>
        <w:t>Public</w:t>
      </w:r>
      <w:r w:rsidR="006C6F09">
        <w:t xml:space="preserve"> </w:t>
      </w:r>
      <w:r>
        <w:t>schools</w:t>
      </w:r>
      <w:r w:rsidR="006C6F09">
        <w:t xml:space="preserve"> </w:t>
      </w:r>
      <w:r>
        <w:t>and</w:t>
      </w:r>
      <w:r w:rsidR="006C6F09">
        <w:t xml:space="preserve"> </w:t>
      </w:r>
      <w:r>
        <w:t>civic</w:t>
      </w:r>
      <w:r w:rsidR="006C6F09">
        <w:t xml:space="preserve"> </w:t>
      </w:r>
      <w:r>
        <w:t>auditoriums</w:t>
      </w:r>
      <w:r w:rsidR="006C6F09">
        <w:t xml:space="preserve"> </w:t>
      </w:r>
      <w:r>
        <w:t>are</w:t>
      </w:r>
      <w:r w:rsidR="006C6F09">
        <w:t xml:space="preserve"> </w:t>
      </w:r>
      <w:r>
        <w:t>often</w:t>
      </w:r>
      <w:r w:rsidR="006C6F09">
        <w:t xml:space="preserve"> </w:t>
      </w:r>
      <w:r>
        <w:t>good</w:t>
      </w:r>
      <w:r w:rsidR="006C6F09">
        <w:t xml:space="preserve"> </w:t>
      </w:r>
      <w:r>
        <w:t>locations</w:t>
      </w:r>
      <w:r w:rsidR="006C6F09">
        <w:t xml:space="preserve"> </w:t>
      </w:r>
      <w:r>
        <w:t>for</w:t>
      </w:r>
      <w:r w:rsidR="006C6F09">
        <w:t xml:space="preserve"> </w:t>
      </w:r>
      <w:r>
        <w:t>hearings.</w:t>
      </w:r>
    </w:p>
    <w:p w14:paraId="5582658D" w14:textId="4A3F10B5" w:rsidR="00457754" w:rsidRDefault="00457754" w:rsidP="00457754">
      <w:r>
        <w:t>If</w:t>
      </w:r>
      <w:r w:rsidR="006C6F09">
        <w:t xml:space="preserve"> </w:t>
      </w:r>
      <w:r>
        <w:t>a</w:t>
      </w:r>
      <w:r w:rsidR="006C6F09">
        <w:t xml:space="preserve"> </w:t>
      </w:r>
      <w:r>
        <w:t>sign-in</w:t>
      </w:r>
      <w:r w:rsidR="006C6F09">
        <w:t xml:space="preserve"> </w:t>
      </w:r>
      <w:r>
        <w:t>sheet</w:t>
      </w:r>
      <w:r w:rsidR="006C6F09">
        <w:t xml:space="preserve"> </w:t>
      </w:r>
      <w:r>
        <w:t>is</w:t>
      </w:r>
      <w:r w:rsidR="006C6F09">
        <w:t xml:space="preserve"> </w:t>
      </w:r>
      <w:r>
        <w:t>used,</w:t>
      </w:r>
      <w:r w:rsidR="006C6F09">
        <w:t xml:space="preserve"> </w:t>
      </w:r>
      <w:r>
        <w:t>attendees’</w:t>
      </w:r>
      <w:r w:rsidR="006C6F09">
        <w:t xml:space="preserve"> </w:t>
      </w:r>
      <w:r>
        <w:t>email</w:t>
      </w:r>
      <w:r w:rsidR="006C6F09">
        <w:t xml:space="preserve"> </w:t>
      </w:r>
      <w:r>
        <w:t>addresses</w:t>
      </w:r>
      <w:r w:rsidR="006C6F09">
        <w:t xml:space="preserve"> </w:t>
      </w:r>
      <w:r>
        <w:t>should</w:t>
      </w:r>
      <w:r w:rsidR="006C6F09">
        <w:t xml:space="preserve"> </w:t>
      </w:r>
      <w:r>
        <w:t>generally</w:t>
      </w:r>
      <w:r w:rsidR="006C6F09">
        <w:t xml:space="preserve"> </w:t>
      </w:r>
      <w:r>
        <w:t>not</w:t>
      </w:r>
      <w:r w:rsidR="006C6F09">
        <w:t xml:space="preserve"> </w:t>
      </w:r>
      <w:r>
        <w:t>be</w:t>
      </w:r>
      <w:r w:rsidR="006C6F09">
        <w:t xml:space="preserve"> </w:t>
      </w:r>
      <w:r>
        <w:t>collected.</w:t>
      </w:r>
      <w:r w:rsidR="006C6F09">
        <w:t xml:space="preserve"> </w:t>
      </w:r>
      <w:r>
        <w:t>However,</w:t>
      </w:r>
      <w:r w:rsidR="006C6F09">
        <w:t xml:space="preserve"> </w:t>
      </w:r>
      <w:r>
        <w:t>if</w:t>
      </w:r>
      <w:r w:rsidR="006C6F09">
        <w:t xml:space="preserve"> </w:t>
      </w:r>
      <w:r>
        <w:t>the</w:t>
      </w:r>
      <w:r w:rsidR="006C6F09">
        <w:t xml:space="preserve"> </w:t>
      </w:r>
      <w:r>
        <w:t>district,</w:t>
      </w:r>
      <w:r w:rsidR="006C6F09">
        <w:t xml:space="preserve"> </w:t>
      </w:r>
      <w:r>
        <w:t>or</w:t>
      </w:r>
      <w:r w:rsidR="006C6F09">
        <w:t xml:space="preserve"> </w:t>
      </w:r>
      <w:r>
        <w:t>the</w:t>
      </w:r>
      <w:r w:rsidR="006C6F09">
        <w:t xml:space="preserve"> </w:t>
      </w:r>
      <w:r>
        <w:t>core</w:t>
      </w:r>
      <w:r w:rsidR="006C6F09">
        <w:t xml:space="preserve"> </w:t>
      </w:r>
      <w:r>
        <w:t>team</w:t>
      </w:r>
      <w:r w:rsidR="006C6F09">
        <w:t xml:space="preserve"> </w:t>
      </w:r>
      <w:r>
        <w:t>in</w:t>
      </w:r>
      <w:r w:rsidR="006C6F09">
        <w:t xml:space="preserve"> </w:t>
      </w:r>
      <w:r>
        <w:t>the</w:t>
      </w:r>
      <w:r w:rsidR="006C6F09">
        <w:t xml:space="preserve"> </w:t>
      </w:r>
      <w:r>
        <w:t>case</w:t>
      </w:r>
      <w:r w:rsidR="006C6F09">
        <w:t xml:space="preserve"> </w:t>
      </w:r>
      <w:r>
        <w:t>of</w:t>
      </w:r>
      <w:r w:rsidR="006C6F09">
        <w:t xml:space="preserve"> </w:t>
      </w:r>
      <w:r>
        <w:t>an</w:t>
      </w:r>
      <w:r w:rsidR="006C6F09">
        <w:t xml:space="preserve"> </w:t>
      </w:r>
      <w:r>
        <w:t>EA</w:t>
      </w:r>
      <w:r w:rsidR="006C6F09">
        <w:t xml:space="preserve"> </w:t>
      </w:r>
      <w:r>
        <w:t>or</w:t>
      </w:r>
      <w:r w:rsidR="006C6F09">
        <w:t xml:space="preserve"> </w:t>
      </w:r>
      <w:r>
        <w:t>EIS,</w:t>
      </w:r>
      <w:r w:rsidR="006C6F09">
        <w:t xml:space="preserve"> </w:t>
      </w:r>
      <w:r>
        <w:t>determine</w:t>
      </w:r>
      <w:r w:rsidR="006C6F09">
        <w:t xml:space="preserve"> </w:t>
      </w:r>
      <w:r>
        <w:t>during</w:t>
      </w:r>
      <w:r w:rsidR="006C6F09">
        <w:t xml:space="preserve"> </w:t>
      </w:r>
      <w:r>
        <w:t>scoping</w:t>
      </w:r>
      <w:r w:rsidR="006C6F09">
        <w:t xml:space="preserve"> </w:t>
      </w:r>
      <w:r>
        <w:t>that</w:t>
      </w:r>
      <w:r w:rsidR="006C6F09">
        <w:t xml:space="preserve"> </w:t>
      </w:r>
      <w:r>
        <w:t>there</w:t>
      </w:r>
      <w:r w:rsidR="006C6F09">
        <w:t xml:space="preserve"> </w:t>
      </w:r>
      <w:r>
        <w:t>is</w:t>
      </w:r>
      <w:r w:rsidR="006C6F09">
        <w:t xml:space="preserve"> </w:t>
      </w:r>
      <w:r>
        <w:t>a</w:t>
      </w:r>
      <w:r w:rsidR="006C6F09">
        <w:t xml:space="preserve"> </w:t>
      </w:r>
      <w:r>
        <w:t>valid</w:t>
      </w:r>
      <w:r w:rsidR="006C6F09">
        <w:t xml:space="preserve"> </w:t>
      </w:r>
      <w:r>
        <w:t>reason</w:t>
      </w:r>
      <w:r w:rsidR="006C6F09">
        <w:t xml:space="preserve"> </w:t>
      </w:r>
      <w:r>
        <w:t>for</w:t>
      </w:r>
      <w:r w:rsidR="006C6F09">
        <w:t xml:space="preserve"> </w:t>
      </w:r>
      <w:r>
        <w:t>collecting</w:t>
      </w:r>
      <w:r w:rsidR="006C6F09">
        <w:t xml:space="preserve"> </w:t>
      </w:r>
      <w:r>
        <w:t>attendees’</w:t>
      </w:r>
      <w:r w:rsidR="006C6F09">
        <w:t xml:space="preserve"> </w:t>
      </w:r>
      <w:r>
        <w:t>email</w:t>
      </w:r>
      <w:r w:rsidR="006C6F09">
        <w:t xml:space="preserve"> </w:t>
      </w:r>
      <w:r>
        <w:t>addresses</w:t>
      </w:r>
      <w:r w:rsidR="006C6F09">
        <w:t xml:space="preserve"> </w:t>
      </w:r>
      <w:r>
        <w:t>on</w:t>
      </w:r>
      <w:r w:rsidR="006C6F09">
        <w:t xml:space="preserve"> </w:t>
      </w:r>
      <w:r>
        <w:t>the</w:t>
      </w:r>
      <w:r w:rsidR="006C6F09">
        <w:t xml:space="preserve"> </w:t>
      </w:r>
      <w:r>
        <w:t>sign-in</w:t>
      </w:r>
      <w:r w:rsidR="006C6F09">
        <w:t xml:space="preserve"> </w:t>
      </w:r>
      <w:r>
        <w:t>sheet</w:t>
      </w:r>
      <w:r w:rsidR="006C6F09">
        <w:t xml:space="preserve"> </w:t>
      </w:r>
      <w:r>
        <w:t>(for</w:t>
      </w:r>
      <w:r w:rsidR="006C6F09">
        <w:t xml:space="preserve"> </w:t>
      </w:r>
      <w:r>
        <w:t>example,</w:t>
      </w:r>
      <w:r w:rsidR="006C6F09">
        <w:t xml:space="preserve"> </w:t>
      </w:r>
      <w:r>
        <w:t>to</w:t>
      </w:r>
      <w:r w:rsidR="006C6F09">
        <w:t xml:space="preserve"> </w:t>
      </w:r>
      <w:r>
        <w:t>provide</w:t>
      </w:r>
      <w:r w:rsidR="006C6F09">
        <w:t xml:space="preserve"> </w:t>
      </w:r>
      <w:r>
        <w:t>project</w:t>
      </w:r>
      <w:r w:rsidR="006C6F09">
        <w:t xml:space="preserve"> </w:t>
      </w:r>
      <w:r>
        <w:t>updates,</w:t>
      </w:r>
      <w:r w:rsidR="006C6F09">
        <w:t xml:space="preserve"> </w:t>
      </w:r>
      <w:r>
        <w:t>newsletters,</w:t>
      </w:r>
      <w:r w:rsidR="006C6F09">
        <w:t xml:space="preserve"> </w:t>
      </w:r>
      <w:r>
        <w:t>or</w:t>
      </w:r>
      <w:r w:rsidR="006C6F09">
        <w:t xml:space="preserve"> </w:t>
      </w:r>
      <w:r>
        <w:t>other</w:t>
      </w:r>
      <w:r w:rsidR="006C6F09">
        <w:t xml:space="preserve"> </w:t>
      </w:r>
      <w:r>
        <w:t>information</w:t>
      </w:r>
      <w:r w:rsidR="006C6F09">
        <w:t xml:space="preserve"> </w:t>
      </w:r>
      <w:r>
        <w:t>about</w:t>
      </w:r>
      <w:r w:rsidR="006C6F09">
        <w:t xml:space="preserve"> </w:t>
      </w:r>
      <w:r>
        <w:t>the</w:t>
      </w:r>
      <w:r w:rsidR="006C6F09">
        <w:t xml:space="preserve"> </w:t>
      </w:r>
      <w:r>
        <w:t>project</w:t>
      </w:r>
      <w:r w:rsidR="006C6F09">
        <w:t xml:space="preserve"> </w:t>
      </w:r>
      <w:r>
        <w:t>by</w:t>
      </w:r>
      <w:r w:rsidR="006C6F09">
        <w:t xml:space="preserve"> </w:t>
      </w:r>
      <w:r>
        <w:t>email),</w:t>
      </w:r>
      <w:r w:rsidR="006C6F09">
        <w:t xml:space="preserve"> </w:t>
      </w:r>
      <w:r>
        <w:t>then</w:t>
      </w:r>
      <w:r w:rsidR="006C6F09">
        <w:t xml:space="preserve"> </w:t>
      </w:r>
      <w:r>
        <w:t>any</w:t>
      </w:r>
      <w:r w:rsidR="006C6F09">
        <w:t xml:space="preserve"> </w:t>
      </w:r>
      <w:r>
        <w:t>email</w:t>
      </w:r>
      <w:r w:rsidR="006C6F09">
        <w:t xml:space="preserve"> </w:t>
      </w:r>
      <w:r>
        <w:t>addresses</w:t>
      </w:r>
      <w:r w:rsidR="006C6F09">
        <w:t xml:space="preserve"> </w:t>
      </w:r>
      <w:r>
        <w:t>provided</w:t>
      </w:r>
      <w:r w:rsidR="006C6F09">
        <w:t xml:space="preserve"> </w:t>
      </w:r>
      <w:r>
        <w:t>by</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must</w:t>
      </w:r>
      <w:r w:rsidR="006C6F09">
        <w:t xml:space="preserve"> </w:t>
      </w:r>
      <w:r>
        <w:t>be</w:t>
      </w:r>
      <w:r w:rsidR="006C6F09">
        <w:t xml:space="preserve"> </w:t>
      </w:r>
      <w:r>
        <w:t>redacted</w:t>
      </w:r>
      <w:r w:rsidR="006C6F09">
        <w:t xml:space="preserve"> </w:t>
      </w:r>
      <w:r>
        <w:t>from</w:t>
      </w:r>
      <w:r w:rsidR="006C6F09">
        <w:t xml:space="preserve"> </w:t>
      </w:r>
      <w:r>
        <w:t>any</w:t>
      </w:r>
      <w:r w:rsidR="006C6F09">
        <w:t xml:space="preserve"> </w:t>
      </w:r>
      <w:r>
        <w:t>publicly</w:t>
      </w:r>
      <w:r w:rsidR="006C6F09">
        <w:t xml:space="preserve"> </w:t>
      </w:r>
      <w:r>
        <w:t>available</w:t>
      </w:r>
      <w:r w:rsidR="006C6F09">
        <w:t xml:space="preserve"> </w:t>
      </w:r>
      <w:r>
        <w:t>documents</w:t>
      </w:r>
      <w:r w:rsidR="006C6F09">
        <w:t xml:space="preserve"> </w:t>
      </w:r>
      <w:r>
        <w:t>and</w:t>
      </w:r>
      <w:r w:rsidR="006C6F09">
        <w:t xml:space="preserve"> </w:t>
      </w:r>
      <w:r>
        <w:t>withheld</w:t>
      </w:r>
      <w:r w:rsidR="006C6F09">
        <w:t xml:space="preserve"> </w:t>
      </w:r>
      <w:r>
        <w:t>from</w:t>
      </w:r>
      <w:r w:rsidR="006C6F09">
        <w:t xml:space="preserve"> </w:t>
      </w:r>
      <w:r>
        <w:t>public</w:t>
      </w:r>
      <w:r w:rsidR="006C6F09">
        <w:t xml:space="preserve"> </w:t>
      </w:r>
      <w:r>
        <w:t>disclosure</w:t>
      </w:r>
      <w:r w:rsidR="006C6F09">
        <w:t xml:space="preserve"> </w:t>
      </w:r>
      <w:r>
        <w:t>in</w:t>
      </w:r>
      <w:r w:rsidR="006C6F09">
        <w:t xml:space="preserve"> </w:t>
      </w:r>
      <w:r>
        <w:t>accordance</w:t>
      </w:r>
      <w:r w:rsidR="006C6F09">
        <w:t xml:space="preserve"> </w:t>
      </w:r>
      <w:r>
        <w:t>with</w:t>
      </w:r>
      <w:r w:rsidR="006C6F09">
        <w:t xml:space="preserve"> </w:t>
      </w:r>
      <w:r w:rsidRPr="004B085E">
        <w:t>Texas</w:t>
      </w:r>
      <w:r w:rsidR="006C6F09">
        <w:t xml:space="preserve"> </w:t>
      </w:r>
      <w:r w:rsidRPr="004B085E">
        <w:t>Government</w:t>
      </w:r>
      <w:r w:rsidR="006C6F09">
        <w:t xml:space="preserve"> </w:t>
      </w:r>
      <w:r w:rsidRPr="004B085E">
        <w:t>Code</w:t>
      </w:r>
      <w:r w:rsidR="006C6F09">
        <w:rPr>
          <w:i/>
          <w:iCs/>
        </w:rPr>
        <w:t xml:space="preserve"> </w:t>
      </w:r>
      <w:r>
        <w:t>552.137(a)</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rsidRPr="00263E76">
        <w:t>Texas</w:t>
      </w:r>
      <w:r w:rsidR="006C6F09">
        <w:t xml:space="preserve"> </w:t>
      </w:r>
      <w:r w:rsidRPr="00263E76">
        <w:t>Attorney</w:t>
      </w:r>
      <w:r w:rsidR="006C6F09">
        <w:t xml:space="preserve"> </w:t>
      </w:r>
      <w:r w:rsidRPr="00263E76">
        <w:t>General’s</w:t>
      </w:r>
      <w:r w:rsidR="006C6F09">
        <w:t xml:space="preserve"> </w:t>
      </w:r>
      <w:r w:rsidRPr="00263E76">
        <w:t>2020</w:t>
      </w:r>
      <w:r w:rsidR="006C6F09">
        <w:t xml:space="preserve"> </w:t>
      </w:r>
      <w:r w:rsidRPr="00263E76">
        <w:t>Public</w:t>
      </w:r>
      <w:r w:rsidR="006C6F09">
        <w:t xml:space="preserve"> </w:t>
      </w:r>
      <w:r w:rsidRPr="00263E76">
        <w:t>Information</w:t>
      </w:r>
      <w:r w:rsidR="006C6F09">
        <w:t xml:space="preserve"> </w:t>
      </w:r>
      <w:r w:rsidRPr="00263E76">
        <w:t>Act</w:t>
      </w:r>
      <w:r w:rsidR="006C6F09">
        <w:t xml:space="preserve"> </w:t>
      </w:r>
      <w:r w:rsidRPr="00263E76">
        <w:t>Handbook</w:t>
      </w:r>
      <w:r w:rsidR="006C6F09">
        <w:t xml:space="preserve"> </w:t>
      </w:r>
      <w:r>
        <w:t>at</w:t>
      </w:r>
      <w:r w:rsidR="006C6F09">
        <w:t xml:space="preserve"> </w:t>
      </w:r>
      <w:r>
        <w:t>pages</w:t>
      </w:r>
      <w:r w:rsidR="006C6F09">
        <w:t xml:space="preserve"> </w:t>
      </w:r>
      <w:r>
        <w:t>161-162).</w:t>
      </w:r>
      <w:r w:rsidR="006C6F09">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lastRenderedPageBreak/>
        <w:t>to</w:t>
      </w:r>
      <w:r w:rsidR="006C6F09">
        <w:t xml:space="preserve"> </w:t>
      </w:r>
      <w:r>
        <w:t>redact</w:t>
      </w:r>
      <w:r w:rsidR="006C6F09">
        <w:t xml:space="preserve"> </w:t>
      </w:r>
      <w:r>
        <w:t>physical</w:t>
      </w:r>
      <w:r w:rsidR="006C6F09">
        <w:t xml:space="preserve"> </w:t>
      </w:r>
      <w:r>
        <w:t>addresses.</w:t>
      </w:r>
      <w:r w:rsidR="006C6F09">
        <w:t xml:space="preserve"> </w:t>
      </w:r>
      <w:proofErr w:type="gramStart"/>
      <w:r>
        <w:t>Redaction</w:t>
      </w:r>
      <w:proofErr w:type="gramEnd"/>
      <w:r w:rsidR="006C6F09">
        <w:t xml:space="preserve"> </w:t>
      </w:r>
      <w:r>
        <w:t>of</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done</w:t>
      </w:r>
      <w:r w:rsidR="006C6F09">
        <w:t xml:space="preserve"> </w:t>
      </w:r>
      <w:r>
        <w:t>on</w:t>
      </w:r>
      <w:r w:rsidR="006C6F09">
        <w:t xml:space="preserve"> </w:t>
      </w:r>
      <w:r>
        <w:t>a</w:t>
      </w:r>
      <w:r w:rsidR="006C6F09">
        <w:t xml:space="preserve"> </w:t>
      </w:r>
      <w:r>
        <w:t>discretionary</w:t>
      </w:r>
      <w:r w:rsidR="006C6F09">
        <w:t xml:space="preserve"> </w:t>
      </w:r>
      <w:r>
        <w:t>basis.</w:t>
      </w:r>
      <w:r w:rsidR="006C6F09">
        <w:t xml:space="preserve"> </w:t>
      </w:r>
    </w:p>
    <w:p w14:paraId="067EA4E0" w14:textId="57C216E8" w:rsidR="00457754" w:rsidRDefault="00457754" w:rsidP="00457754">
      <w:r>
        <w:t>When</w:t>
      </w:r>
      <w:r w:rsidR="006C6F09">
        <w:t xml:space="preserve"> </w:t>
      </w:r>
      <w:r>
        <w:t>a</w:t>
      </w:r>
      <w:r w:rsidR="006C6F09">
        <w:t xml:space="preserve"> </w:t>
      </w:r>
      <w:r>
        <w:t>hearing</w:t>
      </w:r>
      <w:r w:rsidR="006C6F09">
        <w:t xml:space="preserve"> </w:t>
      </w:r>
      <w:r>
        <w:t>is</w:t>
      </w:r>
      <w:r w:rsidR="006C6F09">
        <w:t xml:space="preserve"> </w:t>
      </w:r>
      <w:r>
        <w:t>conducted</w:t>
      </w:r>
      <w:r w:rsidR="006C6F09">
        <w:t xml:space="preserve"> </w:t>
      </w:r>
      <w:r>
        <w:t>for</w:t>
      </w:r>
      <w:r w:rsidR="006C6F09">
        <w:t xml:space="preserve"> </w:t>
      </w:r>
      <w:r>
        <w:t>an</w:t>
      </w:r>
      <w:r w:rsidR="006C6F09">
        <w:t xml:space="preserve"> </w:t>
      </w:r>
      <w:r>
        <w:t>environmental</w:t>
      </w:r>
      <w:r w:rsidR="006C6F09">
        <w:t xml:space="preserve"> </w:t>
      </w:r>
      <w:r>
        <w:t>assessment</w:t>
      </w:r>
      <w:r w:rsidR="006C6F09">
        <w:t xml:space="preserve"> </w:t>
      </w:r>
      <w:r>
        <w:t>or</w:t>
      </w:r>
      <w:r w:rsidR="006C6F09">
        <w:t xml:space="preserve"> </w:t>
      </w:r>
      <w:r>
        <w:t>environmental</w:t>
      </w:r>
      <w:r w:rsidR="006C6F09">
        <w:t xml:space="preserve"> </w:t>
      </w:r>
      <w:r>
        <w:t>impact</w:t>
      </w:r>
      <w:r w:rsidR="006C6F09">
        <w:t xml:space="preserve"> </w:t>
      </w:r>
      <w:r>
        <w:t>statement</w:t>
      </w:r>
      <w:r w:rsidR="006C6F09">
        <w:t xml:space="preserve"> </w:t>
      </w:r>
      <w:r>
        <w:t>a</w:t>
      </w:r>
      <w:r w:rsidR="006C6F09">
        <w:t xml:space="preserve"> </w:t>
      </w:r>
      <w:r>
        <w:t>copy</w:t>
      </w:r>
      <w:r w:rsidR="006C6F09">
        <w:t xml:space="preserve"> </w:t>
      </w:r>
      <w:r>
        <w:t>of</w:t>
      </w:r>
      <w:r w:rsidR="006C6F09">
        <w:t xml:space="preserve"> </w:t>
      </w:r>
      <w:r>
        <w:t>the</w:t>
      </w:r>
      <w:r w:rsidR="006C6F09">
        <w:t xml:space="preserve"> </w:t>
      </w:r>
      <w:r>
        <w:t>Draft</w:t>
      </w:r>
      <w:r w:rsidR="006C6F09">
        <w:t xml:space="preserve"> </w:t>
      </w:r>
      <w:r>
        <w:t>EA</w:t>
      </w:r>
      <w:r w:rsidR="006C6F09">
        <w:t xml:space="preserve"> </w:t>
      </w:r>
      <w:r>
        <w:t>or</w:t>
      </w:r>
      <w:r w:rsidR="006C6F09">
        <w:t xml:space="preserve"> </w:t>
      </w:r>
      <w:r>
        <w:t>Draft</w:t>
      </w:r>
      <w:r w:rsidR="006C6F09">
        <w:t xml:space="preserve"> </w:t>
      </w:r>
      <w:r>
        <w:t>EIS</w:t>
      </w:r>
      <w:r w:rsidR="006C6F09">
        <w:t xml:space="preserve"> </w:t>
      </w:r>
      <w:r>
        <w:t>and</w:t>
      </w:r>
      <w:r w:rsidR="006C6F09">
        <w:t xml:space="preserve"> </w:t>
      </w:r>
      <w:r>
        <w:t>any</w:t>
      </w:r>
      <w:r w:rsidR="006C6F09">
        <w:t xml:space="preserve"> </w:t>
      </w:r>
      <w:r>
        <w:t>technical</w:t>
      </w:r>
      <w:r w:rsidR="006C6F09">
        <w:t xml:space="preserve"> </w:t>
      </w:r>
      <w:r>
        <w:t>reports</w:t>
      </w:r>
      <w:r w:rsidR="006C6F09">
        <w:t xml:space="preserve"> </w:t>
      </w:r>
      <w:r>
        <w:t>must</w:t>
      </w:r>
      <w:r w:rsidR="006C6F09">
        <w:t xml:space="preserve"> </w:t>
      </w:r>
      <w:r>
        <w:t>be</w:t>
      </w:r>
      <w:r w:rsidR="006C6F09">
        <w:t xml:space="preserve"> </w:t>
      </w:r>
      <w:r>
        <w:t>made</w:t>
      </w:r>
      <w:r w:rsidR="006C6F09">
        <w:t xml:space="preserve"> </w:t>
      </w:r>
      <w:r>
        <w:t>available</w:t>
      </w:r>
      <w:r w:rsidR="006C6F09">
        <w:t xml:space="preserve"> </w:t>
      </w:r>
      <w:r>
        <w:t>at</w:t>
      </w:r>
      <w:r w:rsidR="006C6F09">
        <w:t xml:space="preserve"> </w:t>
      </w:r>
      <w:r>
        <w:t>the</w:t>
      </w:r>
      <w:r w:rsidR="006C6F09">
        <w:t xml:space="preserve"> </w:t>
      </w:r>
      <w:r>
        <w:t>in-person</w:t>
      </w:r>
      <w:r w:rsidR="006C6F09">
        <w:t xml:space="preserve"> </w:t>
      </w:r>
      <w:r>
        <w:t>option.</w:t>
      </w:r>
      <w:r w:rsidR="006C6F09">
        <w:t xml:space="preserve"> </w:t>
      </w:r>
      <w:r>
        <w:t>For</w:t>
      </w:r>
      <w:r w:rsidR="006C6F09">
        <w:t xml:space="preserve"> </w:t>
      </w:r>
      <w:r>
        <w:t>categorical</w:t>
      </w:r>
      <w:r w:rsidR="006C6F09">
        <w:t xml:space="preserve"> </w:t>
      </w:r>
      <w:r>
        <w:t>exclusion</w:t>
      </w:r>
      <w:r w:rsidR="006C6F09">
        <w:t xml:space="preserve"> </w:t>
      </w:r>
      <w:r>
        <w:t>(CE)</w:t>
      </w:r>
      <w:r w:rsidR="006C6F09">
        <w:t xml:space="preserve"> </w:t>
      </w:r>
      <w:r>
        <w:t>projects,</w:t>
      </w:r>
      <w:r w:rsidR="006C6F09">
        <w:t xml:space="preserve"> </w:t>
      </w:r>
      <w:r>
        <w:t>a</w:t>
      </w:r>
      <w:r w:rsidR="006C6F09">
        <w:t xml:space="preserve"> </w:t>
      </w:r>
      <w:r>
        <w:t>copy</w:t>
      </w:r>
      <w:r w:rsidR="006C6F09">
        <w:t xml:space="preserve"> </w:t>
      </w:r>
      <w:r>
        <w:t>of</w:t>
      </w:r>
      <w:r w:rsidR="006C6F09">
        <w:t xml:space="preserve"> </w:t>
      </w:r>
      <w:r>
        <w:t>any</w:t>
      </w:r>
      <w:r w:rsidR="006C6F09">
        <w:t xml:space="preserve"> </w:t>
      </w:r>
      <w:r>
        <w:t>approved</w:t>
      </w:r>
      <w:r w:rsidR="006C6F09">
        <w:t xml:space="preserve"> </w:t>
      </w:r>
      <w:r>
        <w:t>technical</w:t>
      </w:r>
      <w:r w:rsidR="006C6F09">
        <w:t xml:space="preserve"> </w:t>
      </w:r>
      <w:r>
        <w:t>reports</w:t>
      </w:r>
      <w:r w:rsidR="006C6F09">
        <w:t xml:space="preserve"> </w:t>
      </w:r>
      <w:r>
        <w:t>completed</w:t>
      </w:r>
      <w:r w:rsidR="006C6F09">
        <w:t xml:space="preserve"> </w:t>
      </w:r>
      <w:r>
        <w:t>for</w:t>
      </w:r>
      <w:r w:rsidR="006C6F09">
        <w:t xml:space="preserve"> </w:t>
      </w:r>
      <w:r>
        <w:t>the</w:t>
      </w:r>
      <w:r w:rsidR="006C6F09">
        <w:t xml:space="preserve"> </w:t>
      </w:r>
      <w:r>
        <w:t>project</w:t>
      </w:r>
      <w:r w:rsidR="006C6F09">
        <w:t xml:space="preserve"> </w:t>
      </w:r>
      <w:r>
        <w:t>must</w:t>
      </w:r>
      <w:r w:rsidR="006C6F09">
        <w:t xml:space="preserve"> </w:t>
      </w:r>
      <w:r>
        <w:t>be</w:t>
      </w:r>
      <w:r w:rsidR="006C6F09">
        <w:t xml:space="preserve"> </w:t>
      </w:r>
      <w:r>
        <w:t>made</w:t>
      </w:r>
      <w:r w:rsidR="006C6F09">
        <w:t xml:space="preserve"> </w:t>
      </w:r>
      <w:r>
        <w:t>available</w:t>
      </w:r>
      <w:r w:rsidR="006C6F09">
        <w:t xml:space="preserve"> </w:t>
      </w:r>
      <w:r>
        <w:t>at</w:t>
      </w:r>
      <w:r w:rsidR="006C6F09">
        <w:t xml:space="preserve"> </w:t>
      </w:r>
      <w:r>
        <w:t>the</w:t>
      </w:r>
      <w:r w:rsidR="006C6F09">
        <w:t xml:space="preserve"> </w:t>
      </w:r>
      <w:r>
        <w:t>in-person</w:t>
      </w:r>
      <w:r w:rsidR="006C6F09">
        <w:t xml:space="preserve"> </w:t>
      </w:r>
      <w:r>
        <w:t>option.</w:t>
      </w:r>
      <w:r w:rsidR="006C6F09">
        <w:t xml:space="preserve"> </w:t>
      </w:r>
      <w:r>
        <w:t>In</w:t>
      </w:r>
      <w:r w:rsidR="006C6F09">
        <w:t xml:space="preserve"> </w:t>
      </w:r>
      <w:r>
        <w:t>addition,</w:t>
      </w:r>
      <w:r w:rsidR="006C6F09">
        <w:t xml:space="preserve"> </w:t>
      </w:r>
      <w:r>
        <w:t>maps</w:t>
      </w:r>
      <w:r w:rsidR="006C6F09">
        <w:t xml:space="preserve"> </w:t>
      </w:r>
      <w:r>
        <w:t>showing</w:t>
      </w:r>
      <w:r w:rsidR="006C6F09">
        <w:t xml:space="preserve"> </w:t>
      </w:r>
      <w:r>
        <w:t>the</w:t>
      </w:r>
      <w:r w:rsidR="006C6F09">
        <w:t xml:space="preserve"> </w:t>
      </w:r>
      <w:r>
        <w:t>project</w:t>
      </w:r>
      <w:r w:rsidR="006C6F09">
        <w:t xml:space="preserve"> </w:t>
      </w:r>
      <w:r>
        <w:t>location</w:t>
      </w:r>
      <w:r w:rsidR="006C6F09">
        <w:t xml:space="preserve"> </w:t>
      </w:r>
      <w:r>
        <w:t>and</w:t>
      </w:r>
      <w:r w:rsidR="006C6F09">
        <w:t xml:space="preserve"> </w:t>
      </w:r>
      <w:r>
        <w:t>design,</w:t>
      </w:r>
      <w:r w:rsidR="006C6F09">
        <w:t xml:space="preserve"> </w:t>
      </w:r>
      <w:r>
        <w:t>schematics</w:t>
      </w:r>
      <w:r w:rsidR="006C6F09">
        <w:t xml:space="preserve"> </w:t>
      </w:r>
      <w:r>
        <w:t>and</w:t>
      </w:r>
      <w:r w:rsidR="006C6F09">
        <w:t xml:space="preserve"> </w:t>
      </w:r>
      <w:r>
        <w:t>tentative</w:t>
      </w:r>
      <w:r w:rsidR="006C6F09">
        <w:t xml:space="preserve"> </w:t>
      </w:r>
      <w:r>
        <w:t>construction</w:t>
      </w:r>
      <w:r w:rsidR="006C6F09">
        <w:t xml:space="preserve"> </w:t>
      </w:r>
      <w:r>
        <w:t>schedules</w:t>
      </w:r>
      <w:r w:rsidR="006C6F09">
        <w:t xml:space="preserve"> </w:t>
      </w:r>
      <w:r>
        <w:t>must</w:t>
      </w:r>
      <w:r w:rsidR="006C6F09">
        <w:t xml:space="preserve"> </w:t>
      </w:r>
      <w:r>
        <w:t>be</w:t>
      </w:r>
      <w:r w:rsidR="006C6F09">
        <w:t xml:space="preserve"> </w:t>
      </w:r>
      <w:r>
        <w:t>available</w:t>
      </w:r>
      <w:r w:rsidR="006C6F09">
        <w:t xml:space="preserve"> </w:t>
      </w:r>
      <w:r>
        <w:t>to</w:t>
      </w:r>
      <w:r w:rsidR="006C6F09">
        <w:t xml:space="preserve"> </w:t>
      </w:r>
      <w:r>
        <w:t>the</w:t>
      </w:r>
      <w:r w:rsidR="006C6F09">
        <w:t xml:space="preserve"> </w:t>
      </w:r>
      <w:r>
        <w:t>public</w:t>
      </w:r>
      <w:r w:rsidR="006C6F09">
        <w:t xml:space="preserve"> </w:t>
      </w:r>
      <w:r>
        <w:t>at</w:t>
      </w:r>
      <w:r w:rsidR="006C6F09">
        <w:t xml:space="preserve"> </w:t>
      </w:r>
      <w:r>
        <w:t>the</w:t>
      </w:r>
      <w:r w:rsidR="006C6F09">
        <w:t xml:space="preserve"> </w:t>
      </w:r>
      <w:r>
        <w:t>in-person</w:t>
      </w:r>
      <w:r w:rsidR="006C6F09">
        <w:t xml:space="preserve"> </w:t>
      </w:r>
      <w:r>
        <w:t>option.</w:t>
      </w:r>
    </w:p>
    <w:p w14:paraId="4387D6E7" w14:textId="63D969A8" w:rsidR="00457754" w:rsidRDefault="00457754" w:rsidP="00457754">
      <w:r>
        <w:t>The</w:t>
      </w:r>
      <w:r w:rsidR="006C6F09">
        <w:t xml:space="preserve"> </w:t>
      </w:r>
      <w:r>
        <w:t>in-person</w:t>
      </w:r>
      <w:r w:rsidR="006C6F09">
        <w:t xml:space="preserve"> </w:t>
      </w:r>
      <w:r>
        <w:t>option</w:t>
      </w:r>
      <w:r w:rsidR="006C6F09">
        <w:t xml:space="preserve"> </w:t>
      </w:r>
      <w:r>
        <w:t>may</w:t>
      </w:r>
      <w:r w:rsidR="006C6F09">
        <w:t xml:space="preserve"> </w:t>
      </w:r>
      <w:r>
        <w:t>be</w:t>
      </w:r>
      <w:r w:rsidR="006C6F09">
        <w:t xml:space="preserve"> </w:t>
      </w:r>
      <w:r>
        <w:t>held</w:t>
      </w:r>
      <w:r w:rsidR="006C6F09">
        <w:t xml:space="preserve"> </w:t>
      </w:r>
      <w:r>
        <w:t>as</w:t>
      </w:r>
      <w:r w:rsidR="006C6F09">
        <w:t xml:space="preserve"> </w:t>
      </w:r>
      <w:r>
        <w:t>either</w:t>
      </w:r>
      <w:r w:rsidR="006C6F09">
        <w:t xml:space="preserve"> </w:t>
      </w:r>
      <w:r>
        <w:t>an</w:t>
      </w:r>
      <w:r w:rsidR="006C6F09">
        <w:t xml:space="preserve"> </w:t>
      </w:r>
      <w:r>
        <w:t>open</w:t>
      </w:r>
      <w:r w:rsidR="006C6F09">
        <w:t xml:space="preserve"> </w:t>
      </w:r>
      <w:r>
        <w:t>house</w:t>
      </w:r>
      <w:r w:rsidR="006C6F09">
        <w:t xml:space="preserve"> </w:t>
      </w:r>
      <w:r>
        <w:t>or</w:t>
      </w:r>
      <w:r w:rsidR="006C6F09">
        <w:t xml:space="preserve"> </w:t>
      </w:r>
      <w:r>
        <w:t>a</w:t>
      </w:r>
      <w:r w:rsidR="006C6F09">
        <w:t xml:space="preserve"> </w:t>
      </w:r>
      <w:r>
        <w:t>traditional</w:t>
      </w:r>
      <w:r w:rsidR="006C6F09">
        <w:t xml:space="preserve"> </w:t>
      </w:r>
      <w:r>
        <w:t>public</w:t>
      </w:r>
      <w:r w:rsidR="006C6F09">
        <w:t xml:space="preserve"> </w:t>
      </w:r>
      <w:r>
        <w:t>hearing</w:t>
      </w:r>
      <w:r w:rsidR="006C6F09">
        <w:t xml:space="preserve"> </w:t>
      </w:r>
      <w:r>
        <w:t>with</w:t>
      </w:r>
      <w:r w:rsidR="006C6F09">
        <w:t xml:space="preserve"> </w:t>
      </w:r>
      <w:r>
        <w:t>a</w:t>
      </w:r>
      <w:r w:rsidR="006C6F09">
        <w:t xml:space="preserve"> </w:t>
      </w:r>
      <w:r>
        <w:t>formal</w:t>
      </w:r>
      <w:r w:rsidR="006C6F09">
        <w:t xml:space="preserve"> </w:t>
      </w:r>
      <w:r>
        <w:t>presentation</w:t>
      </w:r>
      <w:r w:rsidR="006C6F09">
        <w:t xml:space="preserve"> </w:t>
      </w:r>
      <w:r>
        <w:t>by</w:t>
      </w:r>
      <w:r w:rsidR="006C6F09">
        <w:t xml:space="preserve"> </w:t>
      </w:r>
      <w:r>
        <w:t>a</w:t>
      </w:r>
      <w:r w:rsidR="006C6F09">
        <w:t xml:space="preserve"> </w:t>
      </w:r>
      <w:r>
        <w:t>speaker.</w:t>
      </w:r>
      <w:r w:rsidR="006C6F09">
        <w:t xml:space="preserve"> </w:t>
      </w:r>
      <w:r>
        <w:t>See</w:t>
      </w:r>
      <w:r w:rsidR="006C6F09">
        <w:t xml:space="preserve"> </w:t>
      </w:r>
      <w:r>
        <w:t>below</w:t>
      </w:r>
      <w:r w:rsidR="006C6F09">
        <w:t xml:space="preserve"> </w:t>
      </w:r>
      <w:r>
        <w:t>for</w:t>
      </w:r>
      <w:r w:rsidR="006C6F09">
        <w:t xml:space="preserve"> </w:t>
      </w:r>
      <w:r>
        <w:t>further</w:t>
      </w:r>
      <w:r w:rsidR="006C6F09">
        <w:t xml:space="preserve"> </w:t>
      </w:r>
      <w:r>
        <w:t>information</w:t>
      </w:r>
      <w:r w:rsidR="006C6F09">
        <w:t xml:space="preserve"> </w:t>
      </w:r>
      <w:r>
        <w:t>regarding</w:t>
      </w:r>
      <w:r w:rsidR="006C6F09">
        <w:t xml:space="preserve"> </w:t>
      </w:r>
      <w:r>
        <w:t>these</w:t>
      </w:r>
      <w:r w:rsidR="006C6F09">
        <w:t xml:space="preserve"> </w:t>
      </w:r>
      <w:r>
        <w:t>two</w:t>
      </w:r>
      <w:r w:rsidR="006C6F09">
        <w:t xml:space="preserve"> </w:t>
      </w:r>
      <w:r>
        <w:t>approaches:</w:t>
      </w:r>
      <w:r w:rsidR="00135456">
        <w:t xml:space="preserve"> </w:t>
      </w:r>
    </w:p>
    <w:p w14:paraId="4D4C383B" w14:textId="7288BC1A" w:rsidR="00457754" w:rsidRPr="00995887" w:rsidRDefault="00457754" w:rsidP="00111167">
      <w:pPr>
        <w:pStyle w:val="Heading5"/>
        <w:rPr>
          <w:b w:val="0"/>
          <w:bCs/>
          <w:i/>
          <w:iCs w:val="0"/>
          <w:color w:val="auto"/>
        </w:rPr>
      </w:pPr>
      <w:r w:rsidRPr="00995887">
        <w:rPr>
          <w:b w:val="0"/>
          <w:bCs/>
          <w:i/>
          <w:iCs w:val="0"/>
          <w:color w:val="auto"/>
        </w:rPr>
        <w:t>Holding</w:t>
      </w:r>
      <w:r w:rsidR="006C6F09" w:rsidRPr="00995887">
        <w:rPr>
          <w:b w:val="0"/>
          <w:bCs/>
          <w:i/>
          <w:iCs w:val="0"/>
          <w:color w:val="auto"/>
        </w:rPr>
        <w:t xml:space="preserve"> </w:t>
      </w:r>
      <w:r w:rsidRPr="00995887">
        <w:rPr>
          <w:b w:val="0"/>
          <w:bCs/>
          <w:i/>
          <w:iCs w:val="0"/>
          <w:color w:val="auto"/>
        </w:rPr>
        <w:t>the</w:t>
      </w:r>
      <w:r w:rsidR="006C6F09" w:rsidRPr="00995887">
        <w:rPr>
          <w:b w:val="0"/>
          <w:bCs/>
          <w:i/>
          <w:iCs w:val="0"/>
          <w:color w:val="auto"/>
        </w:rPr>
        <w:t xml:space="preserve"> </w:t>
      </w:r>
      <w:r w:rsidRPr="00995887">
        <w:rPr>
          <w:b w:val="0"/>
          <w:bCs/>
          <w:i/>
          <w:iCs w:val="0"/>
          <w:color w:val="auto"/>
        </w:rPr>
        <w:t>In-Person</w:t>
      </w:r>
      <w:r w:rsidR="006C6F09" w:rsidRPr="00995887">
        <w:rPr>
          <w:b w:val="0"/>
          <w:bCs/>
          <w:i/>
          <w:iCs w:val="0"/>
          <w:color w:val="auto"/>
        </w:rPr>
        <w:t xml:space="preserve"> </w:t>
      </w:r>
      <w:r w:rsidRPr="00995887">
        <w:rPr>
          <w:b w:val="0"/>
          <w:bCs/>
          <w:i/>
          <w:iCs w:val="0"/>
          <w:color w:val="auto"/>
        </w:rPr>
        <w:t>Option</w:t>
      </w:r>
      <w:r w:rsidR="006C6F09" w:rsidRPr="00995887">
        <w:rPr>
          <w:b w:val="0"/>
          <w:bCs/>
          <w:i/>
          <w:iCs w:val="0"/>
          <w:color w:val="auto"/>
        </w:rPr>
        <w:t xml:space="preserve"> </w:t>
      </w:r>
      <w:r w:rsidRPr="00995887">
        <w:rPr>
          <w:b w:val="0"/>
          <w:bCs/>
          <w:i/>
          <w:iCs w:val="0"/>
          <w:color w:val="auto"/>
        </w:rPr>
        <w:t>in</w:t>
      </w:r>
      <w:r w:rsidR="006C6F09" w:rsidRPr="00995887">
        <w:rPr>
          <w:b w:val="0"/>
          <w:bCs/>
          <w:i/>
          <w:iCs w:val="0"/>
          <w:color w:val="auto"/>
        </w:rPr>
        <w:t xml:space="preserve"> </w:t>
      </w:r>
      <w:r w:rsidRPr="00995887">
        <w:rPr>
          <w:b w:val="0"/>
          <w:bCs/>
          <w:i/>
          <w:iCs w:val="0"/>
          <w:color w:val="auto"/>
        </w:rPr>
        <w:t>an</w:t>
      </w:r>
      <w:r w:rsidR="006C6F09" w:rsidRPr="00995887">
        <w:rPr>
          <w:b w:val="0"/>
          <w:bCs/>
          <w:i/>
          <w:iCs w:val="0"/>
          <w:color w:val="auto"/>
        </w:rPr>
        <w:t xml:space="preserve"> </w:t>
      </w:r>
      <w:r w:rsidRPr="00995887">
        <w:rPr>
          <w:b w:val="0"/>
          <w:bCs/>
          <w:i/>
          <w:iCs w:val="0"/>
          <w:color w:val="auto"/>
        </w:rPr>
        <w:t>Open</w:t>
      </w:r>
      <w:r w:rsidR="006C6F09" w:rsidRPr="00995887">
        <w:rPr>
          <w:b w:val="0"/>
          <w:bCs/>
          <w:i/>
          <w:iCs w:val="0"/>
          <w:color w:val="auto"/>
        </w:rPr>
        <w:t xml:space="preserve"> </w:t>
      </w:r>
      <w:r w:rsidRPr="00995887">
        <w:rPr>
          <w:b w:val="0"/>
          <w:bCs/>
          <w:i/>
          <w:iCs w:val="0"/>
          <w:color w:val="auto"/>
        </w:rPr>
        <w:t>House</w:t>
      </w:r>
      <w:r w:rsidR="006C6F09" w:rsidRPr="00995887">
        <w:rPr>
          <w:b w:val="0"/>
          <w:bCs/>
          <w:i/>
          <w:iCs w:val="0"/>
          <w:color w:val="auto"/>
        </w:rPr>
        <w:t xml:space="preserve"> </w:t>
      </w:r>
      <w:r w:rsidRPr="00995887">
        <w:rPr>
          <w:b w:val="0"/>
          <w:bCs/>
          <w:i/>
          <w:iCs w:val="0"/>
          <w:color w:val="auto"/>
        </w:rPr>
        <w:t>Format</w:t>
      </w:r>
    </w:p>
    <w:p w14:paraId="001600E3" w14:textId="46A2AF1C" w:rsidR="00457754" w:rsidRDefault="00457754" w:rsidP="00457754">
      <w:r>
        <w:t>An</w:t>
      </w:r>
      <w:r w:rsidR="006C6F09">
        <w:t xml:space="preserve"> </w:t>
      </w:r>
      <w:proofErr w:type="gramStart"/>
      <w:r>
        <w:t>open</w:t>
      </w:r>
      <w:r w:rsidR="006C6F09">
        <w:t xml:space="preserve"> </w:t>
      </w:r>
      <w:r>
        <w:t>house</w:t>
      </w:r>
      <w:proofErr w:type="gramEnd"/>
      <w:r w:rsidR="006C6F09">
        <w:t xml:space="preserve"> </w:t>
      </w:r>
      <w:r>
        <w:t>format</w:t>
      </w:r>
      <w:r w:rsidR="006C6F09">
        <w:t xml:space="preserve"> </w:t>
      </w:r>
      <w:r>
        <w:t>for</w:t>
      </w:r>
      <w:r w:rsidR="006C6F09">
        <w:t xml:space="preserve"> </w:t>
      </w:r>
      <w:r>
        <w:t>the</w:t>
      </w:r>
      <w:r w:rsidR="006C6F09">
        <w:t xml:space="preserve"> </w:t>
      </w:r>
      <w:r>
        <w:t>in-person</w:t>
      </w:r>
      <w:r w:rsidR="006C6F09">
        <w:t xml:space="preserve"> </w:t>
      </w:r>
      <w:r>
        <w:t>option</w:t>
      </w:r>
      <w:r w:rsidR="006C6F09">
        <w:t xml:space="preserve"> </w:t>
      </w:r>
      <w:r>
        <w:t>is</w:t>
      </w:r>
      <w:r w:rsidR="006C6F09">
        <w:t xml:space="preserve"> </w:t>
      </w:r>
      <w:r>
        <w:t>less</w:t>
      </w:r>
      <w:r w:rsidR="006C6F09">
        <w:t xml:space="preserve"> </w:t>
      </w:r>
      <w:r>
        <w:t>formal</w:t>
      </w:r>
      <w:r w:rsidR="006C6F09">
        <w:t xml:space="preserve"> </w:t>
      </w:r>
      <w:r>
        <w:t>and</w:t>
      </w:r>
      <w:r w:rsidR="006C6F09">
        <w:t xml:space="preserve"> </w:t>
      </w:r>
      <w:r>
        <w:t>allows</w:t>
      </w:r>
      <w:r w:rsidR="006C6F09">
        <w:t xml:space="preserve"> </w:t>
      </w:r>
      <w:r>
        <w:t>participants</w:t>
      </w:r>
      <w:r w:rsidR="006C6F09">
        <w:t xml:space="preserve"> </w:t>
      </w:r>
      <w:r>
        <w:t>to</w:t>
      </w:r>
      <w:r w:rsidR="006C6F09">
        <w:t xml:space="preserve"> </w:t>
      </w:r>
      <w:r>
        <w:t>come</w:t>
      </w:r>
      <w:r w:rsidR="006C6F09">
        <w:t xml:space="preserve"> </w:t>
      </w:r>
      <w:r>
        <w:t>and</w:t>
      </w:r>
      <w:r w:rsidR="006C6F09">
        <w:t xml:space="preserve"> </w:t>
      </w:r>
      <w:r>
        <w:t>go</w:t>
      </w:r>
      <w:r w:rsidR="006C6F09">
        <w:t xml:space="preserve"> </w:t>
      </w:r>
      <w:r>
        <w:t>at</w:t>
      </w:r>
      <w:r w:rsidR="006C6F09">
        <w:t xml:space="preserve"> </w:t>
      </w:r>
      <w:r>
        <w:t>their</w:t>
      </w:r>
      <w:r w:rsidR="006C6F09">
        <w:t xml:space="preserve"> </w:t>
      </w:r>
      <w:r>
        <w:t>convenience.</w:t>
      </w:r>
      <w:r w:rsidR="006C6F09">
        <w:t xml:space="preserve"> </w:t>
      </w:r>
      <w:r>
        <w:t>Typically,</w:t>
      </w:r>
      <w:r w:rsidR="006C6F09">
        <w:t xml:space="preserve"> </w:t>
      </w:r>
      <w:r>
        <w:t>a</w:t>
      </w:r>
      <w:r w:rsidR="006C6F09">
        <w:t xml:space="preserve"> </w:t>
      </w:r>
      <w:r>
        <w:t>series</w:t>
      </w:r>
      <w:r w:rsidR="006C6F09">
        <w:t xml:space="preserve"> </w:t>
      </w:r>
      <w:r>
        <w:t>of</w:t>
      </w:r>
      <w:r w:rsidR="006C6F09">
        <w:t xml:space="preserve"> </w:t>
      </w:r>
      <w:r>
        <w:t>exhibits</w:t>
      </w:r>
      <w:r w:rsidR="006C6F09">
        <w:t xml:space="preserve"> </w:t>
      </w:r>
      <w:r>
        <w:t>are</w:t>
      </w:r>
      <w:r w:rsidR="006C6F09">
        <w:t xml:space="preserve"> </w:t>
      </w:r>
      <w:r>
        <w:t>staged</w:t>
      </w:r>
      <w:r w:rsidR="006C6F09">
        <w:t xml:space="preserve"> </w:t>
      </w:r>
      <w:r>
        <w:t>in</w:t>
      </w:r>
      <w:r w:rsidR="006C6F09">
        <w:t xml:space="preserve"> </w:t>
      </w:r>
      <w:r>
        <w:t>the</w:t>
      </w:r>
      <w:r w:rsidR="006C6F09">
        <w:t xml:space="preserve"> </w:t>
      </w:r>
      <w:r>
        <w:t>hearing</w:t>
      </w:r>
      <w:r w:rsidR="006C6F09">
        <w:t xml:space="preserve"> </w:t>
      </w:r>
      <w:r>
        <w:t>room,</w:t>
      </w:r>
      <w:r w:rsidR="006C6F09">
        <w:t xml:space="preserve"> </w:t>
      </w:r>
      <w:r>
        <w:t>and</w:t>
      </w:r>
      <w:r w:rsidR="006C6F09">
        <w:t xml:space="preserve"> </w:t>
      </w:r>
      <w:r>
        <w:t>district</w:t>
      </w:r>
      <w:r w:rsidR="006C6F09">
        <w:t xml:space="preserve"> </w:t>
      </w:r>
      <w:r>
        <w:t>and</w:t>
      </w:r>
      <w:r w:rsidR="006C6F09">
        <w:t xml:space="preserve"> </w:t>
      </w:r>
      <w:proofErr w:type="gramStart"/>
      <w:r>
        <w:t>or</w:t>
      </w:r>
      <w:proofErr w:type="gramEnd"/>
      <w:r w:rsidR="006C6F09">
        <w:t xml:space="preserve"> </w:t>
      </w:r>
      <w:r>
        <w:t>project</w:t>
      </w:r>
      <w:r w:rsidR="006C6F09">
        <w:t xml:space="preserve"> </w:t>
      </w:r>
      <w:r>
        <w:t>staff</w:t>
      </w:r>
      <w:r w:rsidR="006C6F09">
        <w:t xml:space="preserve"> </w:t>
      </w:r>
      <w:r>
        <w:t>are</w:t>
      </w:r>
      <w:r w:rsidR="006C6F09">
        <w:t xml:space="preserve"> </w:t>
      </w:r>
      <w:r>
        <w:t>located</w:t>
      </w:r>
      <w:r w:rsidR="006C6F09">
        <w:t xml:space="preserve"> </w:t>
      </w:r>
      <w:r>
        <w:t>at</w:t>
      </w:r>
      <w:r w:rsidR="006C6F09">
        <w:t xml:space="preserve"> </w:t>
      </w:r>
      <w:r>
        <w:t>various</w:t>
      </w:r>
      <w:r w:rsidR="006C6F09">
        <w:t xml:space="preserve"> </w:t>
      </w:r>
      <w:r>
        <w:t>exhibits</w:t>
      </w:r>
      <w:r w:rsidR="006C6F09">
        <w:t xml:space="preserve"> </w:t>
      </w:r>
      <w:r>
        <w:t>to</w:t>
      </w:r>
      <w:r w:rsidR="006C6F09">
        <w:t xml:space="preserve"> </w:t>
      </w:r>
      <w:r>
        <w:t>answer</w:t>
      </w:r>
      <w:r w:rsidR="006C6F09">
        <w:t xml:space="preserve"> </w:t>
      </w:r>
      <w:r>
        <w:t>questions.</w:t>
      </w:r>
      <w:r w:rsidR="006C6F09">
        <w:t xml:space="preserve"> </w:t>
      </w:r>
      <w:r>
        <w:t>Attendees</w:t>
      </w:r>
      <w:r w:rsidR="006C6F09">
        <w:t xml:space="preserve"> </w:t>
      </w:r>
      <w:r>
        <w:t>must</w:t>
      </w:r>
      <w:r w:rsidR="006C6F09">
        <w:t xml:space="preserve"> </w:t>
      </w:r>
      <w:r>
        <w:t>be</w:t>
      </w:r>
      <w:r w:rsidR="006C6F09">
        <w:t xml:space="preserve"> </w:t>
      </w:r>
      <w:r>
        <w:t>able</w:t>
      </w:r>
      <w:r w:rsidR="006C6F09">
        <w:t xml:space="preserve"> </w:t>
      </w:r>
      <w:r>
        <w:t>to</w:t>
      </w:r>
      <w:r w:rsidR="006C6F09">
        <w:t xml:space="preserve"> </w:t>
      </w:r>
      <w:r>
        <w:t>watch</w:t>
      </w:r>
      <w:r w:rsidR="006C6F09">
        <w:t xml:space="preserve"> </w:t>
      </w:r>
      <w:r>
        <w:t>the</w:t>
      </w:r>
      <w:r w:rsidR="006C6F09">
        <w:t xml:space="preserve"> </w:t>
      </w:r>
      <w:r>
        <w:t>virtual</w:t>
      </w:r>
      <w:r w:rsidR="006C6F09">
        <w:t xml:space="preserve"> </w:t>
      </w:r>
      <w:r>
        <w:t>public</w:t>
      </w:r>
      <w:r w:rsidR="006C6F09">
        <w:t xml:space="preserve"> </w:t>
      </w:r>
      <w:r>
        <w:t>hearing</w:t>
      </w:r>
      <w:r w:rsidR="006C6F09">
        <w:t xml:space="preserve"> </w:t>
      </w:r>
      <w:r>
        <w:t>presentation,</w:t>
      </w:r>
      <w:r w:rsidR="006C6F09">
        <w:t xml:space="preserve"> </w:t>
      </w:r>
      <w:r>
        <w:t>which</w:t>
      </w:r>
      <w:r w:rsidR="006C6F09">
        <w:t xml:space="preserve"> </w:t>
      </w:r>
      <w:r>
        <w:t>will</w:t>
      </w:r>
      <w:r w:rsidR="006C6F09">
        <w:t xml:space="preserve"> </w:t>
      </w:r>
      <w:r>
        <w:t>be</w:t>
      </w:r>
      <w:r w:rsidR="006C6F09">
        <w:t xml:space="preserve"> </w:t>
      </w:r>
      <w:proofErr w:type="gramStart"/>
      <w:r>
        <w:t>playing</w:t>
      </w:r>
      <w:proofErr w:type="gramEnd"/>
      <w:r w:rsidR="006C6F09">
        <w:t xml:space="preserve"> </w:t>
      </w:r>
      <w:r>
        <w:t>on</w:t>
      </w:r>
      <w:r w:rsidR="006C6F09">
        <w:t xml:space="preserve"> </w:t>
      </w:r>
      <w:r>
        <w:t>a</w:t>
      </w:r>
      <w:r w:rsidR="006C6F09">
        <w:t xml:space="preserve"> </w:t>
      </w:r>
      <w:r>
        <w:t>loop</w:t>
      </w:r>
      <w:r w:rsidR="006C6F09">
        <w:t xml:space="preserve"> </w:t>
      </w:r>
      <w:r>
        <w:t>on</w:t>
      </w:r>
      <w:r w:rsidR="006C6F09">
        <w:t xml:space="preserve"> </w:t>
      </w:r>
      <w:r>
        <w:t>a</w:t>
      </w:r>
      <w:r w:rsidR="006C6F09">
        <w:t xml:space="preserve"> </w:t>
      </w:r>
      <w:r>
        <w:t>laptop,</w:t>
      </w:r>
      <w:r w:rsidR="006C6F09">
        <w:t xml:space="preserve"> </w:t>
      </w:r>
      <w:r>
        <w:t>Television</w:t>
      </w:r>
      <w:r w:rsidR="006C6F09">
        <w:t xml:space="preserve"> </w:t>
      </w:r>
      <w:r>
        <w:t>(TV),</w:t>
      </w:r>
      <w:r w:rsidR="006C6F09">
        <w:t xml:space="preserve"> </w:t>
      </w:r>
      <w:r>
        <w:t>or</w:t>
      </w:r>
      <w:r w:rsidR="006C6F09">
        <w:t xml:space="preserve"> </w:t>
      </w:r>
      <w:r>
        <w:t>projection</w:t>
      </w:r>
      <w:r w:rsidR="006C6F09">
        <w:t xml:space="preserve"> </w:t>
      </w:r>
      <w:r>
        <w:t>screen.</w:t>
      </w:r>
      <w:r w:rsidR="006C6F09">
        <w:t xml:space="preserve"> </w:t>
      </w:r>
      <w:r>
        <w:t>Strategies</w:t>
      </w:r>
      <w:r w:rsidR="006C6F09">
        <w:t xml:space="preserve"> </w:t>
      </w:r>
      <w:r>
        <w:t>to</w:t>
      </w:r>
      <w:r w:rsidR="006C6F09">
        <w:t xml:space="preserve"> </w:t>
      </w:r>
      <w:r>
        <w:t>communicate</w:t>
      </w:r>
      <w:r w:rsidR="006C6F09">
        <w:t xml:space="preserve"> </w:t>
      </w:r>
      <w:r>
        <w:t>with</w:t>
      </w:r>
      <w:r w:rsidR="006C6F09">
        <w:t xml:space="preserve"> </w:t>
      </w:r>
      <w:r>
        <w:t>potential</w:t>
      </w:r>
      <w:r w:rsidR="006C6F09">
        <w:t xml:space="preserve"> </w:t>
      </w:r>
      <w:r>
        <w:t>LEP</w:t>
      </w:r>
      <w:r w:rsidR="006C6F09">
        <w:t xml:space="preserve"> </w:t>
      </w:r>
      <w:r>
        <w:t>populations</w:t>
      </w:r>
      <w:r w:rsidR="006C6F09">
        <w:t xml:space="preserve"> </w:t>
      </w:r>
      <w:r>
        <w:t>should</w:t>
      </w:r>
      <w:r w:rsidR="006C6F09">
        <w:t xml:space="preserve"> </w:t>
      </w:r>
      <w:r>
        <w:t>be</w:t>
      </w:r>
      <w:r w:rsidR="006C6F09">
        <w:t xml:space="preserve"> </w:t>
      </w:r>
      <w:r>
        <w:t>developed.</w:t>
      </w:r>
      <w:r w:rsidR="006C6F09">
        <w:t xml:space="preserve"> </w:t>
      </w:r>
      <w:r>
        <w:t>Comment</w:t>
      </w:r>
      <w:r w:rsidR="006C6F09">
        <w:t xml:space="preserve"> </w:t>
      </w:r>
      <w:r>
        <w:t>cards</w:t>
      </w:r>
      <w:r w:rsidR="006C6F09">
        <w:t xml:space="preserve"> </w:t>
      </w:r>
      <w:r>
        <w:t>must</w:t>
      </w:r>
      <w:r w:rsidR="006C6F09">
        <w:t xml:space="preserve"> </w:t>
      </w:r>
      <w:r>
        <w:t>be</w:t>
      </w:r>
      <w:r w:rsidR="006C6F09">
        <w:t xml:space="preserve"> </w:t>
      </w:r>
      <w:r>
        <w:t>made</w:t>
      </w:r>
      <w:r w:rsidR="006C6F09">
        <w:t xml:space="preserve"> </w:t>
      </w:r>
      <w:r>
        <w:t>available</w:t>
      </w:r>
      <w:r w:rsidR="006C6F09">
        <w:t xml:space="preserve"> </w:t>
      </w:r>
      <w:r>
        <w:t>for</w:t>
      </w:r>
      <w:r w:rsidR="006C6F09">
        <w:t xml:space="preserve"> </w:t>
      </w:r>
      <w:r>
        <w:t>attendees</w:t>
      </w:r>
      <w:r w:rsidR="006C6F09">
        <w:t xml:space="preserve"> </w:t>
      </w:r>
      <w:r>
        <w:t>to</w:t>
      </w:r>
      <w:r w:rsidR="006C6F09">
        <w:t xml:space="preserve"> </w:t>
      </w:r>
      <w:r>
        <w:t>submit</w:t>
      </w:r>
      <w:r w:rsidR="006C6F09">
        <w:t xml:space="preserve"> </w:t>
      </w:r>
      <w:r>
        <w:t>written</w:t>
      </w:r>
      <w:r w:rsidR="006C6F09">
        <w:t xml:space="preserve"> </w:t>
      </w:r>
      <w:r>
        <w:t>comments.</w:t>
      </w:r>
      <w:r w:rsidR="006C6F09">
        <w:t xml:space="preserve"> </w:t>
      </w:r>
      <w:r>
        <w:t>Having</w:t>
      </w:r>
      <w:r w:rsidR="006C6F09">
        <w:t xml:space="preserve"> </w:t>
      </w:r>
      <w:r>
        <w:t>a</w:t>
      </w:r>
      <w:r w:rsidR="006C6F09">
        <w:t xml:space="preserve"> </w:t>
      </w:r>
      <w:r>
        <w:t>table</w:t>
      </w:r>
      <w:r w:rsidR="006C6F09">
        <w:t xml:space="preserve"> </w:t>
      </w:r>
      <w:r>
        <w:t>or</w:t>
      </w:r>
      <w:r w:rsidR="006C6F09">
        <w:t xml:space="preserve"> </w:t>
      </w:r>
      <w:r>
        <w:t>other</w:t>
      </w:r>
      <w:r w:rsidR="006C6F09">
        <w:t xml:space="preserve"> </w:t>
      </w:r>
      <w:r>
        <w:t>specific</w:t>
      </w:r>
      <w:r w:rsidR="006C6F09">
        <w:t xml:space="preserve"> </w:t>
      </w:r>
      <w:r>
        <w:t>area</w:t>
      </w:r>
      <w:r w:rsidR="006C6F09">
        <w:t xml:space="preserve"> </w:t>
      </w:r>
      <w:r>
        <w:t>to</w:t>
      </w:r>
      <w:r w:rsidR="006C6F09">
        <w:t xml:space="preserve"> </w:t>
      </w:r>
      <w:r>
        <w:t>submit</w:t>
      </w:r>
      <w:r w:rsidR="006C6F09">
        <w:t xml:space="preserve"> </w:t>
      </w:r>
      <w:r>
        <w:t>public</w:t>
      </w:r>
      <w:r w:rsidR="006C6F09">
        <w:t xml:space="preserve"> </w:t>
      </w:r>
      <w:r>
        <w:t>comments</w:t>
      </w:r>
      <w:r w:rsidR="006C6F09">
        <w:t xml:space="preserve"> </w:t>
      </w:r>
      <w:r>
        <w:t>is</w:t>
      </w:r>
      <w:r w:rsidR="006C6F09">
        <w:t xml:space="preserve"> </w:t>
      </w:r>
      <w:r>
        <w:t>recommended.</w:t>
      </w:r>
      <w:r w:rsidR="006C6F09">
        <w:t xml:space="preserve"> </w:t>
      </w:r>
      <w:r>
        <w:t>Open-house</w:t>
      </w:r>
      <w:r w:rsidR="006C6F09">
        <w:t xml:space="preserve"> </w:t>
      </w:r>
      <w:r>
        <w:t>format</w:t>
      </w:r>
      <w:r w:rsidR="006C6F09">
        <w:t xml:space="preserve"> </w:t>
      </w:r>
      <w:r>
        <w:t>in-person</w:t>
      </w:r>
      <w:r w:rsidR="006C6F09">
        <w:t xml:space="preserve"> </w:t>
      </w:r>
      <w:r>
        <w:t>options</w:t>
      </w:r>
      <w:r w:rsidR="006C6F09">
        <w:t xml:space="preserve"> </w:t>
      </w:r>
      <w:r>
        <w:t>are</w:t>
      </w:r>
      <w:r w:rsidR="006C6F09">
        <w:t xml:space="preserve"> </w:t>
      </w:r>
      <w:r>
        <w:t>often</w:t>
      </w:r>
      <w:r w:rsidR="006C6F09">
        <w:t xml:space="preserve"> </w:t>
      </w:r>
      <w:r>
        <w:t>held</w:t>
      </w:r>
      <w:r w:rsidR="006C6F09">
        <w:t xml:space="preserve"> </w:t>
      </w:r>
      <w:r>
        <w:t>during</w:t>
      </w:r>
      <w:r w:rsidR="006C6F09">
        <w:t xml:space="preserve"> </w:t>
      </w:r>
      <w:r>
        <w:t>weekday</w:t>
      </w:r>
      <w:r w:rsidR="006C6F09">
        <w:t xml:space="preserve"> </w:t>
      </w:r>
      <w:r>
        <w:t>afternoon</w:t>
      </w:r>
      <w:r w:rsidR="006C6F09">
        <w:t xml:space="preserve"> </w:t>
      </w:r>
      <w:r>
        <w:t>and</w:t>
      </w:r>
      <w:r w:rsidR="006C6F09">
        <w:t xml:space="preserve"> </w:t>
      </w:r>
      <w:r>
        <w:t>early</w:t>
      </w:r>
      <w:r w:rsidR="006C6F09">
        <w:t xml:space="preserve"> </w:t>
      </w:r>
      <w:r>
        <w:t>evening</w:t>
      </w:r>
      <w:r w:rsidR="006C6F09">
        <w:t xml:space="preserve"> </w:t>
      </w:r>
      <w:r>
        <w:t>hours</w:t>
      </w:r>
      <w:r w:rsidR="006C6F09">
        <w:t xml:space="preserve"> </w:t>
      </w:r>
      <w:r>
        <w:t>(example:</w:t>
      </w:r>
      <w:r w:rsidR="006C6F09">
        <w:t xml:space="preserve"> </w:t>
      </w:r>
      <w:r>
        <w:t>5</w:t>
      </w:r>
      <w:r w:rsidR="006C6F09">
        <w:t xml:space="preserve"> </w:t>
      </w:r>
      <w:r>
        <w:t>-</w:t>
      </w:r>
      <w:r w:rsidR="006C6F09">
        <w:t xml:space="preserve"> </w:t>
      </w:r>
      <w:r>
        <w:t>7</w:t>
      </w:r>
      <w:r w:rsidR="006C6F09">
        <w:t xml:space="preserve"> </w:t>
      </w:r>
      <w:r>
        <w:t>p.m.).</w:t>
      </w:r>
      <w:r w:rsidR="006C6F09">
        <w:t xml:space="preserve"> </w:t>
      </w:r>
      <w:r>
        <w:t>Verbal</w:t>
      </w:r>
      <w:r w:rsidR="006C6F09">
        <w:t xml:space="preserve"> </w:t>
      </w:r>
      <w:r>
        <w:t>comments</w:t>
      </w:r>
      <w:r w:rsidR="006C6F09">
        <w:t xml:space="preserve"> </w:t>
      </w:r>
      <w:r>
        <w:t>do</w:t>
      </w:r>
      <w:r w:rsidR="006C6F09">
        <w:t xml:space="preserve"> </w:t>
      </w:r>
      <w:r>
        <w:t>not</w:t>
      </w:r>
      <w:r w:rsidR="006C6F09">
        <w:t xml:space="preserve"> </w:t>
      </w:r>
      <w:r>
        <w:t>need</w:t>
      </w:r>
      <w:r w:rsidR="006C6F09">
        <w:t xml:space="preserve"> </w:t>
      </w:r>
      <w:r>
        <w:t>to</w:t>
      </w:r>
      <w:r w:rsidR="006C6F09">
        <w:t xml:space="preserve"> </w:t>
      </w:r>
      <w:r>
        <w:t>be</w:t>
      </w:r>
      <w:r w:rsidR="006C6F09">
        <w:t xml:space="preserve"> </w:t>
      </w:r>
      <w:r>
        <w:t>accepted</w:t>
      </w:r>
      <w:r w:rsidR="006C6F09">
        <w:t xml:space="preserve"> </w:t>
      </w:r>
      <w:r>
        <w:t>at</w:t>
      </w:r>
      <w:r w:rsidR="006C6F09">
        <w:t xml:space="preserve"> </w:t>
      </w:r>
      <w:r>
        <w:t>the</w:t>
      </w:r>
      <w:r w:rsidR="006C6F09">
        <w:t xml:space="preserve"> </w:t>
      </w:r>
      <w:r>
        <w:t>in-person</w:t>
      </w:r>
      <w:r w:rsidR="006C6F09">
        <w:t xml:space="preserve"> </w:t>
      </w:r>
      <w:r>
        <w:t>option</w:t>
      </w:r>
      <w:r w:rsidR="006C6F09">
        <w:t xml:space="preserve"> </w:t>
      </w:r>
      <w:r>
        <w:t>if</w:t>
      </w:r>
      <w:r w:rsidR="006C6F09">
        <w:t xml:space="preserve"> </w:t>
      </w:r>
      <w:r>
        <w:t>an</w:t>
      </w:r>
      <w:r w:rsidR="006C6F09">
        <w:t xml:space="preserve"> </w:t>
      </w:r>
      <w:r>
        <w:t>open</w:t>
      </w:r>
      <w:r w:rsidR="006C6F09">
        <w:t xml:space="preserve"> </w:t>
      </w:r>
      <w:r>
        <w:t>house</w:t>
      </w:r>
      <w:r w:rsidR="006C6F09">
        <w:t xml:space="preserve"> </w:t>
      </w:r>
      <w:r>
        <w:t>format</w:t>
      </w:r>
      <w:r w:rsidR="006C6F09">
        <w:t xml:space="preserve"> </w:t>
      </w:r>
      <w:r>
        <w:t>is</w:t>
      </w:r>
      <w:r w:rsidR="006C6F09">
        <w:t xml:space="preserve"> </w:t>
      </w:r>
      <w:r>
        <w:t>used.</w:t>
      </w:r>
      <w:r w:rsidR="006C6F09">
        <w:t xml:space="preserve"> </w:t>
      </w:r>
      <w:r>
        <w:t>However,</w:t>
      </w:r>
      <w:r w:rsidR="006C6F09">
        <w:t xml:space="preserve"> </w:t>
      </w:r>
      <w:r>
        <w:t>a</w:t>
      </w:r>
      <w:r w:rsidR="006C6F09">
        <w:t xml:space="preserve"> </w:t>
      </w:r>
      <w:r>
        <w:t>district</w:t>
      </w:r>
      <w:r w:rsidR="006C6F09">
        <w:t xml:space="preserve"> </w:t>
      </w:r>
      <w:r>
        <w:t>may</w:t>
      </w:r>
      <w:r w:rsidR="006C6F09">
        <w:t xml:space="preserve"> </w:t>
      </w:r>
      <w:r>
        <w:t>accept</w:t>
      </w:r>
      <w:r w:rsidR="006C6F09">
        <w:t xml:space="preserve"> </w:t>
      </w:r>
      <w:r>
        <w:t>verbal</w:t>
      </w:r>
      <w:r w:rsidR="006C6F09">
        <w:t xml:space="preserve"> </w:t>
      </w:r>
      <w:r>
        <w:t>comments</w:t>
      </w:r>
      <w:r w:rsidR="006C6F09">
        <w:t xml:space="preserve"> </w:t>
      </w:r>
      <w:r>
        <w:t>if</w:t>
      </w:r>
      <w:r w:rsidR="006C6F09">
        <w:t xml:space="preserve"> </w:t>
      </w:r>
      <w:r>
        <w:t>they</w:t>
      </w:r>
      <w:r w:rsidR="006C6F09">
        <w:t xml:space="preserve"> </w:t>
      </w:r>
      <w:r>
        <w:t>choose.</w:t>
      </w:r>
      <w:r w:rsidR="006C6F09">
        <w:t xml:space="preserve"> </w:t>
      </w:r>
      <w:r>
        <w:t>If</w:t>
      </w:r>
      <w:r w:rsidR="006C6F09">
        <w:t xml:space="preserve"> </w:t>
      </w:r>
      <w:r>
        <w:t>verbal</w:t>
      </w:r>
      <w:r w:rsidR="006C6F09">
        <w:t xml:space="preserve"> </w:t>
      </w:r>
      <w:r>
        <w:t>comments</w:t>
      </w:r>
      <w:r w:rsidR="006C6F09">
        <w:t xml:space="preserve"> </w:t>
      </w:r>
      <w:r>
        <w:t>are</w:t>
      </w:r>
      <w:r w:rsidR="006C6F09">
        <w:t xml:space="preserve"> </w:t>
      </w:r>
      <w:r>
        <w:t>accepted,</w:t>
      </w:r>
      <w:r w:rsidR="006C6F09">
        <w:t xml:space="preserve"> </w:t>
      </w:r>
      <w:r>
        <w:t>then</w:t>
      </w:r>
      <w:r w:rsidR="006C6F09">
        <w:t xml:space="preserve"> </w:t>
      </w:r>
      <w:r>
        <w:t>a</w:t>
      </w:r>
      <w:r w:rsidR="006C6F09">
        <w:t xml:space="preserve"> </w:t>
      </w:r>
      <w:r>
        <w:t>court</w:t>
      </w:r>
      <w:r w:rsidR="006C6F09">
        <w:t xml:space="preserve"> </w:t>
      </w:r>
      <w:r>
        <w:t>reporter</w:t>
      </w:r>
      <w:r w:rsidR="006C6F09">
        <w:t xml:space="preserve"> </w:t>
      </w:r>
      <w:r>
        <w:t>or</w:t>
      </w:r>
      <w:r w:rsidR="006C6F09">
        <w:t xml:space="preserve"> </w:t>
      </w:r>
      <w:r>
        <w:t>similar</w:t>
      </w:r>
      <w:r w:rsidR="006C6F09">
        <w:t xml:space="preserve"> </w:t>
      </w:r>
      <w:r>
        <w:t>transcription</w:t>
      </w:r>
      <w:r w:rsidR="006C6F09">
        <w:t xml:space="preserve"> </w:t>
      </w:r>
      <w:r>
        <w:t>service</w:t>
      </w:r>
      <w:r w:rsidR="006C6F09">
        <w:t xml:space="preserve"> </w:t>
      </w:r>
      <w:r>
        <w:t>must</w:t>
      </w:r>
      <w:r w:rsidR="006C6F09">
        <w:t xml:space="preserve"> </w:t>
      </w:r>
      <w:r>
        <w:t>be</w:t>
      </w:r>
      <w:r w:rsidR="006C6F09">
        <w:t xml:space="preserve"> </w:t>
      </w:r>
      <w:r>
        <w:t>used.</w:t>
      </w:r>
      <w:r w:rsidR="006C6F09">
        <w:t xml:space="preserve"> </w:t>
      </w:r>
    </w:p>
    <w:p w14:paraId="672CA295" w14:textId="7BC3D3CF" w:rsidR="00457754" w:rsidRPr="006F25B9" w:rsidRDefault="00457754" w:rsidP="00B032FA">
      <w:pPr>
        <w:pStyle w:val="Heading5"/>
        <w:rPr>
          <w:b w:val="0"/>
          <w:bCs/>
          <w:i/>
          <w:iCs w:val="0"/>
          <w:color w:val="auto"/>
        </w:rPr>
      </w:pPr>
      <w:r w:rsidRPr="006F25B9">
        <w:rPr>
          <w:bCs/>
          <w:i/>
          <w:iCs w:val="0"/>
          <w:color w:val="auto"/>
        </w:rPr>
        <w:lastRenderedPageBreak/>
        <w:t>Holding</w:t>
      </w:r>
      <w:r w:rsidR="006C6F09" w:rsidRPr="006F25B9">
        <w:rPr>
          <w:b w:val="0"/>
          <w:bCs/>
          <w:i/>
          <w:iCs w:val="0"/>
          <w:color w:val="auto"/>
        </w:rPr>
        <w:t xml:space="preserve"> </w:t>
      </w:r>
      <w:r w:rsidRPr="006F25B9">
        <w:rPr>
          <w:bCs/>
          <w:i/>
          <w:iCs w:val="0"/>
          <w:color w:val="auto"/>
        </w:rPr>
        <w:t>the</w:t>
      </w:r>
      <w:r w:rsidR="006C6F09" w:rsidRPr="006F25B9">
        <w:rPr>
          <w:b w:val="0"/>
          <w:bCs/>
          <w:i/>
          <w:iCs w:val="0"/>
          <w:color w:val="auto"/>
        </w:rPr>
        <w:t xml:space="preserve"> </w:t>
      </w:r>
      <w:r w:rsidRPr="006F25B9">
        <w:rPr>
          <w:bCs/>
          <w:i/>
          <w:iCs w:val="0"/>
          <w:color w:val="auto"/>
        </w:rPr>
        <w:t>In-Person</w:t>
      </w:r>
      <w:r w:rsidR="006C6F09" w:rsidRPr="006F25B9">
        <w:rPr>
          <w:b w:val="0"/>
          <w:bCs/>
          <w:i/>
          <w:iCs w:val="0"/>
          <w:color w:val="auto"/>
        </w:rPr>
        <w:t xml:space="preserve"> </w:t>
      </w:r>
      <w:r w:rsidRPr="006F25B9">
        <w:rPr>
          <w:bCs/>
          <w:i/>
          <w:iCs w:val="0"/>
          <w:color w:val="auto"/>
        </w:rPr>
        <w:t>Option</w:t>
      </w:r>
      <w:r w:rsidR="006C6F09" w:rsidRPr="006F25B9">
        <w:rPr>
          <w:b w:val="0"/>
          <w:bCs/>
          <w:i/>
          <w:iCs w:val="0"/>
          <w:color w:val="auto"/>
        </w:rPr>
        <w:t xml:space="preserve"> </w:t>
      </w:r>
      <w:r w:rsidRPr="006F25B9">
        <w:rPr>
          <w:bCs/>
          <w:i/>
          <w:iCs w:val="0"/>
          <w:color w:val="auto"/>
        </w:rPr>
        <w:t>in</w:t>
      </w:r>
      <w:r w:rsidR="006C6F09" w:rsidRPr="006F25B9">
        <w:rPr>
          <w:b w:val="0"/>
          <w:bCs/>
          <w:i/>
          <w:iCs w:val="0"/>
          <w:color w:val="auto"/>
        </w:rPr>
        <w:t xml:space="preserve"> </w:t>
      </w:r>
      <w:r w:rsidRPr="006F25B9">
        <w:rPr>
          <w:bCs/>
          <w:i/>
          <w:iCs w:val="0"/>
          <w:color w:val="auto"/>
        </w:rPr>
        <w:t>a</w:t>
      </w:r>
      <w:r w:rsidR="006C6F09" w:rsidRPr="006F25B9">
        <w:rPr>
          <w:b w:val="0"/>
          <w:bCs/>
          <w:i/>
          <w:iCs w:val="0"/>
          <w:color w:val="auto"/>
        </w:rPr>
        <w:t xml:space="preserve"> </w:t>
      </w:r>
      <w:r w:rsidRPr="006F25B9">
        <w:rPr>
          <w:bCs/>
          <w:i/>
          <w:iCs w:val="0"/>
          <w:color w:val="auto"/>
        </w:rPr>
        <w:t>Traditional</w:t>
      </w:r>
      <w:r w:rsidR="006C6F09" w:rsidRPr="006F25B9">
        <w:rPr>
          <w:b w:val="0"/>
          <w:bCs/>
          <w:i/>
          <w:iCs w:val="0"/>
          <w:color w:val="auto"/>
        </w:rPr>
        <w:t xml:space="preserve"> </w:t>
      </w:r>
      <w:r w:rsidRPr="006F25B9">
        <w:rPr>
          <w:bCs/>
          <w:i/>
          <w:iCs w:val="0"/>
          <w:color w:val="auto"/>
        </w:rPr>
        <w:t>Public</w:t>
      </w:r>
      <w:r w:rsidR="006C6F09" w:rsidRPr="006F25B9">
        <w:rPr>
          <w:b w:val="0"/>
          <w:bCs/>
          <w:i/>
          <w:iCs w:val="0"/>
          <w:color w:val="auto"/>
        </w:rPr>
        <w:t xml:space="preserve"> </w:t>
      </w:r>
      <w:r w:rsidRPr="006F25B9">
        <w:rPr>
          <w:bCs/>
          <w:i/>
          <w:iCs w:val="0"/>
          <w:color w:val="auto"/>
        </w:rPr>
        <w:t>Hearing</w:t>
      </w:r>
      <w:r w:rsidR="006C6F09" w:rsidRPr="006F25B9">
        <w:rPr>
          <w:b w:val="0"/>
          <w:bCs/>
          <w:i/>
          <w:iCs w:val="0"/>
          <w:color w:val="auto"/>
        </w:rPr>
        <w:t xml:space="preserve"> </w:t>
      </w:r>
      <w:r w:rsidRPr="006F25B9">
        <w:rPr>
          <w:bCs/>
          <w:i/>
          <w:iCs w:val="0"/>
          <w:color w:val="auto"/>
        </w:rPr>
        <w:t>Format</w:t>
      </w:r>
    </w:p>
    <w:p w14:paraId="36662F15" w14:textId="254453A0" w:rsidR="00457754" w:rsidRDefault="00457754" w:rsidP="00457754">
      <w:r>
        <w:t>A</w:t>
      </w:r>
      <w:r w:rsidR="006C6F09">
        <w:t xml:space="preserve"> </w:t>
      </w:r>
      <w:r>
        <w:t>registration</w:t>
      </w:r>
      <w:r w:rsidR="006C6F09">
        <w:t xml:space="preserve"> </w:t>
      </w:r>
      <w:r>
        <w:t>area</w:t>
      </w:r>
      <w:r w:rsidR="006C6F09">
        <w:t xml:space="preserve"> </w:t>
      </w:r>
      <w:r>
        <w:t>outside</w:t>
      </w:r>
      <w:r w:rsidR="006C6F09">
        <w:t xml:space="preserve"> </w:t>
      </w:r>
      <w:r>
        <w:t>the</w:t>
      </w:r>
      <w:r w:rsidR="006C6F09">
        <w:t xml:space="preserve"> </w:t>
      </w:r>
      <w:r>
        <w:t>public</w:t>
      </w:r>
      <w:r w:rsidR="006C6F09">
        <w:t xml:space="preserve"> </w:t>
      </w:r>
      <w:r>
        <w:t>hearing</w:t>
      </w:r>
      <w:r w:rsidR="006C6F09">
        <w:t xml:space="preserve"> </w:t>
      </w:r>
      <w:r>
        <w:t>room,</w:t>
      </w:r>
      <w:r w:rsidR="006C6F09">
        <w:t xml:space="preserve"> </w:t>
      </w:r>
      <w:r>
        <w:t>if</w:t>
      </w:r>
      <w:r w:rsidR="006C6F09">
        <w:t xml:space="preserve"> </w:t>
      </w:r>
      <w:r>
        <w:t>available,</w:t>
      </w:r>
      <w:r w:rsidR="006C6F09">
        <w:t xml:space="preserve"> </w:t>
      </w:r>
      <w:r>
        <w:t>should</w:t>
      </w:r>
      <w:r w:rsidR="006C6F09">
        <w:t xml:space="preserve"> </w:t>
      </w:r>
      <w:r>
        <w:t>be</w:t>
      </w:r>
      <w:r w:rsidR="006C6F09">
        <w:t xml:space="preserve"> </w:t>
      </w:r>
      <w:r>
        <w:t>set</w:t>
      </w:r>
      <w:r w:rsidR="006C6F09">
        <w:t xml:space="preserve"> </w:t>
      </w:r>
      <w:r>
        <w:t>up</w:t>
      </w:r>
      <w:r w:rsidR="006C6F09">
        <w:t xml:space="preserve"> </w:t>
      </w:r>
      <w:r>
        <w:t>where</w:t>
      </w:r>
      <w:r w:rsidR="006C6F09">
        <w:t xml:space="preserve"> </w:t>
      </w:r>
      <w:r>
        <w:t>the</w:t>
      </w:r>
      <w:r w:rsidR="006C6F09">
        <w:t xml:space="preserve"> </w:t>
      </w:r>
      <w:r>
        <w:t>public</w:t>
      </w:r>
      <w:r w:rsidR="006C6F09">
        <w:t xml:space="preserve"> </w:t>
      </w:r>
      <w:r>
        <w:t>may</w:t>
      </w:r>
      <w:r w:rsidR="006C6F09">
        <w:t xml:space="preserve"> </w:t>
      </w:r>
      <w:r>
        <w:t>register</w:t>
      </w:r>
      <w:r w:rsidR="006C6F09">
        <w:t xml:space="preserve"> </w:t>
      </w:r>
      <w:r>
        <w:t>their</w:t>
      </w:r>
      <w:r w:rsidR="006C6F09">
        <w:t xml:space="preserve"> </w:t>
      </w:r>
      <w:r>
        <w:t>attendance,</w:t>
      </w:r>
      <w:r w:rsidR="006C6F09">
        <w:t xml:space="preserve"> </w:t>
      </w:r>
      <w:r>
        <w:t>register</w:t>
      </w:r>
      <w:r w:rsidR="006C6F09">
        <w:t xml:space="preserve"> </w:t>
      </w:r>
      <w:r>
        <w:t>for</w:t>
      </w:r>
      <w:r w:rsidR="006C6F09">
        <w:t xml:space="preserve"> </w:t>
      </w:r>
      <w:r>
        <w:t>the</w:t>
      </w:r>
      <w:r w:rsidR="006C6F09">
        <w:t xml:space="preserve"> </w:t>
      </w:r>
      <w:r>
        <w:t>verbal</w:t>
      </w:r>
      <w:r w:rsidR="006C6F09">
        <w:t xml:space="preserve"> </w:t>
      </w:r>
      <w:r>
        <w:t>comment</w:t>
      </w:r>
      <w:r w:rsidR="006C6F09">
        <w:t xml:space="preserve"> </w:t>
      </w:r>
      <w:r>
        <w:t>session,</w:t>
      </w:r>
      <w:r w:rsidR="006C6F09">
        <w:t xml:space="preserve"> </w:t>
      </w:r>
      <w:r>
        <w:t>and</w:t>
      </w:r>
      <w:r w:rsidR="006C6F09">
        <w:t xml:space="preserve"> </w:t>
      </w:r>
      <w:r>
        <w:t>ask</w:t>
      </w:r>
      <w:r w:rsidR="006C6F09">
        <w:t xml:space="preserve"> </w:t>
      </w:r>
      <w:r>
        <w:t>general</w:t>
      </w:r>
      <w:r w:rsidR="006C6F09">
        <w:t xml:space="preserve"> </w:t>
      </w:r>
      <w:r>
        <w:t>questions.</w:t>
      </w:r>
      <w:r w:rsidR="006C6F09">
        <w:t xml:space="preserve"> </w:t>
      </w:r>
    </w:p>
    <w:p w14:paraId="092910E6" w14:textId="28AB408A" w:rsidR="00457754" w:rsidRDefault="00457754" w:rsidP="00457754">
      <w:r>
        <w:t>The</w:t>
      </w:r>
      <w:r w:rsidR="006C6F09">
        <w:t xml:space="preserve"> </w:t>
      </w:r>
      <w:r>
        <w:t>project</w:t>
      </w:r>
      <w:r w:rsidR="006C6F09">
        <w:t xml:space="preserve"> </w:t>
      </w:r>
      <w:r>
        <w:t>sponsor</w:t>
      </w:r>
      <w:r w:rsidR="006C6F09">
        <w:t xml:space="preserve"> </w:t>
      </w:r>
      <w:r>
        <w:t>may</w:t>
      </w:r>
      <w:r w:rsidR="006C6F09">
        <w:t xml:space="preserve"> </w:t>
      </w:r>
      <w:r>
        <w:t>schedule</w:t>
      </w:r>
      <w:r w:rsidR="006C6F09">
        <w:t xml:space="preserve"> </w:t>
      </w:r>
      <w:r>
        <w:t>an</w:t>
      </w:r>
      <w:r w:rsidR="006C6F09">
        <w:t xml:space="preserve"> </w:t>
      </w:r>
      <w:r>
        <w:t>open-forum</w:t>
      </w:r>
      <w:r w:rsidR="006C6F09">
        <w:t xml:space="preserve"> </w:t>
      </w:r>
      <w:r>
        <w:t>time</w:t>
      </w:r>
      <w:r w:rsidR="006C6F09">
        <w:t xml:space="preserve"> </w:t>
      </w:r>
      <w:r>
        <w:t>for</w:t>
      </w:r>
      <w:r w:rsidR="006C6F09">
        <w:t xml:space="preserve"> </w:t>
      </w:r>
      <w:r>
        <w:t>people</w:t>
      </w:r>
      <w:r w:rsidR="006C6F09">
        <w:t xml:space="preserve"> </w:t>
      </w:r>
      <w:r>
        <w:t>to</w:t>
      </w:r>
      <w:r w:rsidR="006C6F09">
        <w:t xml:space="preserve"> </w:t>
      </w:r>
      <w:r>
        <w:t>review</w:t>
      </w:r>
      <w:r w:rsidR="006C6F09">
        <w:t xml:space="preserve"> </w:t>
      </w:r>
      <w:r>
        <w:t>the</w:t>
      </w:r>
      <w:r w:rsidR="006C6F09">
        <w:t xml:space="preserve"> </w:t>
      </w:r>
      <w:r>
        <w:t>exhibits</w:t>
      </w:r>
      <w:r w:rsidR="006C6F09">
        <w:t xml:space="preserve"> </w:t>
      </w:r>
      <w:r>
        <w:t>and</w:t>
      </w:r>
      <w:r w:rsidR="006C6F09">
        <w:t xml:space="preserve"> </w:t>
      </w:r>
      <w:r>
        <w:t>ask</w:t>
      </w:r>
      <w:r w:rsidR="006C6F09">
        <w:t xml:space="preserve"> </w:t>
      </w:r>
      <w:r>
        <w:t>questions</w:t>
      </w:r>
      <w:r w:rsidR="006C6F09">
        <w:t xml:space="preserve"> </w:t>
      </w:r>
      <w:r>
        <w:t>prior</w:t>
      </w:r>
      <w:r w:rsidR="006C6F09">
        <w:t xml:space="preserve"> </w:t>
      </w:r>
      <w:r>
        <w:t>to</w:t>
      </w:r>
      <w:r w:rsidR="006C6F09">
        <w:t xml:space="preserve"> </w:t>
      </w:r>
      <w:r>
        <w:t>convening</w:t>
      </w:r>
      <w:r w:rsidR="006C6F09">
        <w:t xml:space="preserve"> </w:t>
      </w:r>
      <w:r>
        <w:t>the</w:t>
      </w:r>
      <w:r w:rsidR="006C6F09">
        <w:t xml:space="preserve"> </w:t>
      </w:r>
      <w:r>
        <w:t>public</w:t>
      </w:r>
      <w:r w:rsidR="006C6F09">
        <w:t xml:space="preserve"> </w:t>
      </w:r>
      <w:r>
        <w:t>hearing.</w:t>
      </w:r>
      <w:r w:rsidR="006C6F09">
        <w:t xml:space="preserve"> </w:t>
      </w:r>
    </w:p>
    <w:p w14:paraId="0779F9FC" w14:textId="64A23FCA" w:rsidR="00457754" w:rsidRDefault="00457754" w:rsidP="00457754">
      <w:r>
        <w:t>Project</w:t>
      </w:r>
      <w:r w:rsidR="006C6F09">
        <w:t xml:space="preserve"> </w:t>
      </w:r>
      <w:r>
        <w:t>sponsor</w:t>
      </w:r>
      <w:r w:rsidR="006C6F09">
        <w:t xml:space="preserve"> </w:t>
      </w:r>
      <w:r>
        <w:t>representatives</w:t>
      </w:r>
      <w:r w:rsidR="006C6F09">
        <w:t xml:space="preserve"> </w:t>
      </w:r>
      <w:r>
        <w:t>or</w:t>
      </w:r>
      <w:r w:rsidR="006C6F09">
        <w:t xml:space="preserve"> </w:t>
      </w:r>
      <w:r>
        <w:t>district</w:t>
      </w:r>
      <w:r w:rsidR="006C6F09">
        <w:t xml:space="preserve"> </w:t>
      </w:r>
      <w:r>
        <w:t>personnel</w:t>
      </w:r>
      <w:r w:rsidR="006C6F09">
        <w:t xml:space="preserve"> </w:t>
      </w:r>
      <w:r>
        <w:t>must</w:t>
      </w:r>
      <w:r w:rsidR="006C6F09">
        <w:t xml:space="preserve"> </w:t>
      </w:r>
      <w:r>
        <w:t>be</w:t>
      </w:r>
      <w:r w:rsidR="006C6F09">
        <w:t xml:space="preserve"> </w:t>
      </w:r>
      <w:r>
        <w:t>on</w:t>
      </w:r>
      <w:r w:rsidR="006C6F09">
        <w:t xml:space="preserve"> </w:t>
      </w:r>
      <w:r>
        <w:t>hand</w:t>
      </w:r>
      <w:r w:rsidR="006C6F09">
        <w:t xml:space="preserve"> </w:t>
      </w:r>
      <w:r>
        <w:t>to</w:t>
      </w:r>
      <w:r w:rsidR="006C6F09">
        <w:t xml:space="preserve"> </w:t>
      </w:r>
      <w:r>
        <w:t>explain</w:t>
      </w:r>
      <w:r w:rsidR="006C6F09">
        <w:t xml:space="preserve"> </w:t>
      </w:r>
      <w:r>
        <w:t>the</w:t>
      </w:r>
      <w:r w:rsidR="006C6F09">
        <w:t xml:space="preserve"> </w:t>
      </w:r>
      <w:r>
        <w:t>exhibits</w:t>
      </w:r>
      <w:r w:rsidR="006C6F09">
        <w:t xml:space="preserve"> </w:t>
      </w:r>
      <w:r>
        <w:t>and</w:t>
      </w:r>
      <w:r w:rsidR="006C6F09">
        <w:t xml:space="preserve"> </w:t>
      </w:r>
      <w:r>
        <w:t>to</w:t>
      </w:r>
      <w:r w:rsidR="006C6F09">
        <w:t xml:space="preserve"> </w:t>
      </w:r>
      <w:r>
        <w:t>answer</w:t>
      </w:r>
      <w:r w:rsidR="006C6F09">
        <w:t xml:space="preserve"> </w:t>
      </w:r>
      <w:r>
        <w:t>questions</w:t>
      </w:r>
      <w:r w:rsidR="006C6F09">
        <w:t xml:space="preserve"> </w:t>
      </w:r>
      <w:r>
        <w:t>both</w:t>
      </w:r>
      <w:r w:rsidR="006C6F09">
        <w:t xml:space="preserve"> </w:t>
      </w:r>
      <w:r>
        <w:t>before</w:t>
      </w:r>
      <w:r w:rsidR="006C6F09">
        <w:t xml:space="preserve"> </w:t>
      </w:r>
      <w:r>
        <w:t>and</w:t>
      </w:r>
      <w:r w:rsidR="006C6F09">
        <w:t xml:space="preserve"> </w:t>
      </w:r>
      <w:r>
        <w:t>after</w:t>
      </w:r>
      <w:r w:rsidR="006C6F09">
        <w:t xml:space="preserve"> </w:t>
      </w:r>
      <w:r>
        <w:t>the</w:t>
      </w:r>
      <w:r w:rsidR="006C6F09">
        <w:t xml:space="preserve"> </w:t>
      </w:r>
      <w:r>
        <w:t>hearing</w:t>
      </w:r>
      <w:r w:rsidR="006C6F09">
        <w:t xml:space="preserve"> </w:t>
      </w:r>
      <w:r>
        <w:t>proceedings.</w:t>
      </w:r>
      <w:r w:rsidR="006C6F09">
        <w:t xml:space="preserve"> </w:t>
      </w:r>
      <w:r>
        <w:t>Strategies</w:t>
      </w:r>
      <w:r w:rsidR="006C6F09">
        <w:t xml:space="preserve"> </w:t>
      </w:r>
      <w:r>
        <w:t>for</w:t>
      </w:r>
      <w:r w:rsidR="006C6F09">
        <w:t xml:space="preserve"> </w:t>
      </w:r>
      <w:r>
        <w:t>communicating</w:t>
      </w:r>
      <w:r w:rsidR="006C6F09">
        <w:t xml:space="preserve"> </w:t>
      </w:r>
      <w:r>
        <w:t>with</w:t>
      </w:r>
      <w:r w:rsidR="006C6F09">
        <w:t xml:space="preserve"> </w:t>
      </w:r>
      <w:r>
        <w:t>LEP</w:t>
      </w:r>
      <w:r w:rsidR="006C6F09">
        <w:t xml:space="preserve"> </w:t>
      </w:r>
      <w:r>
        <w:t>populations</w:t>
      </w:r>
      <w:r w:rsidR="006C6F09">
        <w:t xml:space="preserve"> </w:t>
      </w:r>
      <w:r>
        <w:t>also</w:t>
      </w:r>
      <w:r w:rsidR="006C6F09">
        <w:t xml:space="preserve"> </w:t>
      </w:r>
      <w:r>
        <w:t>need</w:t>
      </w:r>
      <w:r w:rsidR="006C6F09">
        <w:t xml:space="preserve"> </w:t>
      </w:r>
      <w:r>
        <w:t>to</w:t>
      </w:r>
      <w:r w:rsidR="006C6F09">
        <w:t xml:space="preserve"> </w:t>
      </w:r>
      <w:r>
        <w:t>be</w:t>
      </w:r>
      <w:r w:rsidR="006C6F09">
        <w:t xml:space="preserve"> </w:t>
      </w:r>
      <w:r>
        <w:t>developed,</w:t>
      </w:r>
      <w:r w:rsidR="006C6F09">
        <w:t xml:space="preserve"> </w:t>
      </w:r>
      <w:r>
        <w:t>including</w:t>
      </w:r>
      <w:r w:rsidR="006C6F09">
        <w:t xml:space="preserve"> </w:t>
      </w:r>
      <w:r>
        <w:t>providing</w:t>
      </w:r>
      <w:r w:rsidR="006C6F09">
        <w:t xml:space="preserve"> </w:t>
      </w:r>
      <w:r>
        <w:t>interpreters</w:t>
      </w:r>
      <w:r w:rsidR="006C6F09">
        <w:t xml:space="preserve"> </w:t>
      </w:r>
      <w:r>
        <w:t>if</w:t>
      </w:r>
      <w:r w:rsidR="006C6F09">
        <w:t xml:space="preserve"> </w:t>
      </w:r>
      <w:r>
        <w:t>needed.</w:t>
      </w:r>
      <w:r w:rsidR="006C6F09">
        <w:t xml:space="preserve"> </w:t>
      </w:r>
      <w:r>
        <w:t>An</w:t>
      </w:r>
      <w:r w:rsidR="006C6F09">
        <w:t xml:space="preserve"> </w:t>
      </w:r>
      <w:r>
        <w:t>appropriately</w:t>
      </w:r>
      <w:r w:rsidR="006C6F09">
        <w:t xml:space="preserve"> </w:t>
      </w:r>
      <w:r>
        <w:t>designated</w:t>
      </w:r>
      <w:r w:rsidR="006C6F09">
        <w:t xml:space="preserve"> </w:t>
      </w:r>
      <w:r>
        <w:t>TxDOT</w:t>
      </w:r>
      <w:r w:rsidR="006C6F09">
        <w:t xml:space="preserve"> </w:t>
      </w:r>
      <w:r>
        <w:t>employee</w:t>
      </w:r>
      <w:r w:rsidR="006C6F09">
        <w:t xml:space="preserve"> </w:t>
      </w:r>
      <w:r>
        <w:t>must</w:t>
      </w:r>
      <w:r w:rsidR="006C6F09">
        <w:t xml:space="preserve"> </w:t>
      </w:r>
      <w:r>
        <w:t>lead</w:t>
      </w:r>
      <w:r w:rsidR="006C6F09">
        <w:t xml:space="preserve"> </w:t>
      </w:r>
      <w:r>
        <w:t>the</w:t>
      </w:r>
      <w:r w:rsidR="006C6F09">
        <w:t xml:space="preserve"> </w:t>
      </w:r>
      <w:r>
        <w:t>hearing</w:t>
      </w:r>
      <w:r w:rsidR="006C6F09">
        <w:t xml:space="preserve"> </w:t>
      </w:r>
      <w:r>
        <w:t>for</w:t>
      </w:r>
      <w:r w:rsidR="006C6F09">
        <w:t xml:space="preserve"> </w:t>
      </w:r>
      <w:r>
        <w:t>TxDOT</w:t>
      </w:r>
      <w:r w:rsidR="006C6F09">
        <w:t xml:space="preserve"> </w:t>
      </w:r>
      <w:r>
        <w:t>sponsored</w:t>
      </w:r>
      <w:r w:rsidR="006C6F09">
        <w:t xml:space="preserve"> </w:t>
      </w:r>
      <w:r>
        <w:t>projects.</w:t>
      </w:r>
      <w:r w:rsidR="006C6F09">
        <w:t xml:space="preserve"> </w:t>
      </w:r>
      <w:r>
        <w:t>For</w:t>
      </w:r>
      <w:r w:rsidR="006C6F09">
        <w:t xml:space="preserve"> </w:t>
      </w:r>
      <w:r>
        <w:t>FHWA</w:t>
      </w:r>
      <w:r w:rsidR="006C6F09">
        <w:t xml:space="preserve"> </w:t>
      </w:r>
      <w:r>
        <w:t>projects</w:t>
      </w:r>
      <w:r w:rsidR="006C6F09">
        <w:t xml:space="preserve"> </w:t>
      </w:r>
      <w:r>
        <w:t>where</w:t>
      </w:r>
      <w:r w:rsidR="006C6F09">
        <w:t xml:space="preserve"> </w:t>
      </w:r>
      <w:r>
        <w:t>a</w:t>
      </w:r>
      <w:r w:rsidR="006C6F09">
        <w:t xml:space="preserve"> </w:t>
      </w:r>
      <w:r>
        <w:t>municipality,</w:t>
      </w:r>
      <w:r w:rsidR="006C6F09">
        <w:t xml:space="preserve"> </w:t>
      </w:r>
      <w:r>
        <w:t>county,</w:t>
      </w:r>
      <w:r w:rsidR="006C6F09">
        <w:t xml:space="preserve"> </w:t>
      </w:r>
      <w:r>
        <w:t>group</w:t>
      </w:r>
      <w:r w:rsidR="006C6F09">
        <w:t xml:space="preserve"> </w:t>
      </w:r>
      <w:r>
        <w:t>of</w:t>
      </w:r>
      <w:r w:rsidR="006C6F09">
        <w:t xml:space="preserve"> </w:t>
      </w:r>
      <w:r>
        <w:t>adjoining</w:t>
      </w:r>
      <w:r w:rsidR="006C6F09">
        <w:t xml:space="preserve"> </w:t>
      </w:r>
      <w:r>
        <w:t>counties,</w:t>
      </w:r>
      <w:r w:rsidR="006C6F09">
        <w:t xml:space="preserve"> </w:t>
      </w:r>
      <w:r>
        <w:t>regional</w:t>
      </w:r>
      <w:r w:rsidR="006C6F09">
        <w:t xml:space="preserve"> </w:t>
      </w:r>
      <w:r>
        <w:t>mobility</w:t>
      </w:r>
      <w:r w:rsidR="006C6F09">
        <w:t xml:space="preserve"> </w:t>
      </w:r>
      <w:r>
        <w:t>authority,</w:t>
      </w:r>
      <w:r w:rsidR="006C6F09">
        <w:t xml:space="preserve"> </w:t>
      </w:r>
      <w:r>
        <w:t>local</w:t>
      </w:r>
      <w:r w:rsidR="006C6F09">
        <w:t xml:space="preserve"> </w:t>
      </w:r>
      <w:r>
        <w:t>government</w:t>
      </w:r>
      <w:r w:rsidR="006C6F09">
        <w:t xml:space="preserve"> </w:t>
      </w:r>
      <w:r>
        <w:t>corporation,</w:t>
      </w:r>
      <w:r w:rsidR="006C6F09">
        <w:t xml:space="preserve"> </w:t>
      </w:r>
      <w:r>
        <w:t>or</w:t>
      </w:r>
      <w:r w:rsidR="006C6F09">
        <w:t xml:space="preserve"> </w:t>
      </w:r>
      <w:r>
        <w:t>transportation</w:t>
      </w:r>
      <w:r w:rsidR="006C6F09">
        <w:t xml:space="preserve"> </w:t>
      </w:r>
      <w:r>
        <w:t>corporation</w:t>
      </w:r>
      <w:r w:rsidR="006C6F09">
        <w:t xml:space="preserve"> </w:t>
      </w:r>
      <w:r>
        <w:t>is</w:t>
      </w:r>
      <w:r w:rsidR="006C6F09">
        <w:t xml:space="preserve"> </w:t>
      </w:r>
      <w:r>
        <w:t>the</w:t>
      </w:r>
      <w:r w:rsidR="006C6F09">
        <w:t xml:space="preserve"> </w:t>
      </w:r>
      <w:r>
        <w:t>official</w:t>
      </w:r>
      <w:r w:rsidR="006C6F09">
        <w:t xml:space="preserve"> </w:t>
      </w:r>
      <w:r>
        <w:t>project</w:t>
      </w:r>
      <w:r w:rsidR="006C6F09">
        <w:t xml:space="preserve"> </w:t>
      </w:r>
      <w:r>
        <w:t>sponsor,</w:t>
      </w:r>
      <w:r w:rsidR="006C6F09">
        <w:t xml:space="preserve"> </w:t>
      </w:r>
      <w:r>
        <w:t>an</w:t>
      </w:r>
      <w:r w:rsidR="006C6F09">
        <w:t xml:space="preserve"> </w:t>
      </w:r>
      <w:r>
        <w:t>appropriately</w:t>
      </w:r>
      <w:r w:rsidR="006C6F09">
        <w:t xml:space="preserve"> </w:t>
      </w:r>
      <w:r>
        <w:t>designated</w:t>
      </w:r>
      <w:r w:rsidR="006C6F09">
        <w:t xml:space="preserve"> </w:t>
      </w:r>
      <w:r>
        <w:t>TxDOT</w:t>
      </w:r>
      <w:r w:rsidR="006C6F09">
        <w:t xml:space="preserve"> </w:t>
      </w:r>
      <w:r>
        <w:t>employee</w:t>
      </w:r>
      <w:r w:rsidR="006C6F09">
        <w:t xml:space="preserve"> </w:t>
      </w:r>
      <w:r>
        <w:t>must</w:t>
      </w:r>
      <w:r w:rsidR="006C6F09">
        <w:t xml:space="preserve"> </w:t>
      </w:r>
      <w:r>
        <w:t>open</w:t>
      </w:r>
      <w:r w:rsidR="006C6F09">
        <w:t xml:space="preserve"> </w:t>
      </w:r>
      <w:r>
        <w:t>the</w:t>
      </w:r>
      <w:r w:rsidR="006C6F09">
        <w:t xml:space="preserve"> </w:t>
      </w:r>
      <w:r>
        <w:t>public</w:t>
      </w:r>
      <w:r w:rsidR="006C6F09">
        <w:t xml:space="preserve"> </w:t>
      </w:r>
      <w:r>
        <w:t>hearing,</w:t>
      </w:r>
      <w:r w:rsidR="006C6F09">
        <w:t xml:space="preserve"> </w:t>
      </w:r>
      <w:r>
        <w:t>officiate</w:t>
      </w:r>
      <w:r w:rsidR="006C6F09">
        <w:t xml:space="preserve"> </w:t>
      </w:r>
      <w:r>
        <w:t>the</w:t>
      </w:r>
      <w:r w:rsidR="006C6F09">
        <w:t xml:space="preserve"> </w:t>
      </w:r>
      <w:r>
        <w:t>public</w:t>
      </w:r>
      <w:r w:rsidR="006C6F09">
        <w:t xml:space="preserve"> </w:t>
      </w:r>
      <w:r>
        <w:t>comment</w:t>
      </w:r>
      <w:r w:rsidR="006C6F09">
        <w:t xml:space="preserve"> </w:t>
      </w:r>
      <w:r>
        <w:t>portion</w:t>
      </w:r>
      <w:r w:rsidR="006C6F09">
        <w:t xml:space="preserve"> </w:t>
      </w:r>
      <w:r>
        <w:t>of</w:t>
      </w:r>
      <w:r w:rsidR="006C6F09">
        <w:t xml:space="preserve"> </w:t>
      </w:r>
      <w:r>
        <w:t>the</w:t>
      </w:r>
      <w:r w:rsidR="006C6F09">
        <w:t xml:space="preserve"> </w:t>
      </w:r>
      <w:r>
        <w:t>hearing,</w:t>
      </w:r>
      <w:r w:rsidR="006C6F09">
        <w:t xml:space="preserve"> </w:t>
      </w:r>
      <w:r>
        <w:t>and</w:t>
      </w:r>
      <w:r w:rsidR="006C6F09">
        <w:t xml:space="preserve"> </w:t>
      </w:r>
      <w:r>
        <w:t>close</w:t>
      </w:r>
      <w:r w:rsidR="006C6F09">
        <w:t xml:space="preserve"> </w:t>
      </w:r>
      <w:r>
        <w:t>the</w:t>
      </w:r>
      <w:r w:rsidR="006C6F09">
        <w:t xml:space="preserve"> </w:t>
      </w:r>
      <w:r>
        <w:t>public</w:t>
      </w:r>
      <w:r w:rsidR="006C6F09">
        <w:t xml:space="preserve"> </w:t>
      </w:r>
      <w:r>
        <w:t>hearing.</w:t>
      </w:r>
      <w:r w:rsidR="006C6F09">
        <w:t xml:space="preserve"> </w:t>
      </w:r>
    </w:p>
    <w:p w14:paraId="6D77F563" w14:textId="6A442B2A" w:rsidR="00457754" w:rsidRDefault="00457754" w:rsidP="00457754">
      <w:r>
        <w:t>A</w:t>
      </w:r>
      <w:r w:rsidR="006C6F09">
        <w:t xml:space="preserve"> </w:t>
      </w:r>
      <w:r>
        <w:t>professional</w:t>
      </w:r>
      <w:r w:rsidR="006C6F09">
        <w:t xml:space="preserve"> </w:t>
      </w:r>
      <w:r>
        <w:t>court</w:t>
      </w:r>
      <w:r w:rsidR="006C6F09">
        <w:t xml:space="preserve"> </w:t>
      </w:r>
      <w:r>
        <w:t>reporter</w:t>
      </w:r>
      <w:r w:rsidR="006C6F09">
        <w:t xml:space="preserve"> </w:t>
      </w:r>
      <w:r>
        <w:t>must</w:t>
      </w:r>
      <w:r w:rsidR="006C6F09">
        <w:t xml:space="preserve"> </w:t>
      </w:r>
      <w:r>
        <w:t>prepare</w:t>
      </w:r>
      <w:r w:rsidR="006C6F09">
        <w:t xml:space="preserve"> </w:t>
      </w:r>
      <w:r>
        <w:t>and</w:t>
      </w:r>
      <w:r w:rsidR="006C6F09">
        <w:t xml:space="preserve"> </w:t>
      </w:r>
      <w:r>
        <w:t>certify</w:t>
      </w:r>
      <w:r w:rsidR="006C6F09">
        <w:t xml:space="preserve"> </w:t>
      </w:r>
      <w:r>
        <w:t>the</w:t>
      </w:r>
      <w:r w:rsidR="006C6F09">
        <w:t xml:space="preserve"> </w:t>
      </w:r>
      <w:r>
        <w:t>public</w:t>
      </w:r>
      <w:r w:rsidR="006C6F09">
        <w:t xml:space="preserve"> </w:t>
      </w:r>
      <w:r>
        <w:t>hearing</w:t>
      </w:r>
      <w:r w:rsidR="006C6F09">
        <w:t xml:space="preserve"> </w:t>
      </w:r>
      <w:r>
        <w:t>transcript.</w:t>
      </w:r>
      <w:r w:rsidR="006C6F09">
        <w:t xml:space="preserve"> </w:t>
      </w:r>
      <w:r>
        <w:t>The</w:t>
      </w:r>
      <w:r w:rsidR="006C6F09">
        <w:t xml:space="preserve"> </w:t>
      </w:r>
      <w:r>
        <w:t>court</w:t>
      </w:r>
      <w:r w:rsidR="006C6F09">
        <w:t xml:space="preserve"> </w:t>
      </w:r>
      <w:r>
        <w:t>reporter</w:t>
      </w:r>
      <w:r w:rsidR="006C6F09">
        <w:t xml:space="preserve"> </w:t>
      </w:r>
      <w:r>
        <w:t>should</w:t>
      </w:r>
      <w:r w:rsidR="006C6F09">
        <w:t xml:space="preserve"> </w:t>
      </w:r>
      <w:r>
        <w:t>be</w:t>
      </w:r>
      <w:r w:rsidR="006C6F09">
        <w:t xml:space="preserve"> </w:t>
      </w:r>
      <w:r>
        <w:t>present</w:t>
      </w:r>
      <w:r w:rsidR="006C6F09">
        <w:t xml:space="preserve"> </w:t>
      </w:r>
      <w:r>
        <w:t>at</w:t>
      </w:r>
      <w:r w:rsidR="006C6F09">
        <w:t xml:space="preserve"> </w:t>
      </w:r>
      <w:r>
        <w:t>the</w:t>
      </w:r>
      <w:r w:rsidR="006C6F09">
        <w:t xml:space="preserve"> </w:t>
      </w:r>
      <w:r>
        <w:t>hearing;</w:t>
      </w:r>
      <w:r w:rsidR="006C6F09">
        <w:t xml:space="preserve"> </w:t>
      </w:r>
      <w:r>
        <w:t>however,</w:t>
      </w:r>
      <w:r w:rsidR="006C6F09">
        <w:t xml:space="preserve"> </w:t>
      </w:r>
      <w:r>
        <w:t>if</w:t>
      </w:r>
      <w:r w:rsidR="006C6F09">
        <w:t xml:space="preserve"> </w:t>
      </w:r>
      <w:r>
        <w:t>the</w:t>
      </w:r>
      <w:r w:rsidR="006C6F09">
        <w:t xml:space="preserve"> </w:t>
      </w:r>
      <w:r>
        <w:t>project</w:t>
      </w:r>
      <w:r w:rsidR="006C6F09">
        <w:t xml:space="preserve"> </w:t>
      </w:r>
      <w:r>
        <w:t>sponsor</w:t>
      </w:r>
      <w:r w:rsidR="006C6F09">
        <w:t xml:space="preserve"> </w:t>
      </w:r>
      <w:r>
        <w:t>is</w:t>
      </w:r>
      <w:r w:rsidR="006C6F09">
        <w:t xml:space="preserve"> </w:t>
      </w:r>
      <w:r>
        <w:t>unable</w:t>
      </w:r>
      <w:r w:rsidR="006C6F09">
        <w:t xml:space="preserve"> </w:t>
      </w:r>
      <w:r>
        <w:t>to</w:t>
      </w:r>
      <w:r w:rsidR="006C6F09">
        <w:t xml:space="preserve"> </w:t>
      </w:r>
      <w:r>
        <w:t>hire</w:t>
      </w:r>
      <w:r w:rsidR="006C6F09">
        <w:t xml:space="preserve"> </w:t>
      </w:r>
      <w:r>
        <w:t>a</w:t>
      </w:r>
      <w:r w:rsidR="006C6F09">
        <w:t xml:space="preserve"> </w:t>
      </w:r>
      <w:r>
        <w:t>court</w:t>
      </w:r>
      <w:r w:rsidR="006C6F09">
        <w:t xml:space="preserve"> </w:t>
      </w:r>
      <w:r>
        <w:t>reporter</w:t>
      </w:r>
      <w:r w:rsidR="006C6F09">
        <w:t xml:space="preserve"> </w:t>
      </w:r>
      <w:r>
        <w:t>to</w:t>
      </w:r>
      <w:r w:rsidR="006C6F09">
        <w:t xml:space="preserve"> </w:t>
      </w:r>
      <w:r>
        <w:t>physically</w:t>
      </w:r>
      <w:r w:rsidR="006C6F09">
        <w:t xml:space="preserve"> </w:t>
      </w:r>
      <w:r>
        <w:t>attend</w:t>
      </w:r>
      <w:r w:rsidR="006C6F09">
        <w:t xml:space="preserve"> </w:t>
      </w:r>
      <w:r>
        <w:t>the</w:t>
      </w:r>
      <w:r w:rsidR="006C6F09">
        <w:t xml:space="preserve"> </w:t>
      </w:r>
      <w:r>
        <w:t>hearing</w:t>
      </w:r>
      <w:r w:rsidR="006C6F09">
        <w:t xml:space="preserve"> </w:t>
      </w:r>
      <w:r>
        <w:t>or</w:t>
      </w:r>
      <w:r w:rsidR="006C6F09">
        <w:t xml:space="preserve"> </w:t>
      </w:r>
      <w:r>
        <w:t>if</w:t>
      </w:r>
      <w:r w:rsidR="006C6F09">
        <w:t xml:space="preserve"> </w:t>
      </w:r>
      <w:r>
        <w:t>other</w:t>
      </w:r>
      <w:r w:rsidR="006C6F09">
        <w:t xml:space="preserve"> </w:t>
      </w:r>
      <w:r>
        <w:t>circumstances</w:t>
      </w:r>
      <w:r w:rsidR="006C6F09">
        <w:t xml:space="preserve"> </w:t>
      </w:r>
      <w:r>
        <w:t>prevent</w:t>
      </w:r>
      <w:r w:rsidR="006C6F09">
        <w:t xml:space="preserve"> </w:t>
      </w:r>
      <w:r>
        <w:t>a</w:t>
      </w:r>
      <w:r w:rsidR="006C6F09">
        <w:t xml:space="preserve"> </w:t>
      </w:r>
      <w:r>
        <w:t>court</w:t>
      </w:r>
      <w:r w:rsidR="006C6F09">
        <w:t xml:space="preserve"> </w:t>
      </w:r>
      <w:r>
        <w:t>reporter</w:t>
      </w:r>
      <w:r w:rsidR="006C6F09">
        <w:t xml:space="preserve"> </w:t>
      </w:r>
      <w:r>
        <w:t>from</w:t>
      </w:r>
      <w:r w:rsidR="006C6F09">
        <w:t xml:space="preserve"> </w:t>
      </w:r>
      <w:r>
        <w:t>being</w:t>
      </w:r>
      <w:r w:rsidR="006C6F09">
        <w:t xml:space="preserve"> </w:t>
      </w:r>
      <w:r>
        <w:t>present,</w:t>
      </w:r>
      <w:r w:rsidR="006C6F09">
        <w:t xml:space="preserve"> </w:t>
      </w:r>
      <w:r>
        <w:t>then</w:t>
      </w:r>
      <w:r w:rsidR="006C6F09">
        <w:t xml:space="preserve"> </w:t>
      </w:r>
      <w:r>
        <w:t>it</w:t>
      </w:r>
      <w:r w:rsidR="006C6F09">
        <w:t xml:space="preserve"> </w:t>
      </w:r>
      <w:r>
        <w:t>is</w:t>
      </w:r>
      <w:r w:rsidR="006C6F09">
        <w:t xml:space="preserve"> </w:t>
      </w:r>
      <w:r>
        <w:t>possible</w:t>
      </w:r>
      <w:r w:rsidR="006C6F09">
        <w:t xml:space="preserve"> </w:t>
      </w:r>
      <w:r>
        <w:t>for</w:t>
      </w:r>
      <w:r w:rsidR="006C6F09">
        <w:t xml:space="preserve"> </w:t>
      </w:r>
      <w:r>
        <w:t>a</w:t>
      </w:r>
      <w:r w:rsidR="006C6F09">
        <w:t xml:space="preserve"> </w:t>
      </w:r>
      <w:r>
        <w:t>court</w:t>
      </w:r>
      <w:r w:rsidR="006C6F09">
        <w:t xml:space="preserve"> </w:t>
      </w:r>
      <w:r>
        <w:t>reporter</w:t>
      </w:r>
      <w:r w:rsidR="006C6F09">
        <w:t xml:space="preserve"> </w:t>
      </w:r>
      <w:r>
        <w:t>to</w:t>
      </w:r>
      <w:r w:rsidR="006C6F09">
        <w:t xml:space="preserve"> </w:t>
      </w:r>
      <w:r>
        <w:t>prepare</w:t>
      </w:r>
      <w:r w:rsidR="006C6F09">
        <w:t xml:space="preserve"> </w:t>
      </w:r>
      <w:r>
        <w:t>the</w:t>
      </w:r>
      <w:r w:rsidR="006C6F09">
        <w:t xml:space="preserve"> </w:t>
      </w:r>
      <w:r>
        <w:t>public</w:t>
      </w:r>
      <w:r w:rsidR="006C6F09">
        <w:t xml:space="preserve"> </w:t>
      </w:r>
      <w:r>
        <w:t>hearing</w:t>
      </w:r>
      <w:r w:rsidR="006C6F09">
        <w:t xml:space="preserve"> </w:t>
      </w:r>
      <w:r>
        <w:t>transcript</w:t>
      </w:r>
      <w:r w:rsidR="006C6F09">
        <w:t xml:space="preserve"> </w:t>
      </w:r>
      <w:r>
        <w:t>from</w:t>
      </w:r>
      <w:r w:rsidR="006C6F09">
        <w:t xml:space="preserve"> </w:t>
      </w:r>
      <w:r>
        <w:t>a</w:t>
      </w:r>
      <w:r w:rsidR="006C6F09">
        <w:t xml:space="preserve"> </w:t>
      </w:r>
      <w:r>
        <w:t>video</w:t>
      </w:r>
      <w:r w:rsidR="006C6F09">
        <w:t xml:space="preserve"> </w:t>
      </w:r>
      <w:r>
        <w:t>recording.</w:t>
      </w:r>
      <w:r w:rsidR="006C6F09">
        <w:t xml:space="preserve"> </w:t>
      </w:r>
      <w:r>
        <w:t>If</w:t>
      </w:r>
      <w:r w:rsidR="006C6F09">
        <w:t xml:space="preserve"> </w:t>
      </w:r>
      <w:r>
        <w:t>a</w:t>
      </w:r>
      <w:r w:rsidR="006C6F09">
        <w:t xml:space="preserve"> </w:t>
      </w:r>
      <w:r>
        <w:t>video</w:t>
      </w:r>
      <w:r w:rsidR="006C6F09">
        <w:t xml:space="preserve"> </w:t>
      </w:r>
      <w:r>
        <w:t>recording</w:t>
      </w:r>
      <w:r w:rsidR="006C6F09">
        <w:t xml:space="preserve"> </w:t>
      </w:r>
      <w:r>
        <w:t>is</w:t>
      </w:r>
      <w:r w:rsidR="006C6F09">
        <w:t xml:space="preserve"> </w:t>
      </w:r>
      <w:r>
        <w:t>used,</w:t>
      </w:r>
      <w:r w:rsidR="006C6F09">
        <w:t xml:space="preserve"> </w:t>
      </w:r>
      <w:r>
        <w:t>methods</w:t>
      </w:r>
      <w:r w:rsidR="006C6F09">
        <w:t xml:space="preserve"> </w:t>
      </w:r>
      <w:r>
        <w:t>to</w:t>
      </w:r>
      <w:r w:rsidR="006C6F09">
        <w:t xml:space="preserve"> </w:t>
      </w:r>
      <w:r>
        <w:t>ensure</w:t>
      </w:r>
      <w:r w:rsidR="006C6F09">
        <w:t xml:space="preserve"> </w:t>
      </w:r>
      <w:r>
        <w:t>the</w:t>
      </w:r>
      <w:r w:rsidR="006C6F09">
        <w:t xml:space="preserve"> </w:t>
      </w:r>
      <w:r>
        <w:t>accuracy</w:t>
      </w:r>
      <w:r w:rsidR="006C6F09">
        <w:t xml:space="preserve"> </w:t>
      </w:r>
      <w:r>
        <w:t>of</w:t>
      </w:r>
      <w:r w:rsidR="006C6F09">
        <w:t xml:space="preserve"> </w:t>
      </w:r>
      <w:r>
        <w:t>completeness</w:t>
      </w:r>
      <w:r w:rsidR="006C6F09">
        <w:t xml:space="preserve"> </w:t>
      </w:r>
      <w:r>
        <w:t>of</w:t>
      </w:r>
      <w:r w:rsidR="006C6F09">
        <w:t xml:space="preserve"> </w:t>
      </w:r>
      <w:r>
        <w:t>the</w:t>
      </w:r>
      <w:r w:rsidR="006C6F09">
        <w:t xml:space="preserve"> </w:t>
      </w:r>
      <w:r>
        <w:t>recording,</w:t>
      </w:r>
      <w:r w:rsidR="006C6F09">
        <w:t xml:space="preserve"> </w:t>
      </w:r>
      <w:r>
        <w:t>such</w:t>
      </w:r>
      <w:r w:rsidR="006C6F09">
        <w:t xml:space="preserve"> </w:t>
      </w:r>
      <w:r>
        <w:t>as</w:t>
      </w:r>
      <w:r w:rsidR="006C6F09">
        <w:t xml:space="preserve"> </w:t>
      </w:r>
      <w:r>
        <w:t>multiple</w:t>
      </w:r>
      <w:r w:rsidR="006C6F09">
        <w:t xml:space="preserve"> </w:t>
      </w:r>
      <w:r>
        <w:t>recorders,</w:t>
      </w:r>
      <w:r w:rsidR="006C6F09">
        <w:t xml:space="preserve"> </w:t>
      </w:r>
      <w:r>
        <w:t>should</w:t>
      </w:r>
      <w:r w:rsidR="006C6F09">
        <w:t xml:space="preserve"> </w:t>
      </w:r>
      <w:r>
        <w:t>be</w:t>
      </w:r>
      <w:r w:rsidR="006C6F09">
        <w:t xml:space="preserve"> </w:t>
      </w:r>
      <w:r>
        <w:t>used.</w:t>
      </w:r>
      <w:r w:rsidR="006C6F09">
        <w:t xml:space="preserve"> </w:t>
      </w:r>
      <w:r>
        <w:t>Strategies</w:t>
      </w:r>
      <w:r w:rsidR="006C6F09">
        <w:t xml:space="preserve"> </w:t>
      </w:r>
      <w:r>
        <w:t>for</w:t>
      </w:r>
      <w:r w:rsidR="006C6F09">
        <w:t xml:space="preserve"> </w:t>
      </w:r>
      <w:r>
        <w:t>any</w:t>
      </w:r>
      <w:r w:rsidR="006C6F09">
        <w:t xml:space="preserve"> </w:t>
      </w:r>
      <w:r>
        <w:t>LEP</w:t>
      </w:r>
      <w:r w:rsidR="006C6F09">
        <w:t xml:space="preserve"> </w:t>
      </w:r>
      <w:r>
        <w:t>population’s</w:t>
      </w:r>
      <w:r w:rsidR="006C6F09">
        <w:t xml:space="preserve"> </w:t>
      </w:r>
      <w:r>
        <w:t>ability</w:t>
      </w:r>
      <w:r w:rsidR="006C6F09">
        <w:t xml:space="preserve"> </w:t>
      </w:r>
      <w:r>
        <w:t>to</w:t>
      </w:r>
      <w:r w:rsidR="006C6F09">
        <w:t xml:space="preserve"> </w:t>
      </w:r>
      <w:r>
        <w:t>communicate</w:t>
      </w:r>
      <w:r w:rsidR="006C6F09">
        <w:t xml:space="preserve"> </w:t>
      </w:r>
      <w:r>
        <w:t>with</w:t>
      </w:r>
      <w:r w:rsidR="006C6F09">
        <w:t xml:space="preserve"> </w:t>
      </w:r>
      <w:r>
        <w:t>the</w:t>
      </w:r>
      <w:r w:rsidR="006C6F09">
        <w:t xml:space="preserve"> </w:t>
      </w:r>
      <w:r>
        <w:t>court</w:t>
      </w:r>
      <w:r w:rsidR="006C6F09">
        <w:t xml:space="preserve"> </w:t>
      </w:r>
      <w:r>
        <w:t>reporter</w:t>
      </w:r>
      <w:r w:rsidR="006C6F09">
        <w:t xml:space="preserve"> </w:t>
      </w:r>
      <w:r>
        <w:t>or</w:t>
      </w:r>
      <w:r w:rsidR="006C6F09">
        <w:t xml:space="preserve"> </w:t>
      </w:r>
      <w:r>
        <w:t>make</w:t>
      </w:r>
      <w:r w:rsidR="006C6F09">
        <w:t xml:space="preserve"> </w:t>
      </w:r>
      <w:r>
        <w:t>video-recorded</w:t>
      </w:r>
      <w:r w:rsidR="006C6F09">
        <w:t xml:space="preserve"> </w:t>
      </w:r>
      <w:r>
        <w:t>comments</w:t>
      </w:r>
      <w:r w:rsidR="006C6F09">
        <w:t xml:space="preserve"> </w:t>
      </w:r>
      <w:r>
        <w:t>should</w:t>
      </w:r>
      <w:r w:rsidR="006C6F09">
        <w:t xml:space="preserve"> </w:t>
      </w:r>
      <w:r>
        <w:t>be</w:t>
      </w:r>
      <w:r w:rsidR="006C6F09">
        <w:t xml:space="preserve"> </w:t>
      </w:r>
      <w:r>
        <w:t>developed</w:t>
      </w:r>
      <w:r w:rsidR="006C6F09">
        <w:t xml:space="preserve"> </w:t>
      </w:r>
      <w:r>
        <w:t>and</w:t>
      </w:r>
      <w:r w:rsidR="006C6F09">
        <w:t xml:space="preserve"> </w:t>
      </w:r>
      <w:r>
        <w:t>implemented.</w:t>
      </w:r>
      <w:r w:rsidR="006C6F09">
        <w:t xml:space="preserve"> </w:t>
      </w:r>
      <w:r>
        <w:t>Therefore,</w:t>
      </w:r>
      <w:r w:rsidR="006C6F09">
        <w:t xml:space="preserve"> </w:t>
      </w:r>
      <w:r>
        <w:t>the</w:t>
      </w:r>
      <w:r w:rsidR="006C6F09">
        <w:t xml:space="preserve"> </w:t>
      </w:r>
      <w:r>
        <w:t>hearing</w:t>
      </w:r>
      <w:r w:rsidR="006C6F09">
        <w:t xml:space="preserve"> </w:t>
      </w:r>
      <w:r>
        <w:t>room</w:t>
      </w:r>
      <w:r w:rsidR="006C6F09">
        <w:t xml:space="preserve"> </w:t>
      </w:r>
      <w:r>
        <w:t>must</w:t>
      </w:r>
      <w:r w:rsidR="006C6F09">
        <w:t xml:space="preserve"> </w:t>
      </w:r>
      <w:r>
        <w:lastRenderedPageBreak/>
        <w:t>include</w:t>
      </w:r>
      <w:r w:rsidR="006C6F09">
        <w:t xml:space="preserve"> </w:t>
      </w:r>
      <w:r>
        <w:t>an</w:t>
      </w:r>
      <w:r w:rsidR="006C6F09">
        <w:t xml:space="preserve"> </w:t>
      </w:r>
      <w:r>
        <w:t>area</w:t>
      </w:r>
      <w:r w:rsidR="006C6F09">
        <w:t xml:space="preserve"> </w:t>
      </w:r>
      <w:r>
        <w:t>close</w:t>
      </w:r>
      <w:r w:rsidR="006C6F09">
        <w:t xml:space="preserve"> </w:t>
      </w:r>
      <w:r>
        <w:t>to</w:t>
      </w:r>
      <w:r w:rsidR="006C6F09">
        <w:t xml:space="preserve"> </w:t>
      </w:r>
      <w:r>
        <w:t>the</w:t>
      </w:r>
      <w:r w:rsidR="006C6F09">
        <w:t xml:space="preserve"> </w:t>
      </w:r>
      <w:r>
        <w:t>microphones</w:t>
      </w:r>
      <w:r w:rsidR="006C6F09">
        <w:t xml:space="preserve"> </w:t>
      </w:r>
      <w:r>
        <w:t>to</w:t>
      </w:r>
      <w:r w:rsidR="006C6F09">
        <w:t xml:space="preserve"> </w:t>
      </w:r>
      <w:r>
        <w:t>locate</w:t>
      </w:r>
      <w:r w:rsidR="006C6F09">
        <w:t xml:space="preserve"> </w:t>
      </w:r>
      <w:r>
        <w:t>the</w:t>
      </w:r>
      <w:r w:rsidR="006C6F09">
        <w:t xml:space="preserve"> </w:t>
      </w:r>
      <w:r>
        <w:t>court</w:t>
      </w:r>
      <w:r w:rsidR="006C6F09">
        <w:t xml:space="preserve"> </w:t>
      </w:r>
      <w:r>
        <w:t>reporter</w:t>
      </w:r>
      <w:r w:rsidR="006C6F09">
        <w:t xml:space="preserve"> </w:t>
      </w:r>
      <w:r>
        <w:t>or</w:t>
      </w:r>
      <w:r w:rsidR="006C6F09">
        <w:t xml:space="preserve"> </w:t>
      </w:r>
      <w:r>
        <w:t>make</w:t>
      </w:r>
      <w:r w:rsidR="006C6F09">
        <w:t xml:space="preserve"> </w:t>
      </w:r>
      <w:r>
        <w:t>video-recorded</w:t>
      </w:r>
      <w:r w:rsidR="006C6F09">
        <w:t xml:space="preserve"> </w:t>
      </w:r>
      <w:r>
        <w:t>comments.</w:t>
      </w:r>
      <w:r w:rsidR="006C6F09">
        <w:t xml:space="preserve"> </w:t>
      </w:r>
    </w:p>
    <w:p w14:paraId="2E0DC3B0" w14:textId="22A1A97B" w:rsidR="00457754" w:rsidRPr="00995887" w:rsidRDefault="00457754" w:rsidP="005662D9">
      <w:pPr>
        <w:pStyle w:val="Heading5"/>
        <w:rPr>
          <w:bCs/>
          <w:i/>
          <w:iCs w:val="0"/>
          <w:color w:val="auto"/>
        </w:rPr>
      </w:pPr>
      <w:r w:rsidRPr="00995887">
        <w:rPr>
          <w:bCs/>
          <w:i/>
          <w:iCs w:val="0"/>
          <w:color w:val="auto"/>
        </w:rPr>
        <w:t>Traditional</w:t>
      </w:r>
      <w:r w:rsidR="006C6F09" w:rsidRPr="00995887">
        <w:rPr>
          <w:bCs/>
          <w:i/>
          <w:iCs w:val="0"/>
          <w:color w:val="auto"/>
        </w:rPr>
        <w:t xml:space="preserve"> </w:t>
      </w:r>
      <w:r w:rsidRPr="00995887">
        <w:rPr>
          <w:bCs/>
          <w:i/>
          <w:iCs w:val="0"/>
          <w:color w:val="auto"/>
        </w:rPr>
        <w:t>Public</w:t>
      </w:r>
      <w:r w:rsidR="006C6F09" w:rsidRPr="00995887">
        <w:rPr>
          <w:bCs/>
          <w:i/>
          <w:iCs w:val="0"/>
          <w:color w:val="auto"/>
        </w:rPr>
        <w:t xml:space="preserve"> </w:t>
      </w:r>
      <w:r w:rsidRPr="00995887">
        <w:rPr>
          <w:bCs/>
          <w:i/>
          <w:iCs w:val="0"/>
          <w:color w:val="auto"/>
        </w:rPr>
        <w:t>Hearing</w:t>
      </w:r>
      <w:r w:rsidR="006C6F09" w:rsidRPr="00995887">
        <w:rPr>
          <w:bCs/>
          <w:i/>
          <w:iCs w:val="0"/>
          <w:color w:val="auto"/>
        </w:rPr>
        <w:t xml:space="preserve"> </w:t>
      </w:r>
      <w:r w:rsidRPr="00995887">
        <w:rPr>
          <w:bCs/>
          <w:i/>
          <w:iCs w:val="0"/>
          <w:color w:val="auto"/>
        </w:rPr>
        <w:t>Format</w:t>
      </w:r>
    </w:p>
    <w:p w14:paraId="6118FFFE" w14:textId="2AA11646" w:rsidR="00457754" w:rsidRDefault="00457754" w:rsidP="00457754">
      <w:r>
        <w:t>This</w:t>
      </w:r>
      <w:r w:rsidR="006C6F09">
        <w:t xml:space="preserve"> </w:t>
      </w:r>
      <w:r>
        <w:t>section</w:t>
      </w:r>
      <w:r w:rsidR="006C6F09">
        <w:t xml:space="preserve"> </w:t>
      </w:r>
      <w:r>
        <w:t>outlines</w:t>
      </w:r>
      <w:r w:rsidR="006C6F09">
        <w:t xml:space="preserve"> </w:t>
      </w:r>
      <w:r>
        <w:t>the</w:t>
      </w:r>
      <w:r w:rsidR="006C6F09">
        <w:t xml:space="preserve"> </w:t>
      </w:r>
      <w:r>
        <w:t>format</w:t>
      </w:r>
      <w:r w:rsidR="006C6F09">
        <w:t xml:space="preserve"> </w:t>
      </w:r>
      <w:r>
        <w:t>typically</w:t>
      </w:r>
      <w:r w:rsidR="006C6F09">
        <w:t xml:space="preserve"> </w:t>
      </w:r>
      <w:r>
        <w:t>used</w:t>
      </w:r>
      <w:r w:rsidR="006C6F09">
        <w:t xml:space="preserve"> </w:t>
      </w:r>
      <w:r>
        <w:t>for</w:t>
      </w:r>
      <w:r w:rsidR="006C6F09">
        <w:t xml:space="preserve"> </w:t>
      </w:r>
      <w:proofErr w:type="gramStart"/>
      <w:r>
        <w:t>a</w:t>
      </w:r>
      <w:r w:rsidR="006C6F09">
        <w:t xml:space="preserve"> </w:t>
      </w:r>
      <w:r>
        <w:t>public</w:t>
      </w:r>
      <w:proofErr w:type="gramEnd"/>
      <w:r w:rsidR="006C6F09">
        <w:t xml:space="preserve"> </w:t>
      </w:r>
      <w:r>
        <w:t>hearing.</w:t>
      </w:r>
      <w:r w:rsidR="006C6F09">
        <w:t xml:space="preserve"> </w:t>
      </w:r>
      <w:r>
        <w:t>The</w:t>
      </w:r>
      <w:r w:rsidR="006C6F09">
        <w:t xml:space="preserve"> </w:t>
      </w:r>
      <w:r>
        <w:t>responsibilities</w:t>
      </w:r>
      <w:r w:rsidR="006C6F09">
        <w:t xml:space="preserve"> </w:t>
      </w:r>
      <w:r>
        <w:t>and</w:t>
      </w:r>
      <w:r w:rsidR="006C6F09">
        <w:t xml:space="preserve"> </w:t>
      </w:r>
      <w:r>
        <w:t>steps</w:t>
      </w:r>
      <w:r w:rsidR="006C6F09">
        <w:t xml:space="preserve"> </w:t>
      </w:r>
      <w:r>
        <w:t>performed</w:t>
      </w:r>
      <w:r w:rsidR="006C6F09">
        <w:t xml:space="preserve"> </w:t>
      </w:r>
      <w:r>
        <w:t>by</w:t>
      </w:r>
      <w:r w:rsidR="006C6F09">
        <w:t xml:space="preserve"> </w:t>
      </w:r>
      <w:r>
        <w:t>a</w:t>
      </w:r>
      <w:r w:rsidR="006C6F09">
        <w:t xml:space="preserve"> </w:t>
      </w:r>
      <w:r>
        <w:t>TxDOT</w:t>
      </w:r>
      <w:r w:rsidR="006C6F09">
        <w:t xml:space="preserve"> </w:t>
      </w:r>
      <w:r>
        <w:t>employee</w:t>
      </w:r>
      <w:r w:rsidR="006C6F09">
        <w:t xml:space="preserve"> </w:t>
      </w:r>
      <w:r>
        <w:t>or</w:t>
      </w:r>
      <w:r w:rsidR="006C6F09">
        <w:t xml:space="preserve"> </w:t>
      </w:r>
      <w:r>
        <w:t>project</w:t>
      </w:r>
      <w:r w:rsidR="006C6F09">
        <w:t xml:space="preserve"> </w:t>
      </w:r>
      <w:r>
        <w:t>sponsor</w:t>
      </w:r>
      <w:r w:rsidR="006C6F09">
        <w:t xml:space="preserve"> </w:t>
      </w:r>
      <w:r>
        <w:t>are</w:t>
      </w:r>
      <w:r w:rsidR="006C6F09">
        <w:t xml:space="preserve"> </w:t>
      </w:r>
      <w:r>
        <w:t>noted.</w:t>
      </w:r>
      <w:r w:rsidR="006C6F09">
        <w:t xml:space="preserve"> </w:t>
      </w:r>
      <w:r>
        <w:t>Other</w:t>
      </w:r>
      <w:r w:rsidR="006C6F09">
        <w:t xml:space="preserve"> </w:t>
      </w:r>
      <w:r>
        <w:t>entities</w:t>
      </w:r>
      <w:r w:rsidR="006C6F09">
        <w:t xml:space="preserve"> </w:t>
      </w:r>
      <w:r>
        <w:t>may</w:t>
      </w:r>
      <w:r w:rsidR="006C6F09">
        <w:t xml:space="preserve"> </w:t>
      </w:r>
      <w:r>
        <w:t>conduct</w:t>
      </w:r>
      <w:r w:rsidR="006C6F09">
        <w:t xml:space="preserve"> </w:t>
      </w:r>
      <w:r>
        <w:t>the</w:t>
      </w:r>
      <w:r w:rsidR="006C6F09">
        <w:t xml:space="preserve"> </w:t>
      </w:r>
      <w:r>
        <w:t>unassigned</w:t>
      </w:r>
      <w:r w:rsidR="006C6F09">
        <w:t xml:space="preserve"> </w:t>
      </w:r>
      <w:r>
        <w:t>steps.</w:t>
      </w:r>
    </w:p>
    <w:p w14:paraId="172190F0" w14:textId="7EB61235" w:rsidR="00457754" w:rsidRPr="00404BBC" w:rsidRDefault="005E143B" w:rsidP="005E143B">
      <w:pPr>
        <w:pStyle w:val="ListNumber"/>
        <w:numPr>
          <w:ilvl w:val="0"/>
          <w:numId w:val="0"/>
        </w:numPr>
      </w:pPr>
      <w:r>
        <w:t>1.</w:t>
      </w:r>
      <w:r w:rsidR="006C6F09">
        <w:t xml:space="preserve"> </w:t>
      </w:r>
      <w:r w:rsidR="00457754" w:rsidRPr="00404BBC">
        <w:t>The</w:t>
      </w:r>
      <w:r w:rsidR="006C6F09">
        <w:t xml:space="preserve"> </w:t>
      </w:r>
      <w:r w:rsidR="00457754" w:rsidRPr="00404BBC">
        <w:t>TxDOT</w:t>
      </w:r>
      <w:r w:rsidR="006C6F09">
        <w:t xml:space="preserve"> </w:t>
      </w:r>
      <w:r w:rsidR="00457754" w:rsidRPr="00404BBC">
        <w:t>employee</w:t>
      </w:r>
      <w:r w:rsidR="006C6F09">
        <w:t xml:space="preserve"> </w:t>
      </w:r>
      <w:r w:rsidR="00457754" w:rsidRPr="00404BBC">
        <w:t>convenes</w:t>
      </w:r>
      <w:r w:rsidR="006C6F09">
        <w:t xml:space="preserve"> </w:t>
      </w:r>
      <w:r w:rsidR="00457754" w:rsidRPr="00404BBC">
        <w:t>the</w:t>
      </w:r>
      <w:r w:rsidR="006C6F09">
        <w:t xml:space="preserve"> </w:t>
      </w:r>
      <w:r w:rsidR="00457754" w:rsidRPr="00404BBC">
        <w:t>hearing</w:t>
      </w:r>
      <w:r w:rsidR="006C6F09">
        <w:t xml:space="preserve"> </w:t>
      </w:r>
      <w:r w:rsidR="00457754" w:rsidRPr="00404BBC">
        <w:t>and</w:t>
      </w:r>
      <w:r w:rsidR="006C6F09">
        <w:t xml:space="preserve"> </w:t>
      </w:r>
      <w:r w:rsidR="00457754" w:rsidRPr="00404BBC">
        <w:t>conducts</w:t>
      </w:r>
      <w:r w:rsidR="006C6F09">
        <w:t xml:space="preserve"> </w:t>
      </w:r>
      <w:r w:rsidR="00457754" w:rsidRPr="00404BBC">
        <w:t>the</w:t>
      </w:r>
      <w:r w:rsidR="006C6F09">
        <w:t xml:space="preserve"> </w:t>
      </w:r>
      <w:r w:rsidR="00457754" w:rsidRPr="00404BBC">
        <w:t>following</w:t>
      </w:r>
      <w:r w:rsidR="006C6F09">
        <w:t xml:space="preserve"> </w:t>
      </w:r>
      <w:r w:rsidR="00457754" w:rsidRPr="00404BBC">
        <w:t>tasks.</w:t>
      </w:r>
    </w:p>
    <w:p w14:paraId="7DC1FC9C" w14:textId="29E58A25" w:rsidR="00457754" w:rsidRPr="00404BBC" w:rsidRDefault="00457754" w:rsidP="00457754">
      <w:pPr>
        <w:pStyle w:val="ListBullet"/>
      </w:pPr>
      <w:r w:rsidRPr="00404BBC">
        <w:t>Make</w:t>
      </w:r>
      <w:r w:rsidR="006C6F09">
        <w:t xml:space="preserve"> </w:t>
      </w:r>
      <w:r w:rsidRPr="00404BBC">
        <w:t>introductions.</w:t>
      </w:r>
    </w:p>
    <w:p w14:paraId="1604DA12" w14:textId="60EB60D1" w:rsidR="00457754" w:rsidRPr="00404BBC" w:rsidRDefault="00457754" w:rsidP="00457754">
      <w:pPr>
        <w:pStyle w:val="ListBullet"/>
      </w:pPr>
      <w:r w:rsidRPr="00404BBC">
        <w:t>State</w:t>
      </w:r>
      <w:r w:rsidR="006C6F09">
        <w:t xml:space="preserve"> </w:t>
      </w:r>
      <w:r w:rsidRPr="00404BBC">
        <w:t>the</w:t>
      </w:r>
      <w:r w:rsidR="006C6F09">
        <w:t xml:space="preserve"> </w:t>
      </w:r>
      <w:r w:rsidRPr="00404BBC">
        <w:t>purpose</w:t>
      </w:r>
      <w:r w:rsidR="006C6F09">
        <w:t xml:space="preserve"> </w:t>
      </w:r>
      <w:r w:rsidRPr="00404BBC">
        <w:t>of</w:t>
      </w:r>
      <w:r w:rsidR="006C6F09">
        <w:t xml:space="preserve"> </w:t>
      </w:r>
      <w:r w:rsidRPr="00404BBC">
        <w:t>hearing.</w:t>
      </w:r>
    </w:p>
    <w:p w14:paraId="532E9F82" w14:textId="77D46EA2" w:rsidR="00457754" w:rsidRPr="00404BBC" w:rsidRDefault="00457754" w:rsidP="00263E76">
      <w:pPr>
        <w:pStyle w:val="ListBullet"/>
        <w:spacing w:after="0"/>
      </w:pPr>
      <w:r w:rsidRPr="00404BBC">
        <w:t>State</w:t>
      </w:r>
      <w:r w:rsidR="006C6F09">
        <w:t xml:space="preserve"> </w:t>
      </w:r>
      <w:r w:rsidRPr="00404BBC">
        <w:t>that</w:t>
      </w:r>
      <w:r w:rsidR="006C6F09">
        <w:t xml:space="preserve"> </w:t>
      </w:r>
      <w:r w:rsidRPr="00404BBC">
        <w:t>the</w:t>
      </w:r>
      <w:r w:rsidR="006C6F09">
        <w:t xml:space="preserve"> </w:t>
      </w:r>
      <w:r w:rsidRPr="00404BBC">
        <w:t>public</w:t>
      </w:r>
      <w:r w:rsidR="006C6F09">
        <w:t xml:space="preserve"> </w:t>
      </w:r>
      <w:r w:rsidRPr="00404BBC">
        <w:t>has</w:t>
      </w:r>
      <w:r w:rsidR="006C6F09">
        <w:t xml:space="preserve"> </w:t>
      </w:r>
      <w:r w:rsidRPr="00404BBC">
        <w:t>15</w:t>
      </w:r>
      <w:r w:rsidR="006C6F09">
        <w:t xml:space="preserve"> </w:t>
      </w:r>
      <w:r w:rsidRPr="00404BBC">
        <w:t>calendar</w:t>
      </w:r>
      <w:r w:rsidR="006C6F09">
        <w:t xml:space="preserve"> </w:t>
      </w:r>
      <w:r w:rsidRPr="00404BBC">
        <w:t>days</w:t>
      </w:r>
      <w:r w:rsidR="006C6F09">
        <w:t xml:space="preserve"> </w:t>
      </w:r>
      <w:r w:rsidRPr="00404BBC">
        <w:t>following</w:t>
      </w:r>
      <w:r w:rsidR="006C6F09">
        <w:t xml:space="preserve"> </w:t>
      </w:r>
      <w:r w:rsidRPr="00404BBC">
        <w:t>the</w:t>
      </w:r>
      <w:r w:rsidR="006C6F09">
        <w:t xml:space="preserve"> </w:t>
      </w:r>
      <w:r w:rsidRPr="00404BBC">
        <w:t>hearing</w:t>
      </w:r>
      <w:r w:rsidR="006C6F09">
        <w:t xml:space="preserve"> </w:t>
      </w:r>
      <w:r w:rsidRPr="00404BBC">
        <w:t>to</w:t>
      </w:r>
      <w:r w:rsidR="006C6F09">
        <w:t xml:space="preserve"> </w:t>
      </w:r>
      <w:r w:rsidRPr="00404BBC">
        <w:t>submit</w:t>
      </w:r>
      <w:r w:rsidR="006C6F09">
        <w:t xml:space="preserve"> </w:t>
      </w:r>
      <w:r w:rsidRPr="00404BBC">
        <w:t>written</w:t>
      </w:r>
      <w:r w:rsidR="006C6F09">
        <w:t xml:space="preserve"> </w:t>
      </w:r>
      <w:r w:rsidRPr="00404BBC">
        <w:t>comments</w:t>
      </w:r>
      <w:r w:rsidR="006C6F09">
        <w:t xml:space="preserve"> </w:t>
      </w:r>
      <w:r w:rsidRPr="00404BBC">
        <w:t>(or</w:t>
      </w:r>
      <w:r w:rsidR="006C6F09">
        <w:t xml:space="preserve"> </w:t>
      </w:r>
      <w:r w:rsidRPr="00404BBC">
        <w:t>for</w:t>
      </w:r>
      <w:r w:rsidR="006C6F09">
        <w:t xml:space="preserve"> </w:t>
      </w:r>
      <w:r w:rsidRPr="00404BBC">
        <w:t>an</w:t>
      </w:r>
      <w:r w:rsidR="006C6F09">
        <w:t xml:space="preserve"> </w:t>
      </w:r>
      <w:r w:rsidRPr="00404BBC">
        <w:t>EIS,</w:t>
      </w:r>
      <w:r w:rsidR="006C6F09">
        <w:t xml:space="preserve"> </w:t>
      </w:r>
      <w:r w:rsidRPr="00404BBC">
        <w:t>a</w:t>
      </w:r>
      <w:r w:rsidR="006C6F09">
        <w:t xml:space="preserve"> </w:t>
      </w:r>
      <w:r w:rsidRPr="00404BBC">
        <w:t>date</w:t>
      </w:r>
      <w:r w:rsidR="006C6F09">
        <w:t xml:space="preserve"> </w:t>
      </w:r>
      <w:r w:rsidRPr="00404BBC">
        <w:t>that</w:t>
      </w:r>
      <w:r w:rsidR="006C6F09">
        <w:t xml:space="preserve"> </w:t>
      </w:r>
      <w:r w:rsidRPr="00404BBC">
        <w:t>is</w:t>
      </w:r>
      <w:r w:rsidR="006C6F09">
        <w:t xml:space="preserve"> </w:t>
      </w:r>
      <w:r w:rsidRPr="00404BBC">
        <w:t>both</w:t>
      </w:r>
      <w:r w:rsidR="006C6F09">
        <w:t xml:space="preserve"> </w:t>
      </w:r>
      <w:r w:rsidRPr="00404BBC">
        <w:t>15</w:t>
      </w:r>
      <w:r w:rsidR="006C6F09">
        <w:t xml:space="preserve"> </w:t>
      </w:r>
      <w:r w:rsidRPr="00404BBC">
        <w:t>calendar</w:t>
      </w:r>
      <w:r w:rsidR="006C6F09">
        <w:t xml:space="preserve"> </w:t>
      </w:r>
      <w:r w:rsidRPr="00404BBC">
        <w:t>days</w:t>
      </w:r>
      <w:r w:rsidR="006C6F09">
        <w:t xml:space="preserve"> </w:t>
      </w:r>
      <w:r w:rsidRPr="00404BBC">
        <w:t>following</w:t>
      </w:r>
      <w:r w:rsidR="006C6F09">
        <w:t xml:space="preserve"> </w:t>
      </w:r>
      <w:r w:rsidRPr="00404BBC">
        <w:t>the</w:t>
      </w:r>
      <w:r w:rsidR="006C6F09">
        <w:t xml:space="preserve"> </w:t>
      </w:r>
      <w:r w:rsidRPr="00404BBC">
        <w:t>hearing</w:t>
      </w:r>
      <w:r w:rsidR="006C6F09">
        <w:t xml:space="preserve"> </w:t>
      </w:r>
      <w:r w:rsidRPr="00404BBC">
        <w:t>and</w:t>
      </w:r>
      <w:r w:rsidR="006C6F09">
        <w:t xml:space="preserve"> </w:t>
      </w:r>
      <w:r w:rsidRPr="00404BBC">
        <w:t>45</w:t>
      </w:r>
      <w:r w:rsidR="006C6F09">
        <w:t xml:space="preserve"> </w:t>
      </w:r>
      <w:r w:rsidRPr="00404BBC">
        <w:t>calendar</w:t>
      </w:r>
      <w:r w:rsidR="006C6F09">
        <w:t xml:space="preserve"> </w:t>
      </w:r>
      <w:r w:rsidRPr="00404BBC">
        <w:t>days</w:t>
      </w:r>
      <w:r w:rsidR="006C6F09">
        <w:t xml:space="preserve"> </w:t>
      </w:r>
      <w:r w:rsidRPr="00404BBC">
        <w:t>following</w:t>
      </w:r>
      <w:r w:rsidR="006C6F09">
        <w:t xml:space="preserve"> </w:t>
      </w:r>
      <w:r w:rsidRPr="00404BBC">
        <w:t>the</w:t>
      </w:r>
      <w:r w:rsidR="006C6F09">
        <w:t xml:space="preserve"> </w:t>
      </w:r>
      <w:r w:rsidRPr="00404BBC">
        <w:t>publication</w:t>
      </w:r>
      <w:r w:rsidR="006C6F09">
        <w:t xml:space="preserve"> </w:t>
      </w:r>
      <w:r w:rsidRPr="00404BBC">
        <w:t>of</w:t>
      </w:r>
      <w:r w:rsidR="006C6F09">
        <w:t xml:space="preserve"> </w:t>
      </w:r>
      <w:r w:rsidRPr="00404BBC">
        <w:t>the</w:t>
      </w:r>
      <w:r w:rsidR="006C6F09">
        <w:t xml:space="preserve"> </w:t>
      </w:r>
      <w:r w:rsidRPr="00404BBC">
        <w:t>notice</w:t>
      </w:r>
      <w:r w:rsidR="006C6F09">
        <w:t xml:space="preserve"> </w:t>
      </w:r>
      <w:r w:rsidRPr="00404BBC">
        <w:t>of</w:t>
      </w:r>
      <w:r w:rsidR="006C6F09">
        <w:t xml:space="preserve"> </w:t>
      </w:r>
      <w:r w:rsidRPr="00404BBC">
        <w:t>availability</w:t>
      </w:r>
      <w:r w:rsidR="006C6F09">
        <w:t xml:space="preserve"> </w:t>
      </w:r>
      <w:r w:rsidRPr="00404BBC">
        <w:t>in</w:t>
      </w:r>
      <w:r w:rsidR="006C6F09">
        <w:t xml:space="preserve"> </w:t>
      </w:r>
      <w:r w:rsidRPr="00404BBC">
        <w:t>the</w:t>
      </w:r>
      <w:r w:rsidR="006C6F09">
        <w:t xml:space="preserve"> </w:t>
      </w:r>
      <w:r w:rsidRPr="00404BBC">
        <w:t>Federal</w:t>
      </w:r>
      <w:r w:rsidR="006C6F09">
        <w:t xml:space="preserve"> </w:t>
      </w:r>
      <w:r w:rsidRPr="00404BBC">
        <w:t>Register,</w:t>
      </w:r>
      <w:r w:rsidR="006C6F09">
        <w:t xml:space="preserve"> </w:t>
      </w:r>
      <w:r w:rsidRPr="00404BBC">
        <w:t>or</w:t>
      </w:r>
      <w:r w:rsidR="006C6F09">
        <w:t xml:space="preserve"> </w:t>
      </w:r>
      <w:r w:rsidRPr="00404BBC">
        <w:t>for</w:t>
      </w:r>
      <w:r w:rsidR="006C6F09">
        <w:t xml:space="preserve"> </w:t>
      </w:r>
      <w:r w:rsidRPr="00404BBC">
        <w:t>a</w:t>
      </w:r>
      <w:r w:rsidR="006C6F09">
        <w:t xml:space="preserve"> </w:t>
      </w:r>
      <w:r w:rsidRPr="00404BBC">
        <w:t>state</w:t>
      </w:r>
      <w:r w:rsidR="006C6F09">
        <w:t xml:space="preserve"> </w:t>
      </w:r>
      <w:r w:rsidRPr="00404BBC">
        <w:t>project,</w:t>
      </w:r>
      <w:r w:rsidR="006C6F09">
        <w:t xml:space="preserve"> </w:t>
      </w:r>
      <w:r w:rsidRPr="00404BBC">
        <w:t>the</w:t>
      </w:r>
      <w:r w:rsidR="006C6F09">
        <w:t xml:space="preserve"> </w:t>
      </w:r>
      <w:r w:rsidRPr="00404BBC">
        <w:t>Texas</w:t>
      </w:r>
      <w:r w:rsidR="006C6F09">
        <w:t xml:space="preserve"> </w:t>
      </w:r>
      <w:r w:rsidRPr="00404BBC">
        <w:t>Register).</w:t>
      </w:r>
    </w:p>
    <w:p w14:paraId="7969D523" w14:textId="0BC14898" w:rsidR="005E143B" w:rsidRDefault="00457754" w:rsidP="00D97AAC">
      <w:pPr>
        <w:pStyle w:val="ListNumber"/>
        <w:numPr>
          <w:ilvl w:val="0"/>
          <w:numId w:val="6"/>
        </w:numPr>
        <w:ind w:left="360"/>
      </w:pPr>
      <w:r>
        <w:t>The</w:t>
      </w:r>
      <w:r w:rsidR="006C6F09">
        <w:t xml:space="preserve"> </w:t>
      </w:r>
      <w:r>
        <w:t>TxDOT</w:t>
      </w:r>
      <w:r w:rsidR="006C6F09">
        <w:t xml:space="preserve"> </w:t>
      </w:r>
      <w:r>
        <w:t>employee</w:t>
      </w:r>
      <w:r w:rsidR="006C6F09">
        <w:t xml:space="preserve"> </w:t>
      </w:r>
      <w:r>
        <w:t>or</w:t>
      </w:r>
      <w:r w:rsidR="006C6F09">
        <w:t xml:space="preserve"> </w:t>
      </w:r>
      <w:r>
        <w:t>project</w:t>
      </w:r>
      <w:r w:rsidR="006C6F09">
        <w:t xml:space="preserve"> </w:t>
      </w:r>
      <w:r>
        <w:t>sponsor</w:t>
      </w:r>
      <w:r w:rsidR="006C6F09">
        <w:t xml:space="preserve"> </w:t>
      </w:r>
      <w:r>
        <w:t>reviews</w:t>
      </w:r>
      <w:r w:rsidR="006C6F09">
        <w:t xml:space="preserve"> </w:t>
      </w:r>
      <w:r>
        <w:t>the</w:t>
      </w:r>
      <w:r w:rsidR="006C6F09">
        <w:t xml:space="preserve"> </w:t>
      </w:r>
      <w:r>
        <w:t>hearing</w:t>
      </w:r>
      <w:r w:rsidR="006C6F09">
        <w:t xml:space="preserve"> </w:t>
      </w:r>
      <w:r>
        <w:t>procedures</w:t>
      </w:r>
      <w:r w:rsidR="006C6F09">
        <w:t xml:space="preserve"> </w:t>
      </w:r>
      <w:r>
        <w:t>and</w:t>
      </w:r>
      <w:r w:rsidR="006C6F09">
        <w:t xml:space="preserve"> </w:t>
      </w:r>
      <w:r>
        <w:t>agenda.</w:t>
      </w:r>
    </w:p>
    <w:p w14:paraId="26C87453" w14:textId="6996A12F" w:rsidR="005E143B" w:rsidRDefault="00457754" w:rsidP="00D97AAC">
      <w:pPr>
        <w:pStyle w:val="ListNumber"/>
        <w:numPr>
          <w:ilvl w:val="0"/>
          <w:numId w:val="6"/>
        </w:numPr>
        <w:spacing w:after="0"/>
        <w:ind w:left="360"/>
      </w:pPr>
      <w:r>
        <w:t>The</w:t>
      </w:r>
      <w:r w:rsidR="006C6F09">
        <w:t xml:space="preserve"> </w:t>
      </w:r>
      <w:r>
        <w:t>TxDOT</w:t>
      </w:r>
      <w:r w:rsidR="006C6F09">
        <w:t xml:space="preserve"> </w:t>
      </w:r>
      <w:r>
        <w:t>employee</w:t>
      </w:r>
      <w:r w:rsidR="006C6F09">
        <w:t xml:space="preserve"> </w:t>
      </w:r>
      <w:r>
        <w:t>or</w:t>
      </w:r>
      <w:r w:rsidR="006C6F09">
        <w:t xml:space="preserve"> </w:t>
      </w:r>
      <w:r>
        <w:t>project</w:t>
      </w:r>
      <w:r w:rsidR="006C6F09">
        <w:t xml:space="preserve"> </w:t>
      </w:r>
      <w:r>
        <w:t>sponsor</w:t>
      </w:r>
      <w:r w:rsidR="006C6F09">
        <w:t xml:space="preserve"> </w:t>
      </w:r>
      <w:r>
        <w:t>discusses</w:t>
      </w:r>
      <w:r w:rsidR="006C6F09">
        <w:t xml:space="preserve"> </w:t>
      </w:r>
      <w:r>
        <w:t>the</w:t>
      </w:r>
      <w:r w:rsidR="006C6F09">
        <w:t xml:space="preserve"> </w:t>
      </w:r>
      <w:r>
        <w:t>state,</w:t>
      </w:r>
      <w:r w:rsidR="006C6F09">
        <w:t xml:space="preserve"> </w:t>
      </w:r>
      <w:r>
        <w:t>federal,</w:t>
      </w:r>
      <w:r w:rsidR="006C6F09">
        <w:t xml:space="preserve"> </w:t>
      </w:r>
      <w:r>
        <w:t>and</w:t>
      </w:r>
      <w:r w:rsidR="006C6F09">
        <w:t xml:space="preserve"> </w:t>
      </w:r>
      <w:r>
        <w:t>local</w:t>
      </w:r>
      <w:r w:rsidR="006C6F09">
        <w:t xml:space="preserve"> </w:t>
      </w:r>
      <w:r>
        <w:t>government</w:t>
      </w:r>
      <w:r w:rsidR="006C6F09">
        <w:t xml:space="preserve"> </w:t>
      </w:r>
      <w:r>
        <w:t>relationship.</w:t>
      </w:r>
    </w:p>
    <w:p w14:paraId="21F4A7F5" w14:textId="55FA53D2" w:rsidR="00457754" w:rsidRPr="00404BBC" w:rsidRDefault="00457754" w:rsidP="00D97AAC">
      <w:pPr>
        <w:pStyle w:val="ListNumber"/>
        <w:numPr>
          <w:ilvl w:val="0"/>
          <w:numId w:val="6"/>
        </w:numPr>
        <w:spacing w:after="0"/>
        <w:ind w:left="360"/>
      </w:pPr>
      <w:r w:rsidRPr="00404BBC">
        <w:t>Present</w:t>
      </w:r>
      <w:r w:rsidR="006C6F09">
        <w:t xml:space="preserve"> </w:t>
      </w:r>
      <w:r w:rsidRPr="00404BBC">
        <w:t>the</w:t>
      </w:r>
      <w:r w:rsidR="006C6F09">
        <w:t xml:space="preserve"> </w:t>
      </w:r>
      <w:r w:rsidRPr="00404BBC">
        <w:t>proposed</w:t>
      </w:r>
      <w:r w:rsidR="006C6F09">
        <w:t xml:space="preserve"> </w:t>
      </w:r>
      <w:r w:rsidRPr="00404BBC">
        <w:t>project,</w:t>
      </w:r>
      <w:r w:rsidR="006C6F09">
        <w:t xml:space="preserve"> </w:t>
      </w:r>
      <w:r w:rsidRPr="00404BBC">
        <w:t>including</w:t>
      </w:r>
      <w:r w:rsidR="006C6F09">
        <w:t xml:space="preserve"> </w:t>
      </w:r>
      <w:r w:rsidRPr="00404BBC">
        <w:t>the</w:t>
      </w:r>
      <w:r w:rsidR="006C6F09">
        <w:t xml:space="preserve"> </w:t>
      </w:r>
      <w:r w:rsidRPr="00404BBC">
        <w:t>following</w:t>
      </w:r>
      <w:r w:rsidR="006C6F09">
        <w:t xml:space="preserve"> </w:t>
      </w:r>
      <w:r w:rsidRPr="00404BBC">
        <w:t>information.</w:t>
      </w:r>
      <w:r w:rsidR="006C6F09">
        <w:t xml:space="preserve"> </w:t>
      </w:r>
      <w:r w:rsidRPr="00404BBC">
        <w:t>The</w:t>
      </w:r>
      <w:r w:rsidR="006C6F09">
        <w:t xml:space="preserve"> </w:t>
      </w:r>
      <w:r w:rsidRPr="00404BBC">
        <w:t>presentation</w:t>
      </w:r>
      <w:r w:rsidR="006C6F09">
        <w:t xml:space="preserve"> </w:t>
      </w:r>
      <w:r w:rsidRPr="00404BBC">
        <w:t>that</w:t>
      </w:r>
      <w:r w:rsidR="006C6F09">
        <w:t xml:space="preserve"> </w:t>
      </w:r>
      <w:r w:rsidRPr="00404BBC">
        <w:t>is</w:t>
      </w:r>
      <w:r w:rsidR="006C6F09">
        <w:t xml:space="preserve"> </w:t>
      </w:r>
      <w:r w:rsidRPr="00404BBC">
        <w:t>delivered</w:t>
      </w:r>
      <w:r w:rsidR="006C6F09">
        <w:t xml:space="preserve"> </w:t>
      </w:r>
      <w:r w:rsidRPr="00404BBC">
        <w:t>must</w:t>
      </w:r>
      <w:r w:rsidR="006C6F09">
        <w:t xml:space="preserve"> </w:t>
      </w:r>
      <w:r w:rsidRPr="00404BBC">
        <w:t>be</w:t>
      </w:r>
      <w:r w:rsidR="006C6F09">
        <w:t xml:space="preserve"> </w:t>
      </w:r>
      <w:r w:rsidRPr="00404BBC">
        <w:t>substantively</w:t>
      </w:r>
      <w:r w:rsidR="006C6F09">
        <w:t xml:space="preserve"> </w:t>
      </w:r>
      <w:r w:rsidRPr="00404BBC">
        <w:t>identical</w:t>
      </w:r>
      <w:r w:rsidR="006C6F09">
        <w:t xml:space="preserve"> </w:t>
      </w:r>
      <w:r w:rsidRPr="00404BBC">
        <w:t>to</w:t>
      </w:r>
      <w:r w:rsidR="006C6F09">
        <w:t xml:space="preserve"> </w:t>
      </w:r>
      <w:r w:rsidRPr="00404BBC">
        <w:t>the</w:t>
      </w:r>
      <w:r w:rsidR="006C6F09">
        <w:t xml:space="preserve"> </w:t>
      </w:r>
      <w:r w:rsidRPr="00404BBC">
        <w:t>virtual</w:t>
      </w:r>
      <w:r w:rsidR="006C6F09">
        <w:t xml:space="preserve"> </w:t>
      </w:r>
      <w:r w:rsidRPr="00404BBC">
        <w:t>public</w:t>
      </w:r>
      <w:r w:rsidR="006C6F09">
        <w:t xml:space="preserve"> </w:t>
      </w:r>
      <w:r w:rsidRPr="00404BBC">
        <w:t>hearing</w:t>
      </w:r>
      <w:r w:rsidR="006C6F09">
        <w:t xml:space="preserve"> </w:t>
      </w:r>
      <w:r w:rsidRPr="00404BBC">
        <w:t>presentation</w:t>
      </w:r>
      <w:r w:rsidR="006C6F09">
        <w:t xml:space="preserve"> </w:t>
      </w:r>
      <w:r w:rsidRPr="00404BBC">
        <w:t>(i</w:t>
      </w:r>
      <w:r>
        <w:t>n</w:t>
      </w:r>
      <w:r w:rsidR="006C6F09">
        <w:t xml:space="preserve"> </w:t>
      </w:r>
      <w:r>
        <w:t>other</w:t>
      </w:r>
      <w:r w:rsidR="006C6F09">
        <w:t xml:space="preserve"> </w:t>
      </w:r>
      <w:r>
        <w:t>words</w:t>
      </w:r>
      <w:r w:rsidRPr="00404BBC">
        <w:t>,</w:t>
      </w:r>
      <w:r w:rsidR="006C6F09">
        <w:t xml:space="preserve"> </w:t>
      </w:r>
      <w:r w:rsidRPr="00404BBC">
        <w:t>it</w:t>
      </w:r>
      <w:r w:rsidR="006C6F09">
        <w:t xml:space="preserve"> </w:t>
      </w:r>
      <w:r w:rsidRPr="00404BBC">
        <w:t>must</w:t>
      </w:r>
      <w:r w:rsidR="006C6F09">
        <w:t xml:space="preserve"> </w:t>
      </w:r>
      <w:r w:rsidRPr="00404BBC">
        <w:t>contain</w:t>
      </w:r>
      <w:r w:rsidR="006C6F09">
        <w:t xml:space="preserve"> </w:t>
      </w:r>
      <w:r w:rsidRPr="00404BBC">
        <w:t>the</w:t>
      </w:r>
      <w:r w:rsidR="006C6F09">
        <w:t xml:space="preserve"> </w:t>
      </w:r>
      <w:r w:rsidRPr="00404BBC">
        <w:t>same</w:t>
      </w:r>
      <w:r w:rsidR="006C6F09">
        <w:t xml:space="preserve"> </w:t>
      </w:r>
      <w:r w:rsidRPr="00404BBC">
        <w:t>substantive</w:t>
      </w:r>
      <w:r w:rsidR="006C6F09">
        <w:t xml:space="preserve"> </w:t>
      </w:r>
      <w:r w:rsidRPr="00404BBC">
        <w:t>information).</w:t>
      </w:r>
    </w:p>
    <w:p w14:paraId="41DC26DD" w14:textId="3837A7B2" w:rsidR="00457754" w:rsidRPr="00404BBC" w:rsidRDefault="00457754" w:rsidP="00457754">
      <w:pPr>
        <w:pStyle w:val="ListBullet"/>
      </w:pPr>
      <w:r w:rsidRPr="00404BBC">
        <w:t>layman</w:t>
      </w:r>
      <w:r w:rsidR="006C6F09">
        <w:t xml:space="preserve"> </w:t>
      </w:r>
      <w:r w:rsidRPr="00404BBC">
        <w:t>description</w:t>
      </w:r>
      <w:r w:rsidR="006C6F09">
        <w:t xml:space="preserve"> </w:t>
      </w:r>
      <w:r w:rsidRPr="00404BBC">
        <w:t>of</w:t>
      </w:r>
      <w:r w:rsidR="006C6F09">
        <w:t xml:space="preserve"> </w:t>
      </w:r>
      <w:r w:rsidRPr="00404BBC">
        <w:t>the</w:t>
      </w:r>
      <w:r w:rsidR="006C6F09">
        <w:t xml:space="preserve"> </w:t>
      </w:r>
      <w:r w:rsidRPr="00404BBC">
        <w:t>proposed</w:t>
      </w:r>
      <w:r w:rsidR="006C6F09">
        <w:t xml:space="preserve"> </w:t>
      </w:r>
      <w:r w:rsidRPr="00404BBC">
        <w:t>project</w:t>
      </w:r>
    </w:p>
    <w:p w14:paraId="35CBC35A" w14:textId="263FF988" w:rsidR="00457754" w:rsidRPr="00404BBC" w:rsidRDefault="00457754" w:rsidP="00457754">
      <w:pPr>
        <w:pStyle w:val="ListBullet"/>
      </w:pPr>
      <w:r w:rsidRPr="00404BBC">
        <w:t>Purpose</w:t>
      </w:r>
      <w:r w:rsidR="006C6F09">
        <w:t xml:space="preserve"> </w:t>
      </w:r>
      <w:r w:rsidRPr="00404BBC">
        <w:t>and</w:t>
      </w:r>
      <w:r w:rsidR="006C6F09">
        <w:t xml:space="preserve"> </w:t>
      </w:r>
      <w:r w:rsidRPr="00404BBC">
        <w:t>need</w:t>
      </w:r>
      <w:r w:rsidR="006C6F09">
        <w:t xml:space="preserve"> </w:t>
      </w:r>
      <w:r w:rsidRPr="00404BBC">
        <w:t>of</w:t>
      </w:r>
      <w:r w:rsidR="006C6F09">
        <w:t xml:space="preserve"> </w:t>
      </w:r>
      <w:r w:rsidRPr="00404BBC">
        <w:t>the</w:t>
      </w:r>
      <w:r w:rsidR="006C6F09">
        <w:t xml:space="preserve"> </w:t>
      </w:r>
      <w:r w:rsidRPr="00404BBC">
        <w:t>proposed</w:t>
      </w:r>
      <w:r w:rsidR="006C6F09">
        <w:t xml:space="preserve"> </w:t>
      </w:r>
      <w:r w:rsidRPr="00404BBC">
        <w:t>project</w:t>
      </w:r>
      <w:r w:rsidR="006C6F09">
        <w:t xml:space="preserve"> </w:t>
      </w:r>
      <w:r w:rsidRPr="00404BBC">
        <w:t>(if</w:t>
      </w:r>
      <w:r w:rsidR="006C6F09">
        <w:t xml:space="preserve"> </w:t>
      </w:r>
      <w:r w:rsidRPr="00404BBC">
        <w:t>the</w:t>
      </w:r>
      <w:r w:rsidR="006C6F09">
        <w:t xml:space="preserve"> </w:t>
      </w:r>
      <w:r w:rsidRPr="00404BBC">
        <w:t>project</w:t>
      </w:r>
      <w:r w:rsidR="006C6F09">
        <w:t xml:space="preserve"> </w:t>
      </w:r>
      <w:r w:rsidRPr="00404BBC">
        <w:t>is</w:t>
      </w:r>
      <w:r w:rsidR="006C6F09">
        <w:t xml:space="preserve"> </w:t>
      </w:r>
      <w:r w:rsidRPr="00404BBC">
        <w:t>the</w:t>
      </w:r>
      <w:r w:rsidR="006C6F09">
        <w:t xml:space="preserve"> </w:t>
      </w:r>
      <w:r w:rsidRPr="00404BBC">
        <w:t>subject</w:t>
      </w:r>
      <w:r w:rsidR="006C6F09">
        <w:t xml:space="preserve"> </w:t>
      </w:r>
      <w:r w:rsidRPr="00404BBC">
        <w:t>of</w:t>
      </w:r>
      <w:r w:rsidR="006C6F09">
        <w:t xml:space="preserve"> </w:t>
      </w:r>
      <w:r w:rsidRPr="00404BBC">
        <w:t>an</w:t>
      </w:r>
      <w:r w:rsidR="006C6F09">
        <w:t xml:space="preserve"> </w:t>
      </w:r>
      <w:r w:rsidRPr="00404BBC">
        <w:t>EA</w:t>
      </w:r>
      <w:r w:rsidR="006C6F09">
        <w:t xml:space="preserve"> </w:t>
      </w:r>
      <w:r w:rsidRPr="00404BBC">
        <w:t>or</w:t>
      </w:r>
      <w:r w:rsidR="006C6F09">
        <w:t xml:space="preserve"> </w:t>
      </w:r>
      <w:r w:rsidRPr="00404BBC">
        <w:t>EIS)</w:t>
      </w:r>
      <w:r w:rsidR="006C6F09">
        <w:t xml:space="preserve"> </w:t>
      </w:r>
      <w:r w:rsidRPr="00404BBC">
        <w:t>or</w:t>
      </w:r>
      <w:r w:rsidR="006C6F09">
        <w:t xml:space="preserve"> </w:t>
      </w:r>
      <w:r w:rsidRPr="00404BBC">
        <w:t>explanation</w:t>
      </w:r>
      <w:r w:rsidR="006C6F09">
        <w:t xml:space="preserve"> </w:t>
      </w:r>
      <w:r w:rsidRPr="00404BBC">
        <w:t>of</w:t>
      </w:r>
      <w:r w:rsidR="006C6F09">
        <w:t xml:space="preserve"> </w:t>
      </w:r>
      <w:r w:rsidRPr="00404BBC">
        <w:t>why</w:t>
      </w:r>
      <w:r w:rsidR="006C6F09">
        <w:t xml:space="preserve"> </w:t>
      </w:r>
      <w:r w:rsidRPr="00404BBC">
        <w:t>the</w:t>
      </w:r>
      <w:r w:rsidR="006C6F09">
        <w:t xml:space="preserve"> </w:t>
      </w:r>
      <w:r w:rsidRPr="00404BBC">
        <w:t>project</w:t>
      </w:r>
      <w:r w:rsidR="006C6F09">
        <w:t xml:space="preserve"> </w:t>
      </w:r>
      <w:r w:rsidRPr="00404BBC">
        <w:t>is</w:t>
      </w:r>
      <w:r w:rsidR="006C6F09">
        <w:t xml:space="preserve"> </w:t>
      </w:r>
      <w:r w:rsidRPr="00404BBC">
        <w:t>being</w:t>
      </w:r>
      <w:r w:rsidR="006C6F09">
        <w:t xml:space="preserve"> </w:t>
      </w:r>
      <w:r w:rsidRPr="00404BBC">
        <w:t>proposed</w:t>
      </w:r>
      <w:r w:rsidR="006C6F09">
        <w:t xml:space="preserve"> </w:t>
      </w:r>
      <w:r w:rsidRPr="00404BBC">
        <w:t>(if</w:t>
      </w:r>
      <w:r w:rsidR="006C6F09">
        <w:t xml:space="preserve"> </w:t>
      </w:r>
      <w:r w:rsidRPr="00404BBC">
        <w:t>the</w:t>
      </w:r>
      <w:r w:rsidR="006C6F09">
        <w:t xml:space="preserve"> </w:t>
      </w:r>
      <w:r w:rsidRPr="00404BBC">
        <w:t>project</w:t>
      </w:r>
      <w:r w:rsidR="006C6F09">
        <w:t xml:space="preserve"> </w:t>
      </w:r>
      <w:r w:rsidRPr="00404BBC">
        <w:t>is</w:t>
      </w:r>
      <w:r w:rsidR="006C6F09">
        <w:t xml:space="preserve"> </w:t>
      </w:r>
      <w:r w:rsidRPr="00404BBC">
        <w:t>expected</w:t>
      </w:r>
      <w:r w:rsidR="006C6F09">
        <w:t xml:space="preserve"> </w:t>
      </w:r>
      <w:r w:rsidRPr="00404BBC">
        <w:t>to</w:t>
      </w:r>
      <w:r w:rsidR="006C6F09">
        <w:t xml:space="preserve"> </w:t>
      </w:r>
      <w:r w:rsidRPr="00404BBC">
        <w:t>be</w:t>
      </w:r>
      <w:r w:rsidR="006C6F09">
        <w:t xml:space="preserve"> </w:t>
      </w:r>
      <w:r w:rsidRPr="00404BBC">
        <w:t>cleared</w:t>
      </w:r>
      <w:r w:rsidR="006C6F09">
        <w:t xml:space="preserve"> </w:t>
      </w:r>
      <w:r w:rsidRPr="00404BBC">
        <w:t>with</w:t>
      </w:r>
      <w:r w:rsidR="006C6F09">
        <w:t xml:space="preserve"> </w:t>
      </w:r>
      <w:r w:rsidRPr="00404BBC">
        <w:t>a</w:t>
      </w:r>
      <w:r w:rsidR="006C6F09">
        <w:t xml:space="preserve"> </w:t>
      </w:r>
      <w:r w:rsidRPr="00404BBC">
        <w:t>CE)</w:t>
      </w:r>
    </w:p>
    <w:p w14:paraId="65123014" w14:textId="088120AE" w:rsidR="00457754" w:rsidRPr="00404BBC" w:rsidRDefault="00457754" w:rsidP="00457754">
      <w:pPr>
        <w:pStyle w:val="ListBullet"/>
      </w:pPr>
      <w:r w:rsidRPr="00404BBC">
        <w:t>Project</w:t>
      </w:r>
      <w:r w:rsidR="006C6F09">
        <w:t xml:space="preserve"> </w:t>
      </w:r>
      <w:r w:rsidRPr="00404BBC">
        <w:t>consistency</w:t>
      </w:r>
      <w:r w:rsidR="006C6F09">
        <w:t xml:space="preserve"> </w:t>
      </w:r>
      <w:r w:rsidRPr="00404BBC">
        <w:t>with</w:t>
      </w:r>
      <w:r w:rsidR="006C6F09">
        <w:t xml:space="preserve"> </w:t>
      </w:r>
      <w:r w:rsidRPr="00404BBC">
        <w:t>the</w:t>
      </w:r>
      <w:r w:rsidR="006C6F09">
        <w:t xml:space="preserve"> </w:t>
      </w:r>
      <w:r w:rsidRPr="00404BBC">
        <w:t>goals</w:t>
      </w:r>
      <w:r w:rsidR="006C6F09">
        <w:t xml:space="preserve"> </w:t>
      </w:r>
      <w:r w:rsidRPr="00404BBC">
        <w:t>and</w:t>
      </w:r>
      <w:r w:rsidR="006C6F09">
        <w:t xml:space="preserve"> </w:t>
      </w:r>
      <w:r w:rsidRPr="00404BBC">
        <w:t>objectives</w:t>
      </w:r>
      <w:r w:rsidR="006C6F09">
        <w:t xml:space="preserve"> </w:t>
      </w:r>
      <w:r w:rsidRPr="00404BBC">
        <w:t>of</w:t>
      </w:r>
      <w:r w:rsidR="006C6F09">
        <w:t xml:space="preserve"> </w:t>
      </w:r>
      <w:r w:rsidRPr="00404BBC">
        <w:t>any</w:t>
      </w:r>
      <w:r w:rsidR="006C6F09">
        <w:t xml:space="preserve"> </w:t>
      </w:r>
      <w:r w:rsidRPr="00404BBC">
        <w:t>local</w:t>
      </w:r>
      <w:r w:rsidR="006C6F09">
        <w:t xml:space="preserve"> </w:t>
      </w:r>
      <w:r w:rsidRPr="00404BBC">
        <w:t>urban</w:t>
      </w:r>
      <w:r w:rsidR="006C6F09">
        <w:t xml:space="preserve"> </w:t>
      </w:r>
      <w:r w:rsidRPr="00404BBC">
        <w:t>planning</w:t>
      </w:r>
      <w:r w:rsidR="006C6F09">
        <w:t xml:space="preserve"> </w:t>
      </w:r>
      <w:r w:rsidRPr="00404BBC">
        <w:t>effort</w:t>
      </w:r>
    </w:p>
    <w:p w14:paraId="05CB6E0C" w14:textId="19B7B5BA" w:rsidR="00457754" w:rsidRPr="00404BBC" w:rsidRDefault="00457754" w:rsidP="00457754">
      <w:pPr>
        <w:pStyle w:val="ListBullet"/>
      </w:pPr>
      <w:r w:rsidRPr="00404BBC">
        <w:lastRenderedPageBreak/>
        <w:t>Major</w:t>
      </w:r>
      <w:r w:rsidR="006C6F09">
        <w:t xml:space="preserve"> </w:t>
      </w:r>
      <w:r w:rsidRPr="00404BBC">
        <w:t>design</w:t>
      </w:r>
      <w:r w:rsidR="006C6F09">
        <w:t xml:space="preserve"> </w:t>
      </w:r>
      <w:r w:rsidRPr="00404BBC">
        <w:t>features</w:t>
      </w:r>
    </w:p>
    <w:p w14:paraId="684982B8" w14:textId="5D8A2A5D" w:rsidR="00457754" w:rsidRPr="00404BBC" w:rsidRDefault="00457754" w:rsidP="00457754">
      <w:pPr>
        <w:pStyle w:val="ListBullet"/>
      </w:pPr>
      <w:r w:rsidRPr="00404BBC">
        <w:t>Proposed</w:t>
      </w:r>
      <w:r w:rsidR="006C6F09">
        <w:t xml:space="preserve"> </w:t>
      </w:r>
      <w:r w:rsidRPr="00404BBC">
        <w:t>project</w:t>
      </w:r>
      <w:r w:rsidR="006C6F09">
        <w:t xml:space="preserve"> </w:t>
      </w:r>
      <w:r w:rsidRPr="00404BBC">
        <w:t>alternatives</w:t>
      </w:r>
    </w:p>
    <w:p w14:paraId="6728CE2B" w14:textId="375EB180" w:rsidR="00457754" w:rsidRPr="00404BBC" w:rsidRDefault="00457754" w:rsidP="00457754">
      <w:pPr>
        <w:pStyle w:val="ListBullet"/>
      </w:pPr>
      <w:r w:rsidRPr="00404BBC">
        <w:t>Anticipated</w:t>
      </w:r>
      <w:r w:rsidR="006C6F09">
        <w:t xml:space="preserve"> </w:t>
      </w:r>
      <w:r w:rsidRPr="00404BBC">
        <w:t>ROW</w:t>
      </w:r>
      <w:r w:rsidR="006C6F09">
        <w:t xml:space="preserve"> </w:t>
      </w:r>
      <w:r w:rsidRPr="00404BBC">
        <w:t>acquisitions</w:t>
      </w:r>
      <w:r w:rsidR="006C6F09">
        <w:t xml:space="preserve"> </w:t>
      </w:r>
      <w:r w:rsidRPr="00404BBC">
        <w:t>and</w:t>
      </w:r>
      <w:r w:rsidR="006C6F09">
        <w:t xml:space="preserve"> </w:t>
      </w:r>
      <w:r w:rsidRPr="00404BBC">
        <w:t>any</w:t>
      </w:r>
      <w:r w:rsidR="006C6F09">
        <w:t xml:space="preserve"> </w:t>
      </w:r>
      <w:proofErr w:type="gramStart"/>
      <w:r w:rsidRPr="00404BBC">
        <w:t>advance</w:t>
      </w:r>
      <w:proofErr w:type="gramEnd"/>
      <w:r w:rsidR="006C6F09">
        <w:t xml:space="preserve"> </w:t>
      </w:r>
      <w:r w:rsidRPr="00404BBC">
        <w:t>ROW</w:t>
      </w:r>
      <w:r w:rsidR="006C6F09">
        <w:t xml:space="preserve"> </w:t>
      </w:r>
      <w:r w:rsidRPr="00404BBC">
        <w:t>acquisitions</w:t>
      </w:r>
      <w:r w:rsidR="006C6F09">
        <w:t xml:space="preserve"> </w:t>
      </w:r>
      <w:r w:rsidRPr="00404BBC">
        <w:t>that</w:t>
      </w:r>
      <w:r w:rsidR="006C6F09">
        <w:t xml:space="preserve"> </w:t>
      </w:r>
      <w:r w:rsidRPr="00404BBC">
        <w:t>have</w:t>
      </w:r>
      <w:r w:rsidR="006C6F09">
        <w:t xml:space="preserve"> </w:t>
      </w:r>
      <w:r w:rsidRPr="00404BBC">
        <w:t>taken</w:t>
      </w:r>
      <w:r w:rsidR="006C6F09">
        <w:t xml:space="preserve"> </w:t>
      </w:r>
      <w:r w:rsidRPr="00404BBC">
        <w:t>place</w:t>
      </w:r>
    </w:p>
    <w:p w14:paraId="237A3518" w14:textId="52A17DA8" w:rsidR="00457754" w:rsidRPr="00404BBC" w:rsidRDefault="00457754" w:rsidP="00457754">
      <w:pPr>
        <w:pStyle w:val="ListBullet"/>
      </w:pPr>
      <w:r w:rsidRPr="00404BBC">
        <w:t>Social,</w:t>
      </w:r>
      <w:r w:rsidR="006C6F09">
        <w:t xml:space="preserve"> </w:t>
      </w:r>
      <w:r w:rsidRPr="00404BBC">
        <w:t>economic,</w:t>
      </w:r>
      <w:r w:rsidR="006C6F09">
        <w:t xml:space="preserve"> </w:t>
      </w:r>
      <w:r w:rsidRPr="00404BBC">
        <w:t>environmental,</w:t>
      </w:r>
      <w:r w:rsidR="006C6F09">
        <w:t xml:space="preserve"> </w:t>
      </w:r>
      <w:r w:rsidRPr="00404BBC">
        <w:t>and</w:t>
      </w:r>
      <w:r w:rsidR="006C6F09">
        <w:t xml:space="preserve"> </w:t>
      </w:r>
      <w:r w:rsidRPr="00404BBC">
        <w:t>other</w:t>
      </w:r>
      <w:r w:rsidR="006C6F09">
        <w:t xml:space="preserve"> </w:t>
      </w:r>
      <w:r w:rsidRPr="00404BBC">
        <w:t>anticipated</w:t>
      </w:r>
      <w:r w:rsidR="006C6F09">
        <w:t xml:space="preserve"> </w:t>
      </w:r>
      <w:r w:rsidRPr="00404BBC">
        <w:t>impacts</w:t>
      </w:r>
      <w:r w:rsidR="006C6F09">
        <w:t xml:space="preserve"> </w:t>
      </w:r>
      <w:r w:rsidRPr="00404BBC">
        <w:t>of</w:t>
      </w:r>
      <w:r w:rsidR="006C6F09">
        <w:t xml:space="preserve"> </w:t>
      </w:r>
      <w:r w:rsidRPr="00404BBC">
        <w:t>the</w:t>
      </w:r>
      <w:r w:rsidR="006C6F09">
        <w:t xml:space="preserve"> </w:t>
      </w:r>
      <w:r w:rsidRPr="00404BBC">
        <w:t>proposed</w:t>
      </w:r>
      <w:r w:rsidR="006C6F09">
        <w:t xml:space="preserve"> </w:t>
      </w:r>
      <w:r w:rsidRPr="00404BBC">
        <w:t>project.</w:t>
      </w:r>
      <w:r w:rsidR="006C6F09">
        <w:t xml:space="preserve"> </w:t>
      </w:r>
      <w:r w:rsidRPr="00404BBC">
        <w:t>If</w:t>
      </w:r>
      <w:r w:rsidR="006C6F09">
        <w:t xml:space="preserve"> </w:t>
      </w:r>
      <w:r w:rsidRPr="00404BBC">
        <w:t>the</w:t>
      </w:r>
      <w:r w:rsidR="006C6F09">
        <w:t xml:space="preserve"> </w:t>
      </w:r>
      <w:r w:rsidRPr="00404BBC">
        <w:t>hearing</w:t>
      </w:r>
      <w:r w:rsidR="006C6F09">
        <w:t xml:space="preserve"> </w:t>
      </w:r>
      <w:r w:rsidRPr="00404BBC">
        <w:t>is</w:t>
      </w:r>
      <w:r w:rsidR="006C6F09">
        <w:t xml:space="preserve"> </w:t>
      </w:r>
      <w:r w:rsidRPr="00404BBC">
        <w:t>being</w:t>
      </w:r>
      <w:r w:rsidR="006C6F09">
        <w:t xml:space="preserve"> </w:t>
      </w:r>
      <w:r w:rsidRPr="00404BBC">
        <w:t>conducted</w:t>
      </w:r>
      <w:r w:rsidR="006C6F09">
        <w:t xml:space="preserve"> </w:t>
      </w:r>
      <w:r w:rsidRPr="00404BBC">
        <w:t>to</w:t>
      </w:r>
      <w:r w:rsidR="006C6F09">
        <w:t xml:space="preserve"> </w:t>
      </w:r>
      <w:r w:rsidRPr="00404BBC">
        <w:t>comply</w:t>
      </w:r>
      <w:r w:rsidR="006C6F09">
        <w:t xml:space="preserve"> </w:t>
      </w:r>
      <w:r w:rsidRPr="00404BBC">
        <w:t>with</w:t>
      </w:r>
      <w:r w:rsidR="006C6F09">
        <w:t xml:space="preserve"> </w:t>
      </w:r>
      <w:r w:rsidRPr="00404BBC">
        <w:t>Chapter</w:t>
      </w:r>
      <w:r w:rsidR="006C6F09">
        <w:t xml:space="preserve"> </w:t>
      </w:r>
      <w:r w:rsidRPr="00404BBC">
        <w:t>26,</w:t>
      </w:r>
      <w:r w:rsidR="006C6F09">
        <w:t xml:space="preserve"> </w:t>
      </w:r>
      <w:r w:rsidRPr="00404BBC">
        <w:t>a</w:t>
      </w:r>
      <w:r w:rsidR="006C6F09">
        <w:t xml:space="preserve"> </w:t>
      </w:r>
      <w:r w:rsidRPr="00404BBC">
        <w:t>discussion</w:t>
      </w:r>
      <w:r w:rsidR="006C6F09">
        <w:t xml:space="preserve"> </w:t>
      </w:r>
      <w:r w:rsidRPr="00404BBC">
        <w:t>of</w:t>
      </w:r>
      <w:r w:rsidR="006C6F09">
        <w:t xml:space="preserve"> </w:t>
      </w:r>
      <w:r w:rsidRPr="00404BBC">
        <w:t>the</w:t>
      </w:r>
      <w:r w:rsidR="006C6F09">
        <w:t xml:space="preserve"> </w:t>
      </w:r>
      <w:r w:rsidRPr="00404BBC">
        <w:t>affected</w:t>
      </w:r>
      <w:r w:rsidR="006C6F09">
        <w:t xml:space="preserve"> </w:t>
      </w:r>
      <w:r w:rsidRPr="00404BBC">
        <w:t>property</w:t>
      </w:r>
      <w:r w:rsidR="006C6F09">
        <w:t xml:space="preserve"> </w:t>
      </w:r>
      <w:r w:rsidRPr="00404BBC">
        <w:t>and</w:t>
      </w:r>
      <w:r w:rsidR="006C6F09">
        <w:t xml:space="preserve"> </w:t>
      </w:r>
      <w:r w:rsidRPr="00404BBC">
        <w:t>potential</w:t>
      </w:r>
      <w:r w:rsidR="006C6F09">
        <w:t xml:space="preserve"> </w:t>
      </w:r>
      <w:r w:rsidRPr="00404BBC">
        <w:t>impacts</w:t>
      </w:r>
      <w:r w:rsidR="006C6F09">
        <w:t xml:space="preserve"> </w:t>
      </w:r>
      <w:r w:rsidRPr="00404BBC">
        <w:t>is</w:t>
      </w:r>
      <w:r w:rsidR="006C6F09">
        <w:t xml:space="preserve"> </w:t>
      </w:r>
      <w:r w:rsidRPr="00404BBC">
        <w:t>required.</w:t>
      </w:r>
    </w:p>
    <w:p w14:paraId="22539BA8" w14:textId="185E67A2" w:rsidR="00457754" w:rsidRPr="00404BBC" w:rsidRDefault="00457754" w:rsidP="00457754">
      <w:pPr>
        <w:pStyle w:val="ListBullet"/>
      </w:pPr>
      <w:r w:rsidRPr="00404BBC">
        <w:t>Anticipated</w:t>
      </w:r>
      <w:r w:rsidR="006C6F09">
        <w:t xml:space="preserve"> </w:t>
      </w:r>
      <w:r w:rsidRPr="00404BBC">
        <w:t>permits</w:t>
      </w:r>
    </w:p>
    <w:p w14:paraId="7C874FDF" w14:textId="78BA5DE8" w:rsidR="00457754" w:rsidRPr="00404BBC" w:rsidRDefault="00457754" w:rsidP="00457754">
      <w:pPr>
        <w:pStyle w:val="ListBullet"/>
      </w:pPr>
      <w:r w:rsidRPr="00404BBC">
        <w:t>Anticipated</w:t>
      </w:r>
      <w:r w:rsidR="006C6F09">
        <w:t xml:space="preserve"> </w:t>
      </w:r>
      <w:r w:rsidRPr="00404BBC">
        <w:t>relocations</w:t>
      </w:r>
    </w:p>
    <w:p w14:paraId="6E102807" w14:textId="7EB6B209" w:rsidR="00457754" w:rsidRPr="00404BBC" w:rsidRDefault="00457754" w:rsidP="00457754">
      <w:pPr>
        <w:pStyle w:val="ListBullet"/>
        <w:spacing w:after="0"/>
      </w:pPr>
      <w:r w:rsidRPr="00404BBC">
        <w:t>Anticipated</w:t>
      </w:r>
      <w:r w:rsidR="006C6F09">
        <w:t xml:space="preserve"> </w:t>
      </w:r>
      <w:r w:rsidRPr="00404BBC">
        <w:t>detours</w:t>
      </w:r>
      <w:r w:rsidR="006C6F09">
        <w:t xml:space="preserve"> </w:t>
      </w:r>
      <w:r w:rsidRPr="00404BBC">
        <w:t>(if</w:t>
      </w:r>
      <w:r w:rsidR="006C6F09">
        <w:t xml:space="preserve"> </w:t>
      </w:r>
      <w:r w:rsidRPr="00404BBC">
        <w:t>known)</w:t>
      </w:r>
    </w:p>
    <w:p w14:paraId="7CDC84DB" w14:textId="41BAFC7A" w:rsidR="00457754" w:rsidRDefault="00457754" w:rsidP="00457754">
      <w:pPr>
        <w:pStyle w:val="ListNumber"/>
        <w:ind w:left="360" w:hanging="360"/>
      </w:pPr>
      <w:r>
        <w:t>Discuss</w:t>
      </w:r>
      <w:r w:rsidR="006C6F09">
        <w:t xml:space="preserve"> </w:t>
      </w:r>
      <w:r>
        <w:t>the</w:t>
      </w:r>
      <w:r w:rsidR="006C6F09">
        <w:t xml:space="preserve"> </w:t>
      </w:r>
      <w:r>
        <w:t>relocation</w:t>
      </w:r>
      <w:r w:rsidR="006C6F09">
        <w:t xml:space="preserve"> </w:t>
      </w:r>
      <w:r>
        <w:t>assistance</w:t>
      </w:r>
      <w:r w:rsidR="006C6F09">
        <w:t xml:space="preserve"> </w:t>
      </w:r>
      <w:r>
        <w:t>program</w:t>
      </w:r>
      <w:r w:rsidR="006C6F09">
        <w:t xml:space="preserve"> </w:t>
      </w:r>
      <w:r>
        <w:t>and</w:t>
      </w:r>
      <w:r w:rsidR="006C6F09">
        <w:t xml:space="preserve"> </w:t>
      </w:r>
      <w:r>
        <w:t>the</w:t>
      </w:r>
      <w:r w:rsidR="006C6F09">
        <w:t xml:space="preserve"> </w:t>
      </w:r>
      <w:r>
        <w:t>ROW</w:t>
      </w:r>
      <w:r w:rsidR="006C6F09">
        <w:t xml:space="preserve"> </w:t>
      </w:r>
      <w:r>
        <w:t>acquisition</w:t>
      </w:r>
      <w:r w:rsidR="006C6F09">
        <w:t xml:space="preserve"> </w:t>
      </w:r>
      <w:r>
        <w:t>process</w:t>
      </w:r>
    </w:p>
    <w:p w14:paraId="0DB5E612" w14:textId="19D323B7" w:rsidR="00A81513" w:rsidRDefault="00457754" w:rsidP="00A81513">
      <w:pPr>
        <w:pStyle w:val="ListNumber"/>
      </w:pPr>
      <w:r>
        <w:t>The</w:t>
      </w:r>
      <w:r w:rsidR="006C6F09">
        <w:t xml:space="preserve"> </w:t>
      </w:r>
      <w:r>
        <w:t>TxDOT</w:t>
      </w:r>
      <w:r w:rsidR="006C6F09">
        <w:t xml:space="preserve"> </w:t>
      </w:r>
      <w:r>
        <w:t>employee</w:t>
      </w:r>
      <w:r w:rsidR="006C6F09">
        <w:t xml:space="preserve"> </w:t>
      </w:r>
      <w:r>
        <w:t>or</w:t>
      </w:r>
      <w:r w:rsidR="006C6F09">
        <w:t xml:space="preserve"> </w:t>
      </w:r>
      <w:r>
        <w:t>project</w:t>
      </w:r>
      <w:r w:rsidR="006C6F09">
        <w:t xml:space="preserve"> </w:t>
      </w:r>
      <w:r>
        <w:t>sponsor</w:t>
      </w:r>
      <w:r w:rsidR="006C6F09">
        <w:t xml:space="preserve"> </w:t>
      </w:r>
      <w:r>
        <w:t>has</w:t>
      </w:r>
      <w:r w:rsidR="006C6F09">
        <w:t xml:space="preserve"> </w:t>
      </w:r>
      <w:r>
        <w:t>the</w:t>
      </w:r>
      <w:r w:rsidR="006C6F09">
        <w:t xml:space="preserve"> </w:t>
      </w:r>
      <w:r>
        <w:t>option</w:t>
      </w:r>
      <w:r w:rsidR="006C6F09">
        <w:t xml:space="preserve"> </w:t>
      </w:r>
      <w:r>
        <w:t>but</w:t>
      </w:r>
      <w:r w:rsidR="006C6F09">
        <w:t xml:space="preserve"> </w:t>
      </w:r>
      <w:r>
        <w:t>is</w:t>
      </w:r>
      <w:r w:rsidR="006C6F09">
        <w:t xml:space="preserve"> </w:t>
      </w:r>
      <w:r>
        <w:t>not</w:t>
      </w:r>
      <w:r w:rsidR="006C6F09">
        <w:t xml:space="preserve"> </w:t>
      </w:r>
      <w:r>
        <w:t>required</w:t>
      </w:r>
      <w:r w:rsidR="006C6F09">
        <w:t xml:space="preserve"> </w:t>
      </w:r>
      <w:r>
        <w:t>to</w:t>
      </w:r>
      <w:r w:rsidR="006C6F09">
        <w:t xml:space="preserve"> </w:t>
      </w:r>
      <w:r>
        <w:t>call</w:t>
      </w:r>
      <w:r w:rsidR="006C6F09">
        <w:t xml:space="preserve"> </w:t>
      </w:r>
      <w:r>
        <w:t>a</w:t>
      </w:r>
      <w:r w:rsidR="006C6F09">
        <w:t xml:space="preserve"> </w:t>
      </w:r>
      <w:r>
        <w:t>recess</w:t>
      </w:r>
      <w:r w:rsidR="006C6F09">
        <w:t xml:space="preserve"> </w:t>
      </w:r>
      <w:r>
        <w:t>for</w:t>
      </w:r>
      <w:r w:rsidR="006C6F09">
        <w:t xml:space="preserve"> </w:t>
      </w:r>
      <w:r>
        <w:t>30</w:t>
      </w:r>
      <w:r w:rsidR="006C6F09">
        <w:t xml:space="preserve"> </w:t>
      </w:r>
      <w:r>
        <w:t>minutes</w:t>
      </w:r>
      <w:r w:rsidR="006C6F09">
        <w:t xml:space="preserve"> </w:t>
      </w:r>
      <w:r>
        <w:t>to</w:t>
      </w:r>
      <w:r w:rsidR="006C6F09">
        <w:t xml:space="preserve"> </w:t>
      </w:r>
      <w:r>
        <w:t>allow</w:t>
      </w:r>
      <w:r w:rsidR="006C6F09">
        <w:t xml:space="preserve"> </w:t>
      </w:r>
      <w:r>
        <w:t>the</w:t>
      </w:r>
      <w:r w:rsidR="006C6F09">
        <w:t xml:space="preserve"> </w:t>
      </w:r>
      <w:r>
        <w:t>public</w:t>
      </w:r>
      <w:r w:rsidR="006C6F09">
        <w:t xml:space="preserve"> </w:t>
      </w:r>
      <w:r>
        <w:t>to</w:t>
      </w:r>
      <w:r w:rsidR="006C6F09">
        <w:t xml:space="preserve"> </w:t>
      </w:r>
      <w:r>
        <w:t>view</w:t>
      </w:r>
      <w:r w:rsidR="006C6F09">
        <w:t xml:space="preserve"> </w:t>
      </w:r>
      <w:r>
        <w:t>displays</w:t>
      </w:r>
      <w:r w:rsidR="006C6F09">
        <w:t xml:space="preserve"> </w:t>
      </w:r>
      <w:r>
        <w:t>and</w:t>
      </w:r>
      <w:r w:rsidR="006C6F09">
        <w:t xml:space="preserve"> </w:t>
      </w:r>
      <w:r>
        <w:t>ask</w:t>
      </w:r>
      <w:r w:rsidR="006C6F09">
        <w:t xml:space="preserve"> </w:t>
      </w:r>
      <w:r>
        <w:t>individual</w:t>
      </w:r>
      <w:r w:rsidR="006C6F09">
        <w:t xml:space="preserve"> </w:t>
      </w:r>
      <w:r>
        <w:t>questions</w:t>
      </w:r>
    </w:p>
    <w:p w14:paraId="0FFDCB7F" w14:textId="55535F14" w:rsidR="00574283" w:rsidRDefault="00457754" w:rsidP="00A81513">
      <w:pPr>
        <w:pStyle w:val="ListNumber"/>
      </w:pPr>
      <w:r>
        <w:t>The</w:t>
      </w:r>
      <w:r w:rsidR="006C6F09">
        <w:t xml:space="preserve"> </w:t>
      </w:r>
      <w:r>
        <w:t>TxDOT</w:t>
      </w:r>
      <w:r w:rsidR="006C6F09">
        <w:t xml:space="preserve"> </w:t>
      </w:r>
      <w:r>
        <w:t>employee</w:t>
      </w:r>
      <w:r w:rsidR="006C6F09">
        <w:t xml:space="preserve"> </w:t>
      </w:r>
      <w:r>
        <w:t>or</w:t>
      </w:r>
      <w:r w:rsidR="006C6F09">
        <w:t xml:space="preserve"> </w:t>
      </w:r>
      <w:r>
        <w:t>project</w:t>
      </w:r>
      <w:r w:rsidR="006C6F09">
        <w:t xml:space="preserve"> </w:t>
      </w:r>
      <w:r>
        <w:t>sponsor</w:t>
      </w:r>
      <w:r w:rsidR="006C6F09">
        <w:t xml:space="preserve"> </w:t>
      </w:r>
      <w:r>
        <w:t>reconvenes</w:t>
      </w:r>
      <w:r w:rsidR="006C6F09">
        <w:t xml:space="preserve"> </w:t>
      </w:r>
      <w:r>
        <w:t>the</w:t>
      </w:r>
      <w:r w:rsidR="006C6F09">
        <w:t xml:space="preserve"> </w:t>
      </w:r>
      <w:r>
        <w:t>presentation</w:t>
      </w:r>
      <w:r w:rsidR="006C6F09">
        <w:t xml:space="preserve"> </w:t>
      </w:r>
      <w:r>
        <w:t>if</w:t>
      </w:r>
      <w:r w:rsidR="006C6F09">
        <w:t xml:space="preserve"> </w:t>
      </w:r>
      <w:r>
        <w:t>a</w:t>
      </w:r>
      <w:r w:rsidR="006C6F09">
        <w:t xml:space="preserve"> </w:t>
      </w:r>
      <w:r>
        <w:t>recess</w:t>
      </w:r>
      <w:r w:rsidR="006C6F09">
        <w:t xml:space="preserve"> </w:t>
      </w:r>
      <w:r>
        <w:t>was</w:t>
      </w:r>
      <w:r w:rsidR="006C6F09">
        <w:t xml:space="preserve"> </w:t>
      </w:r>
      <w:r>
        <w:t>called</w:t>
      </w:r>
    </w:p>
    <w:p w14:paraId="40D1D3AE" w14:textId="51E62533" w:rsidR="00574283" w:rsidRDefault="00457754" w:rsidP="00A81513">
      <w:pPr>
        <w:pStyle w:val="ListNumber"/>
      </w:pPr>
      <w:r>
        <w:t>The</w:t>
      </w:r>
      <w:r w:rsidR="006C6F09">
        <w:t xml:space="preserve"> </w:t>
      </w:r>
      <w:r>
        <w:t>TxDOT</w:t>
      </w:r>
      <w:r w:rsidR="006C6F09">
        <w:t xml:space="preserve"> </w:t>
      </w:r>
      <w:r>
        <w:t>employee</w:t>
      </w:r>
      <w:r w:rsidR="006C6F09">
        <w:t xml:space="preserve"> </w:t>
      </w:r>
      <w:r>
        <w:t>or</w:t>
      </w:r>
      <w:r w:rsidR="006C6F09">
        <w:t xml:space="preserve"> </w:t>
      </w:r>
      <w:r>
        <w:t>project</w:t>
      </w:r>
      <w:r w:rsidR="006C6F09">
        <w:t xml:space="preserve"> </w:t>
      </w:r>
      <w:r>
        <w:t>sponsor</w:t>
      </w:r>
      <w:r w:rsidR="006C6F09">
        <w:t xml:space="preserve"> </w:t>
      </w:r>
      <w:r>
        <w:t>reviews</w:t>
      </w:r>
      <w:r w:rsidR="006C6F09">
        <w:t xml:space="preserve"> </w:t>
      </w:r>
      <w:r>
        <w:t>the</w:t>
      </w:r>
      <w:r w:rsidR="006C6F09">
        <w:t xml:space="preserve"> </w:t>
      </w:r>
      <w:r>
        <w:t>procedure</w:t>
      </w:r>
      <w:r w:rsidR="006C6F09">
        <w:t xml:space="preserve"> </w:t>
      </w:r>
      <w:r>
        <w:t>for</w:t>
      </w:r>
      <w:r w:rsidR="006C6F09">
        <w:t xml:space="preserve"> </w:t>
      </w:r>
      <w:r>
        <w:t>receiving</w:t>
      </w:r>
      <w:r w:rsidR="006C6F09">
        <w:t xml:space="preserve"> </w:t>
      </w:r>
      <w:r>
        <w:t>verbal</w:t>
      </w:r>
      <w:r w:rsidR="006C6F09">
        <w:t xml:space="preserve"> </w:t>
      </w:r>
      <w:r>
        <w:t>and</w:t>
      </w:r>
      <w:r w:rsidR="006C6F09">
        <w:t xml:space="preserve"> </w:t>
      </w:r>
      <w:r>
        <w:t>written</w:t>
      </w:r>
      <w:r w:rsidR="006C6F09">
        <w:t xml:space="preserve"> </w:t>
      </w:r>
      <w:r>
        <w:t>comments</w:t>
      </w:r>
      <w:r w:rsidR="006C6F09">
        <w:t xml:space="preserve"> </w:t>
      </w:r>
    </w:p>
    <w:p w14:paraId="0DB96172" w14:textId="592D7993" w:rsidR="005E143B" w:rsidRDefault="00574283" w:rsidP="00574283">
      <w:pPr>
        <w:pStyle w:val="ListNumber"/>
      </w:pPr>
      <w:r>
        <w:t>T</w:t>
      </w:r>
      <w:r w:rsidR="00457754">
        <w:t>he</w:t>
      </w:r>
      <w:r w:rsidR="006C6F09">
        <w:t xml:space="preserve"> </w:t>
      </w:r>
      <w:r w:rsidR="00457754">
        <w:t>TxDOT</w:t>
      </w:r>
      <w:r w:rsidR="006C6F09">
        <w:t xml:space="preserve"> </w:t>
      </w:r>
      <w:r w:rsidR="00457754">
        <w:t>employee</w:t>
      </w:r>
      <w:r w:rsidR="006C6F09">
        <w:t xml:space="preserve"> </w:t>
      </w:r>
      <w:r w:rsidR="00457754">
        <w:t>or</w:t>
      </w:r>
      <w:r w:rsidR="006C6F09">
        <w:t xml:space="preserve"> </w:t>
      </w:r>
      <w:r w:rsidR="00457754">
        <w:t>project</w:t>
      </w:r>
      <w:r w:rsidR="006C6F09">
        <w:t xml:space="preserve"> </w:t>
      </w:r>
      <w:r w:rsidR="00457754">
        <w:t>sponsor</w:t>
      </w:r>
      <w:r w:rsidR="006C6F09">
        <w:t xml:space="preserve"> </w:t>
      </w:r>
      <w:r w:rsidR="00457754">
        <w:t>provides</w:t>
      </w:r>
      <w:r w:rsidR="006C6F09">
        <w:t xml:space="preserve"> </w:t>
      </w:r>
      <w:r w:rsidR="00457754">
        <w:t>an</w:t>
      </w:r>
      <w:r w:rsidR="006C6F09">
        <w:t xml:space="preserve"> </w:t>
      </w:r>
      <w:r w:rsidR="00457754">
        <w:t>opportunity</w:t>
      </w:r>
      <w:r w:rsidR="006C6F09">
        <w:t xml:space="preserve"> </w:t>
      </w:r>
      <w:r w:rsidR="00457754">
        <w:t>for</w:t>
      </w:r>
      <w:r w:rsidR="006C6F09">
        <w:t xml:space="preserve"> </w:t>
      </w:r>
      <w:r w:rsidR="00457754">
        <w:t>elected</w:t>
      </w:r>
      <w:r w:rsidR="006C6F09">
        <w:t xml:space="preserve"> </w:t>
      </w:r>
      <w:r w:rsidR="00457754">
        <w:t>officials</w:t>
      </w:r>
      <w:r w:rsidR="006C6F09">
        <w:t xml:space="preserve"> </w:t>
      </w:r>
      <w:r w:rsidR="00457754">
        <w:t>to</w:t>
      </w:r>
      <w:r w:rsidR="006C6F09">
        <w:t xml:space="preserve"> </w:t>
      </w:r>
      <w:r w:rsidR="00457754">
        <w:t>speak</w:t>
      </w:r>
    </w:p>
    <w:p w14:paraId="556FE2B3" w14:textId="13807AE3" w:rsidR="005E143B" w:rsidRDefault="00457754" w:rsidP="005E143B">
      <w:pPr>
        <w:pStyle w:val="ListNumber"/>
        <w:ind w:left="360" w:hanging="360"/>
      </w:pPr>
      <w:r>
        <w:t>The</w:t>
      </w:r>
      <w:r w:rsidR="006C6F09">
        <w:t xml:space="preserve"> </w:t>
      </w:r>
      <w:r>
        <w:t>TxDOT</w:t>
      </w:r>
      <w:r w:rsidR="006C6F09">
        <w:t xml:space="preserve"> </w:t>
      </w:r>
      <w:r>
        <w:t>employee</w:t>
      </w:r>
      <w:r w:rsidR="006C6F09">
        <w:t xml:space="preserve"> </w:t>
      </w:r>
      <w:r>
        <w:t>begins</w:t>
      </w:r>
      <w:r w:rsidR="006C6F09">
        <w:t xml:space="preserve"> </w:t>
      </w:r>
      <w:r>
        <w:t>the</w:t>
      </w:r>
      <w:r w:rsidR="006C6F09">
        <w:t xml:space="preserve"> </w:t>
      </w:r>
      <w:r>
        <w:t>formal</w:t>
      </w:r>
      <w:r w:rsidR="006C6F09">
        <w:t xml:space="preserve"> </w:t>
      </w:r>
      <w:r>
        <w:t>public</w:t>
      </w:r>
      <w:r w:rsidR="006C6F09">
        <w:t xml:space="preserve"> </w:t>
      </w:r>
      <w:r>
        <w:t>commenting</w:t>
      </w:r>
      <w:r w:rsidR="006C6F09">
        <w:t xml:space="preserve"> </w:t>
      </w:r>
      <w:r>
        <w:t>session</w:t>
      </w:r>
    </w:p>
    <w:p w14:paraId="734BB86D" w14:textId="55411B1A" w:rsidR="00457754" w:rsidRDefault="00457754" w:rsidP="005E143B">
      <w:pPr>
        <w:pStyle w:val="ListNumber"/>
        <w:ind w:left="360" w:hanging="360"/>
      </w:pPr>
      <w:r>
        <w:t>The</w:t>
      </w:r>
      <w:r w:rsidR="006C6F09">
        <w:t xml:space="preserve"> </w:t>
      </w:r>
      <w:r>
        <w:t>TxDOT</w:t>
      </w:r>
      <w:r w:rsidR="006C6F09">
        <w:t xml:space="preserve"> </w:t>
      </w:r>
      <w:r>
        <w:t>employee</w:t>
      </w:r>
      <w:r w:rsidR="006C6F09">
        <w:t xml:space="preserve"> </w:t>
      </w:r>
      <w:r>
        <w:t>manages</w:t>
      </w:r>
      <w:r w:rsidR="006C6F09">
        <w:t xml:space="preserve"> </w:t>
      </w:r>
      <w:r>
        <w:t>or</w:t>
      </w:r>
      <w:r w:rsidR="006C6F09">
        <w:t xml:space="preserve"> </w:t>
      </w:r>
      <w:r>
        <w:t>moderates</w:t>
      </w:r>
      <w:r w:rsidR="006C6F09">
        <w:t xml:space="preserve"> </w:t>
      </w:r>
      <w:r>
        <w:t>the</w:t>
      </w:r>
      <w:r w:rsidR="006C6F09">
        <w:t xml:space="preserve"> </w:t>
      </w:r>
      <w:r>
        <w:t>time</w:t>
      </w:r>
      <w:r w:rsidR="006C6F09">
        <w:t xml:space="preserve"> </w:t>
      </w:r>
      <w:r>
        <w:t>for</w:t>
      </w:r>
      <w:r w:rsidR="006C6F09">
        <w:t xml:space="preserve"> </w:t>
      </w:r>
      <w:r>
        <w:t>each</w:t>
      </w:r>
      <w:r w:rsidR="006C6F09">
        <w:t xml:space="preserve"> </w:t>
      </w:r>
      <w:r>
        <w:t>speaker</w:t>
      </w:r>
      <w:r w:rsidR="006C6F09">
        <w:t xml:space="preserve"> </w:t>
      </w:r>
    </w:p>
    <w:p w14:paraId="3AEF2170" w14:textId="79DFC128" w:rsidR="00457754" w:rsidRDefault="00457754" w:rsidP="00457754">
      <w:pPr>
        <w:pStyle w:val="ListNumber"/>
        <w:ind w:left="360" w:hanging="360"/>
      </w:pPr>
      <w:r>
        <w:t>The</w:t>
      </w:r>
      <w:r w:rsidR="006C6F09">
        <w:t xml:space="preserve"> </w:t>
      </w:r>
      <w:r>
        <w:t>TxDOT</w:t>
      </w:r>
      <w:r w:rsidR="006C6F09">
        <w:t xml:space="preserve"> </w:t>
      </w:r>
      <w:r>
        <w:t>employee</w:t>
      </w:r>
      <w:r w:rsidR="006C6F09">
        <w:t xml:space="preserve"> </w:t>
      </w:r>
      <w:r>
        <w:t>ends</w:t>
      </w:r>
      <w:r w:rsidR="006C6F09">
        <w:t xml:space="preserve"> </w:t>
      </w:r>
      <w:r>
        <w:t>the</w:t>
      </w:r>
      <w:r w:rsidR="006C6F09">
        <w:t xml:space="preserve"> </w:t>
      </w:r>
      <w:r>
        <w:t>formal</w:t>
      </w:r>
      <w:r w:rsidR="006C6F09">
        <w:t xml:space="preserve"> </w:t>
      </w:r>
      <w:r>
        <w:t>commenting</w:t>
      </w:r>
      <w:r w:rsidR="006C6F09">
        <w:t xml:space="preserve"> </w:t>
      </w:r>
      <w:r>
        <w:t>session</w:t>
      </w:r>
      <w:r w:rsidR="006C6F09">
        <w:t xml:space="preserve"> </w:t>
      </w:r>
    </w:p>
    <w:p w14:paraId="02E298A3" w14:textId="205CC6C0" w:rsidR="00457754" w:rsidRDefault="00457754" w:rsidP="00457754">
      <w:pPr>
        <w:pStyle w:val="ListNumber"/>
        <w:ind w:left="360" w:hanging="360"/>
      </w:pPr>
      <w:r>
        <w:t>The</w:t>
      </w:r>
      <w:r w:rsidR="006C6F09">
        <w:t xml:space="preserve"> </w:t>
      </w:r>
      <w:r>
        <w:t>TxDOT</w:t>
      </w:r>
      <w:r w:rsidR="006C6F09">
        <w:t xml:space="preserve"> </w:t>
      </w:r>
      <w:r>
        <w:t>employee</w:t>
      </w:r>
      <w:r w:rsidR="006C6F09">
        <w:t xml:space="preserve"> </w:t>
      </w:r>
      <w:r>
        <w:t>presents</w:t>
      </w:r>
      <w:r w:rsidR="006C6F09">
        <w:t xml:space="preserve"> </w:t>
      </w:r>
      <w:r>
        <w:t>the</w:t>
      </w:r>
      <w:r w:rsidR="006C6F09">
        <w:t xml:space="preserve"> </w:t>
      </w:r>
      <w:r>
        <w:t>anticipated</w:t>
      </w:r>
      <w:r w:rsidR="006C6F09">
        <w:t xml:space="preserve"> </w:t>
      </w:r>
      <w:r>
        <w:t>project</w:t>
      </w:r>
      <w:r w:rsidR="006C6F09">
        <w:t xml:space="preserve"> </w:t>
      </w:r>
      <w:r>
        <w:t>schedule</w:t>
      </w:r>
      <w:r w:rsidR="006C6F09">
        <w:t xml:space="preserve"> </w:t>
      </w:r>
    </w:p>
    <w:p w14:paraId="4A065B9D" w14:textId="3D043541" w:rsidR="00457754" w:rsidRDefault="00457754" w:rsidP="00457754">
      <w:pPr>
        <w:pStyle w:val="ListNumber"/>
        <w:ind w:left="360" w:hanging="360"/>
      </w:pPr>
      <w:r>
        <w:t>The</w:t>
      </w:r>
      <w:r w:rsidR="006C6F09">
        <w:t xml:space="preserve"> </w:t>
      </w:r>
      <w:r>
        <w:t>TxDOT</w:t>
      </w:r>
      <w:r w:rsidR="006C6F09">
        <w:t xml:space="preserve"> </w:t>
      </w:r>
      <w:r>
        <w:t>employee</w:t>
      </w:r>
      <w:r w:rsidR="006C6F09">
        <w:t xml:space="preserve"> </w:t>
      </w:r>
      <w:r>
        <w:t>restates</w:t>
      </w:r>
      <w:r w:rsidR="006C6F09">
        <w:t xml:space="preserve"> </w:t>
      </w:r>
      <w:r>
        <w:t>how,</w:t>
      </w:r>
      <w:r w:rsidR="006C6F09">
        <w:t xml:space="preserve"> </w:t>
      </w:r>
      <w:r>
        <w:t>by</w:t>
      </w:r>
      <w:r w:rsidR="006C6F09">
        <w:t xml:space="preserve"> </w:t>
      </w:r>
      <w:r>
        <w:t>what</w:t>
      </w:r>
      <w:r w:rsidR="006C6F09">
        <w:t xml:space="preserve"> </w:t>
      </w:r>
      <w:r>
        <w:t>date,</w:t>
      </w:r>
      <w:r w:rsidR="006C6F09">
        <w:t xml:space="preserve"> </w:t>
      </w:r>
      <w:r>
        <w:t>and</w:t>
      </w:r>
      <w:r w:rsidR="006C6F09">
        <w:t xml:space="preserve"> </w:t>
      </w:r>
      <w:r>
        <w:t>where</w:t>
      </w:r>
      <w:r w:rsidR="006C6F09">
        <w:t xml:space="preserve"> </w:t>
      </w:r>
      <w:r>
        <w:t>to</w:t>
      </w:r>
      <w:r w:rsidR="006C6F09">
        <w:t xml:space="preserve"> </w:t>
      </w:r>
      <w:r>
        <w:t>submit</w:t>
      </w:r>
      <w:r w:rsidR="006C6F09">
        <w:t xml:space="preserve"> </w:t>
      </w:r>
      <w:r>
        <w:t>written</w:t>
      </w:r>
      <w:r w:rsidR="006C6F09">
        <w:t xml:space="preserve"> </w:t>
      </w:r>
      <w:r>
        <w:t>comments</w:t>
      </w:r>
      <w:r w:rsidR="006C6F09">
        <w:t xml:space="preserve"> </w:t>
      </w:r>
    </w:p>
    <w:p w14:paraId="70F56AEE" w14:textId="39203F9D" w:rsidR="00457754" w:rsidRDefault="00457754" w:rsidP="00457754">
      <w:pPr>
        <w:pStyle w:val="ListNumber"/>
        <w:ind w:left="360" w:hanging="360"/>
      </w:pPr>
      <w:r>
        <w:t>The</w:t>
      </w:r>
      <w:r w:rsidR="006C6F09">
        <w:t xml:space="preserve"> </w:t>
      </w:r>
      <w:r>
        <w:t>TxDOT</w:t>
      </w:r>
      <w:r w:rsidR="006C6F09">
        <w:t xml:space="preserve"> </w:t>
      </w:r>
      <w:r>
        <w:t>employee</w:t>
      </w:r>
      <w:r w:rsidR="006C6F09">
        <w:t xml:space="preserve"> </w:t>
      </w:r>
      <w:r>
        <w:t>indicates</w:t>
      </w:r>
      <w:r w:rsidR="006C6F09">
        <w:t xml:space="preserve"> </w:t>
      </w:r>
      <w:r>
        <w:t>where</w:t>
      </w:r>
      <w:r w:rsidR="006C6F09">
        <w:t xml:space="preserve"> </w:t>
      </w:r>
      <w:r>
        <w:t>a</w:t>
      </w:r>
      <w:r w:rsidR="006C6F09">
        <w:t xml:space="preserve"> </w:t>
      </w:r>
      <w:r>
        <w:t>copy</w:t>
      </w:r>
      <w:r w:rsidR="006C6F09">
        <w:t xml:space="preserve"> </w:t>
      </w:r>
      <w:r>
        <w:t>of</w:t>
      </w:r>
      <w:r w:rsidR="006C6F09">
        <w:t xml:space="preserve"> </w:t>
      </w:r>
      <w:r>
        <w:t>the</w:t>
      </w:r>
      <w:r w:rsidR="006C6F09">
        <w:t xml:space="preserve"> </w:t>
      </w:r>
      <w:r>
        <w:t>response</w:t>
      </w:r>
      <w:r w:rsidR="006C6F09">
        <w:t xml:space="preserve"> </w:t>
      </w:r>
      <w:r>
        <w:t>to</w:t>
      </w:r>
      <w:r w:rsidR="006C6F09">
        <w:t xml:space="preserve"> </w:t>
      </w:r>
      <w:r>
        <w:t>comments</w:t>
      </w:r>
      <w:r w:rsidR="006C6F09">
        <w:t xml:space="preserve"> </w:t>
      </w:r>
      <w:r>
        <w:t>may</w:t>
      </w:r>
      <w:r w:rsidR="006C6F09">
        <w:t xml:space="preserve"> </w:t>
      </w:r>
      <w:r>
        <w:t>be</w:t>
      </w:r>
      <w:r w:rsidR="006C6F09">
        <w:t xml:space="preserve"> </w:t>
      </w:r>
      <w:r>
        <w:t>obtained</w:t>
      </w:r>
    </w:p>
    <w:p w14:paraId="12141597" w14:textId="3489398C" w:rsidR="00457754" w:rsidRDefault="00457754" w:rsidP="00457754">
      <w:pPr>
        <w:pStyle w:val="ListNumber"/>
        <w:ind w:left="360" w:hanging="360"/>
      </w:pPr>
      <w:r>
        <w:lastRenderedPageBreak/>
        <w:t>The</w:t>
      </w:r>
      <w:r w:rsidR="006C6F09">
        <w:t xml:space="preserve"> </w:t>
      </w:r>
      <w:r>
        <w:t>TxDOT</w:t>
      </w:r>
      <w:r w:rsidR="006C6F09">
        <w:t xml:space="preserve"> </w:t>
      </w:r>
      <w:r>
        <w:t>employee</w:t>
      </w:r>
      <w:r w:rsidR="006C6F09">
        <w:t xml:space="preserve"> </w:t>
      </w:r>
      <w:r>
        <w:t>adjourns</w:t>
      </w:r>
      <w:r w:rsidR="006C6F09">
        <w:t xml:space="preserve"> </w:t>
      </w:r>
      <w:r>
        <w:t>the</w:t>
      </w:r>
      <w:r w:rsidR="006C6F09">
        <w:t xml:space="preserve"> </w:t>
      </w:r>
      <w:r>
        <w:t>hearing</w:t>
      </w:r>
    </w:p>
    <w:p w14:paraId="278CEF57" w14:textId="16836AA1" w:rsidR="00457754" w:rsidRDefault="00457754" w:rsidP="00457754">
      <w:r>
        <w:t>For</w:t>
      </w:r>
      <w:r w:rsidR="006C6F09">
        <w:t xml:space="preserve"> </w:t>
      </w:r>
      <w:r>
        <w:t>EA</w:t>
      </w:r>
      <w:r w:rsidR="006C6F09">
        <w:t xml:space="preserve"> </w:t>
      </w:r>
      <w:r>
        <w:t>and</w:t>
      </w:r>
      <w:r w:rsidR="006C6F09">
        <w:t xml:space="preserve"> </w:t>
      </w:r>
      <w:r>
        <w:t>EIS</w:t>
      </w:r>
      <w:r w:rsidR="006C6F09">
        <w:t xml:space="preserve"> </w:t>
      </w:r>
      <w:r>
        <w:t>projects,</w:t>
      </w:r>
      <w:r w:rsidR="006C6F09">
        <w:t xml:space="preserve"> </w:t>
      </w:r>
      <w:r>
        <w:t>it</w:t>
      </w:r>
      <w:r w:rsidR="006C6F09">
        <w:t xml:space="preserve"> </w:t>
      </w:r>
      <w:r>
        <w:t>is</w:t>
      </w:r>
      <w:r w:rsidR="006C6F09">
        <w:t xml:space="preserve"> </w:t>
      </w:r>
      <w:r>
        <w:t>recommended</w:t>
      </w:r>
      <w:r w:rsidR="006C6F09">
        <w:t xml:space="preserve"> </w:t>
      </w:r>
      <w:r>
        <w:t>(but</w:t>
      </w:r>
      <w:r w:rsidR="006C6F09">
        <w:t xml:space="preserve"> </w:t>
      </w:r>
      <w:r>
        <w:t>not</w:t>
      </w:r>
      <w:r w:rsidR="006C6F09">
        <w:t xml:space="preserve"> </w:t>
      </w:r>
      <w:r>
        <w:t>required)</w:t>
      </w:r>
      <w:r w:rsidR="006C6F09">
        <w:t xml:space="preserve"> </w:t>
      </w:r>
      <w:r>
        <w:t>that</w:t>
      </w:r>
      <w:r w:rsidR="006C6F09">
        <w:t xml:space="preserve"> </w:t>
      </w:r>
      <w:r>
        <w:t>ENV</w:t>
      </w:r>
      <w:r w:rsidR="006C6F09">
        <w:t xml:space="preserve"> </w:t>
      </w:r>
      <w:r>
        <w:t>Project</w:t>
      </w:r>
      <w:r w:rsidR="006C6F09">
        <w:t xml:space="preserve"> </w:t>
      </w:r>
      <w:r>
        <w:t>Delivery</w:t>
      </w:r>
      <w:r w:rsidR="006C6F09">
        <w:t xml:space="preserve"> </w:t>
      </w:r>
      <w:r>
        <w:t>Staff</w:t>
      </w:r>
      <w:r w:rsidR="006C6F09">
        <w:t xml:space="preserve"> </w:t>
      </w:r>
      <w:r>
        <w:t>review</w:t>
      </w:r>
      <w:r w:rsidR="006C6F09">
        <w:t xml:space="preserve"> </w:t>
      </w:r>
      <w:r>
        <w:t>the</w:t>
      </w:r>
      <w:r w:rsidR="006C6F09">
        <w:t xml:space="preserve"> </w:t>
      </w:r>
      <w:r>
        <w:t>public</w:t>
      </w:r>
      <w:r w:rsidR="006C6F09">
        <w:t xml:space="preserve"> </w:t>
      </w:r>
      <w:r>
        <w:t>hearing</w:t>
      </w:r>
      <w:r w:rsidR="006C6F09">
        <w:t xml:space="preserve"> </w:t>
      </w:r>
      <w:r>
        <w:t>materials</w:t>
      </w:r>
      <w:r w:rsidR="006C6F09">
        <w:t xml:space="preserve"> </w:t>
      </w:r>
      <w:r>
        <w:t>before</w:t>
      </w:r>
      <w:r w:rsidR="006C6F09">
        <w:t xml:space="preserve"> </w:t>
      </w:r>
      <w:r>
        <w:t>the</w:t>
      </w:r>
      <w:r w:rsidR="006C6F09">
        <w:t xml:space="preserve"> </w:t>
      </w:r>
      <w:r>
        <w:t>public</w:t>
      </w:r>
      <w:r w:rsidR="006C6F09">
        <w:t xml:space="preserve"> </w:t>
      </w:r>
      <w:r>
        <w:t>hearing.</w:t>
      </w:r>
    </w:p>
    <w:p w14:paraId="64C699E5" w14:textId="196C82B9" w:rsidR="00457754" w:rsidRPr="00AE5351" w:rsidRDefault="00995887" w:rsidP="00AE5351">
      <w:pPr>
        <w:pStyle w:val="Heading4"/>
      </w:pPr>
      <w:r>
        <w:t>M</w:t>
      </w:r>
      <w:r w:rsidR="00457754" w:rsidRPr="00AE5351">
        <w:t>anaging</w:t>
      </w:r>
      <w:r w:rsidR="006C6F09" w:rsidRPr="00AE5351">
        <w:t xml:space="preserve"> </w:t>
      </w:r>
      <w:r w:rsidR="00457754" w:rsidRPr="00AE5351">
        <w:t>the</w:t>
      </w:r>
      <w:r w:rsidR="006C6F09" w:rsidRPr="00AE5351">
        <w:t xml:space="preserve"> </w:t>
      </w:r>
      <w:r w:rsidR="00457754" w:rsidRPr="00AE5351">
        <w:t>Public</w:t>
      </w:r>
      <w:r w:rsidR="006C6F09" w:rsidRPr="00AE5351">
        <w:t xml:space="preserve"> </w:t>
      </w:r>
      <w:r w:rsidR="00457754" w:rsidRPr="00AE5351">
        <w:t>Comment</w:t>
      </w:r>
      <w:r w:rsidR="006C6F09" w:rsidRPr="00AE5351">
        <w:t xml:space="preserve"> </w:t>
      </w:r>
      <w:r w:rsidR="00457754" w:rsidRPr="00AE5351">
        <w:t>Session</w:t>
      </w:r>
      <w:r w:rsidR="006C6F09" w:rsidRPr="00AE5351">
        <w:t xml:space="preserve"> </w:t>
      </w:r>
      <w:r w:rsidR="00457754" w:rsidRPr="00AE5351">
        <w:t>of</w:t>
      </w:r>
      <w:r w:rsidR="006C6F09" w:rsidRPr="00AE5351">
        <w:t xml:space="preserve"> </w:t>
      </w:r>
      <w:r w:rsidR="00457754" w:rsidRPr="00AE5351">
        <w:t>Public</w:t>
      </w:r>
      <w:r w:rsidR="006C6F09" w:rsidRPr="00AE5351">
        <w:t xml:space="preserve"> </w:t>
      </w:r>
      <w:r w:rsidR="00457754" w:rsidRPr="00AE5351">
        <w:t>Hearings</w:t>
      </w:r>
    </w:p>
    <w:p w14:paraId="320AD65C" w14:textId="3B73CF76" w:rsidR="00457754" w:rsidRDefault="00457754" w:rsidP="00457754">
      <w:r>
        <w:t>Public</w:t>
      </w:r>
      <w:r w:rsidR="006C6F09">
        <w:t xml:space="preserve"> </w:t>
      </w:r>
      <w:r>
        <w:t>hearing</w:t>
      </w:r>
      <w:r w:rsidR="006C6F09">
        <w:t xml:space="preserve"> </w:t>
      </w:r>
      <w:r>
        <w:t>practices</w:t>
      </w:r>
      <w:r w:rsidR="006C6F09">
        <w:t xml:space="preserve"> </w:t>
      </w:r>
      <w:r>
        <w:t>can</w:t>
      </w:r>
      <w:r w:rsidR="006C6F09">
        <w:t xml:space="preserve"> </w:t>
      </w:r>
      <w:r>
        <w:t>vary,</w:t>
      </w:r>
      <w:r w:rsidR="006C6F09">
        <w:t xml:space="preserve"> </w:t>
      </w:r>
      <w:r>
        <w:t>depending</w:t>
      </w:r>
      <w:r w:rsidR="006C6F09">
        <w:t xml:space="preserve"> </w:t>
      </w:r>
      <w:r>
        <w:t>on</w:t>
      </w:r>
      <w:r w:rsidR="006C6F09">
        <w:t xml:space="preserve"> </w:t>
      </w:r>
      <w:r>
        <w:t>the</w:t>
      </w:r>
      <w:r w:rsidR="006C6F09">
        <w:t xml:space="preserve"> </w:t>
      </w:r>
      <w:r>
        <w:t>anticipated</w:t>
      </w:r>
      <w:r w:rsidR="006C6F09">
        <w:t xml:space="preserve"> </w:t>
      </w:r>
      <w:r>
        <w:t>number</w:t>
      </w:r>
      <w:r w:rsidR="006C6F09">
        <w:t xml:space="preserve"> </w:t>
      </w:r>
      <w:r>
        <w:t>of</w:t>
      </w:r>
      <w:r w:rsidR="006C6F09">
        <w:t xml:space="preserve"> </w:t>
      </w:r>
      <w:r>
        <w:t>speakers.</w:t>
      </w:r>
      <w:r w:rsidR="006C6F09">
        <w:t xml:space="preserve"> </w:t>
      </w:r>
      <w:r>
        <w:t>Consult</w:t>
      </w:r>
      <w:r w:rsidR="006C6F09">
        <w:t xml:space="preserve"> </w:t>
      </w:r>
      <w:r>
        <w:t>with</w:t>
      </w:r>
      <w:r w:rsidR="006C6F09">
        <w:t xml:space="preserve"> </w:t>
      </w:r>
      <w:r>
        <w:t>ENV,</w:t>
      </w:r>
      <w:r w:rsidR="006C6F09">
        <w:t xml:space="preserve"> </w:t>
      </w:r>
      <w:r>
        <w:t>TPP’s</w:t>
      </w:r>
      <w:r w:rsidR="006C6F09">
        <w:t xml:space="preserve"> </w:t>
      </w:r>
      <w:r>
        <w:t>PI</w:t>
      </w:r>
      <w:r w:rsidR="006C6F09">
        <w:t xml:space="preserve"> </w:t>
      </w:r>
      <w:r>
        <w:t>Section,</w:t>
      </w:r>
      <w:r w:rsidR="006C6F09">
        <w:t xml:space="preserve"> </w:t>
      </w:r>
      <w:r>
        <w:t>and</w:t>
      </w:r>
      <w:r w:rsidR="006C6F09">
        <w:t xml:space="preserve"> </w:t>
      </w:r>
      <w:r>
        <w:t>or</w:t>
      </w:r>
      <w:r w:rsidR="006C6F09">
        <w:t xml:space="preserve"> </w:t>
      </w:r>
      <w:r>
        <w:t>the</w:t>
      </w:r>
      <w:r w:rsidR="006C6F09">
        <w:t xml:space="preserve"> </w:t>
      </w:r>
      <w:r>
        <w:t>district</w:t>
      </w:r>
      <w:r w:rsidR="006C6F09">
        <w:t xml:space="preserve"> </w:t>
      </w:r>
      <w:r>
        <w:t>public</w:t>
      </w:r>
      <w:r w:rsidR="006C6F09">
        <w:t xml:space="preserve"> </w:t>
      </w:r>
      <w:r>
        <w:t>information</w:t>
      </w:r>
      <w:r w:rsidR="006C6F09">
        <w:t xml:space="preserve"> </w:t>
      </w:r>
      <w:r>
        <w:t>officer</w:t>
      </w:r>
      <w:r w:rsidR="006C6F09">
        <w:t xml:space="preserve"> </w:t>
      </w:r>
      <w:r>
        <w:t>for</w:t>
      </w:r>
      <w:r w:rsidR="006C6F09">
        <w:t xml:space="preserve"> </w:t>
      </w:r>
      <w:r>
        <w:t>suggestions</w:t>
      </w:r>
      <w:r w:rsidR="006C6F09">
        <w:t xml:space="preserve"> </w:t>
      </w:r>
      <w:r>
        <w:t>on</w:t>
      </w:r>
      <w:r w:rsidR="006C6F09">
        <w:t xml:space="preserve"> </w:t>
      </w:r>
      <w:r>
        <w:t>public</w:t>
      </w:r>
      <w:r w:rsidR="006C6F09">
        <w:t xml:space="preserve"> </w:t>
      </w:r>
      <w:r>
        <w:t>hearing</w:t>
      </w:r>
      <w:r w:rsidR="006C6F09">
        <w:t xml:space="preserve"> </w:t>
      </w:r>
      <w:r>
        <w:t>practices,</w:t>
      </w:r>
      <w:r w:rsidR="006C6F09">
        <w:t xml:space="preserve"> </w:t>
      </w:r>
      <w:r>
        <w:t>including</w:t>
      </w:r>
      <w:r w:rsidR="006C6F09">
        <w:t xml:space="preserve"> </w:t>
      </w:r>
      <w:r>
        <w:t>how</w:t>
      </w:r>
      <w:r w:rsidR="006C6F09">
        <w:t xml:space="preserve"> </w:t>
      </w:r>
      <w:r>
        <w:t>to</w:t>
      </w:r>
      <w:r w:rsidR="006C6F09">
        <w:t xml:space="preserve"> </w:t>
      </w:r>
      <w:r>
        <w:t>set</w:t>
      </w:r>
      <w:r w:rsidR="006C6F09">
        <w:t xml:space="preserve"> </w:t>
      </w:r>
      <w:r>
        <w:t>up</w:t>
      </w:r>
      <w:r w:rsidR="006C6F09">
        <w:t xml:space="preserve"> </w:t>
      </w:r>
      <w:r>
        <w:t>the</w:t>
      </w:r>
      <w:r w:rsidR="006C6F09">
        <w:t xml:space="preserve"> </w:t>
      </w:r>
      <w:r>
        <w:t>hearing</w:t>
      </w:r>
      <w:r w:rsidR="006C6F09">
        <w:t xml:space="preserve"> </w:t>
      </w:r>
      <w:r>
        <w:t>room.</w:t>
      </w:r>
      <w:r w:rsidR="006C6F09">
        <w:t xml:space="preserve"> </w:t>
      </w:r>
      <w:r>
        <w:t>The</w:t>
      </w:r>
      <w:r w:rsidR="006C6F09">
        <w:t xml:space="preserve"> </w:t>
      </w:r>
      <w:r>
        <w:t>following</w:t>
      </w:r>
      <w:r w:rsidR="006C6F09">
        <w:t xml:space="preserve"> </w:t>
      </w:r>
      <w:r>
        <w:t>requirements</w:t>
      </w:r>
      <w:r w:rsidR="006C6F09">
        <w:t xml:space="preserve"> </w:t>
      </w:r>
      <w:r>
        <w:t>are</w:t>
      </w:r>
      <w:r w:rsidR="006C6F09">
        <w:t xml:space="preserve"> </w:t>
      </w:r>
      <w:r>
        <w:t>elements</w:t>
      </w:r>
      <w:r w:rsidR="006C6F09">
        <w:t xml:space="preserve"> </w:t>
      </w:r>
      <w:r>
        <w:t>of</w:t>
      </w:r>
      <w:r w:rsidR="006C6F09">
        <w:t xml:space="preserve"> </w:t>
      </w:r>
      <w:r>
        <w:t>managing</w:t>
      </w:r>
      <w:r w:rsidR="006C6F09">
        <w:t xml:space="preserve"> </w:t>
      </w:r>
      <w:r>
        <w:t>the</w:t>
      </w:r>
      <w:r w:rsidR="006C6F09">
        <w:t xml:space="preserve"> </w:t>
      </w:r>
      <w:r>
        <w:t>public</w:t>
      </w:r>
      <w:r w:rsidR="006C6F09">
        <w:t xml:space="preserve"> </w:t>
      </w:r>
      <w:r>
        <w:t>comment</w:t>
      </w:r>
      <w:r w:rsidR="006C6F09">
        <w:t xml:space="preserve"> </w:t>
      </w:r>
      <w:r>
        <w:t>session</w:t>
      </w:r>
      <w:r w:rsidR="006C6F09">
        <w:t xml:space="preserve"> </w:t>
      </w:r>
      <w:r>
        <w:t>of</w:t>
      </w:r>
      <w:r w:rsidR="006C6F09">
        <w:t xml:space="preserve"> </w:t>
      </w:r>
      <w:r>
        <w:t>a</w:t>
      </w:r>
      <w:r w:rsidR="006C6F09">
        <w:t xml:space="preserve"> </w:t>
      </w:r>
      <w:r>
        <w:t>public</w:t>
      </w:r>
      <w:r w:rsidR="006C6F09">
        <w:t xml:space="preserve"> </w:t>
      </w:r>
      <w:r>
        <w:t>hearing.</w:t>
      </w:r>
    </w:p>
    <w:p w14:paraId="64CE5E09" w14:textId="1A921B5D" w:rsidR="00457754" w:rsidRDefault="00457754" w:rsidP="00457754">
      <w:pPr>
        <w:pStyle w:val="ListBullet"/>
      </w:pPr>
      <w:r>
        <w:t>Allow</w:t>
      </w:r>
      <w:r w:rsidR="006C6F09">
        <w:t xml:space="preserve"> </w:t>
      </w:r>
      <w:r>
        <w:t>adequate</w:t>
      </w:r>
      <w:r w:rsidR="006C6F09">
        <w:t xml:space="preserve"> </w:t>
      </w:r>
      <w:r>
        <w:t>time</w:t>
      </w:r>
      <w:r w:rsidR="006C6F09">
        <w:t xml:space="preserve"> </w:t>
      </w:r>
      <w:r>
        <w:t>for</w:t>
      </w:r>
      <w:r w:rsidR="006C6F09">
        <w:t xml:space="preserve"> </w:t>
      </w:r>
      <w:r>
        <w:t>public</w:t>
      </w:r>
      <w:r w:rsidR="006C6F09">
        <w:t xml:space="preserve"> </w:t>
      </w:r>
      <w:r>
        <w:t>comment.</w:t>
      </w:r>
      <w:r w:rsidR="006C6F09">
        <w:t xml:space="preserve"> </w:t>
      </w:r>
      <w:r>
        <w:t>Speakers</w:t>
      </w:r>
      <w:r w:rsidR="006C6F09">
        <w:t xml:space="preserve"> </w:t>
      </w:r>
      <w:r>
        <w:t>can</w:t>
      </w:r>
      <w:r w:rsidR="006C6F09">
        <w:t xml:space="preserve"> </w:t>
      </w:r>
      <w:r>
        <w:t>be</w:t>
      </w:r>
      <w:r w:rsidR="006C6F09">
        <w:t xml:space="preserve"> </w:t>
      </w:r>
      <w:r>
        <w:t>limited</w:t>
      </w:r>
      <w:r w:rsidR="006C6F09">
        <w:t xml:space="preserve"> </w:t>
      </w:r>
      <w:r>
        <w:t>to</w:t>
      </w:r>
      <w:r w:rsidR="006C6F09">
        <w:t xml:space="preserve"> </w:t>
      </w:r>
      <w:r>
        <w:t>three</w:t>
      </w:r>
      <w:r w:rsidR="006C6F09">
        <w:t xml:space="preserve"> </w:t>
      </w:r>
      <w:r>
        <w:t>to</w:t>
      </w:r>
      <w:r w:rsidR="006C6F09">
        <w:t xml:space="preserve"> </w:t>
      </w:r>
      <w:r>
        <w:t>five</w:t>
      </w:r>
      <w:r w:rsidR="006C6F09">
        <w:t xml:space="preserve"> </w:t>
      </w:r>
      <w:r>
        <w:t>minutes</w:t>
      </w:r>
      <w:r w:rsidR="006C6F09">
        <w:t xml:space="preserve"> </w:t>
      </w:r>
      <w:r>
        <w:t>for</w:t>
      </w:r>
      <w:r w:rsidR="006C6F09">
        <w:t xml:space="preserve"> </w:t>
      </w:r>
      <w:r>
        <w:t>comments</w:t>
      </w:r>
      <w:r w:rsidR="006C6F09">
        <w:t xml:space="preserve"> </w:t>
      </w:r>
      <w:r>
        <w:t>if</w:t>
      </w:r>
      <w:r w:rsidR="006C6F09">
        <w:t xml:space="preserve"> </w:t>
      </w:r>
      <w:r>
        <w:t>there</w:t>
      </w:r>
      <w:r w:rsidR="006C6F09">
        <w:t xml:space="preserve"> </w:t>
      </w:r>
      <w:r>
        <w:t>are</w:t>
      </w:r>
      <w:r w:rsidR="006C6F09">
        <w:t xml:space="preserve"> </w:t>
      </w:r>
      <w:r>
        <w:t>a</w:t>
      </w:r>
      <w:r w:rsidR="006C6F09">
        <w:t xml:space="preserve"> </w:t>
      </w:r>
      <w:r>
        <w:t>substantial</w:t>
      </w:r>
      <w:r w:rsidR="006C6F09">
        <w:t xml:space="preserve"> </w:t>
      </w:r>
      <w:r>
        <w:t>number</w:t>
      </w:r>
      <w:r w:rsidR="006C6F09">
        <w:t xml:space="preserve"> </w:t>
      </w:r>
      <w:r>
        <w:t>of</w:t>
      </w:r>
      <w:r w:rsidR="006C6F09">
        <w:t xml:space="preserve"> </w:t>
      </w:r>
      <w:r>
        <w:t>people</w:t>
      </w:r>
      <w:r w:rsidR="006C6F09">
        <w:t xml:space="preserve"> </w:t>
      </w:r>
      <w:r>
        <w:t>signed</w:t>
      </w:r>
      <w:r w:rsidR="006C6F09">
        <w:t xml:space="preserve"> </w:t>
      </w:r>
      <w:r>
        <w:t>up</w:t>
      </w:r>
      <w:r w:rsidR="006C6F09">
        <w:t xml:space="preserve"> </w:t>
      </w:r>
      <w:r>
        <w:t>to</w:t>
      </w:r>
      <w:r w:rsidR="006C6F09">
        <w:t xml:space="preserve"> </w:t>
      </w:r>
      <w:r>
        <w:t>make</w:t>
      </w:r>
      <w:r w:rsidR="006C6F09">
        <w:t xml:space="preserve"> </w:t>
      </w:r>
      <w:r>
        <w:t>verbal</w:t>
      </w:r>
      <w:r w:rsidR="006C6F09">
        <w:t xml:space="preserve"> </w:t>
      </w:r>
      <w:r>
        <w:t>comments.</w:t>
      </w:r>
    </w:p>
    <w:p w14:paraId="5BFA7E92" w14:textId="76777157" w:rsidR="00457754" w:rsidRDefault="00457754" w:rsidP="00457754">
      <w:pPr>
        <w:pStyle w:val="ListBullet"/>
      </w:pPr>
      <w:r>
        <w:t>State</w:t>
      </w:r>
      <w:r w:rsidR="006C6F09">
        <w:t xml:space="preserve"> </w:t>
      </w:r>
      <w:r>
        <w:t>the</w:t>
      </w:r>
      <w:r w:rsidR="006C6F09">
        <w:t xml:space="preserve"> </w:t>
      </w:r>
      <w:r>
        <w:t>ground</w:t>
      </w:r>
      <w:r w:rsidR="006C6F09">
        <w:t xml:space="preserve"> </w:t>
      </w:r>
      <w:r>
        <w:t>rules</w:t>
      </w:r>
      <w:r w:rsidR="006C6F09">
        <w:t xml:space="preserve"> </w:t>
      </w:r>
      <w:r>
        <w:t>for</w:t>
      </w:r>
      <w:r w:rsidR="006C6F09">
        <w:t xml:space="preserve"> </w:t>
      </w:r>
      <w:r>
        <w:t>public</w:t>
      </w:r>
      <w:r w:rsidR="006C6F09">
        <w:t xml:space="preserve"> </w:t>
      </w:r>
      <w:r>
        <w:t>comment,</w:t>
      </w:r>
      <w:r w:rsidR="006C6F09">
        <w:t xml:space="preserve"> </w:t>
      </w:r>
      <w:r>
        <w:t>such</w:t>
      </w:r>
      <w:r w:rsidR="006C6F09">
        <w:t xml:space="preserve"> </w:t>
      </w:r>
      <w:r>
        <w:t>as</w:t>
      </w:r>
      <w:r w:rsidR="006C6F09">
        <w:t xml:space="preserve"> </w:t>
      </w:r>
      <w:r>
        <w:t>one</w:t>
      </w:r>
      <w:r w:rsidR="006C6F09">
        <w:t xml:space="preserve"> </w:t>
      </w:r>
      <w:r>
        <w:t>speaker</w:t>
      </w:r>
      <w:r w:rsidR="006C6F09">
        <w:t xml:space="preserve"> </w:t>
      </w:r>
      <w:r>
        <w:t>representing</w:t>
      </w:r>
      <w:r w:rsidR="006C6F09">
        <w:t xml:space="preserve"> </w:t>
      </w:r>
      <w:r>
        <w:t>a</w:t>
      </w:r>
      <w:r w:rsidR="006C6F09">
        <w:t xml:space="preserve"> </w:t>
      </w:r>
      <w:r>
        <w:t>group,</w:t>
      </w:r>
      <w:r w:rsidR="006C6F09">
        <w:t xml:space="preserve"> </w:t>
      </w:r>
      <w:r>
        <w:t>agency,</w:t>
      </w:r>
      <w:r w:rsidR="006C6F09">
        <w:t xml:space="preserve"> </w:t>
      </w:r>
      <w:r>
        <w:t>association,</w:t>
      </w:r>
      <w:r w:rsidR="006C6F09">
        <w:t xml:space="preserve"> </w:t>
      </w:r>
      <w:r>
        <w:t>et</w:t>
      </w:r>
      <w:r w:rsidR="006C6F09">
        <w:t xml:space="preserve"> </w:t>
      </w:r>
      <w:r>
        <w:t>cetera.</w:t>
      </w:r>
      <w:r w:rsidR="006C6F09">
        <w:t xml:space="preserve"> </w:t>
      </w:r>
      <w:r>
        <w:t>This</w:t>
      </w:r>
      <w:r w:rsidR="006C6F09">
        <w:t xml:space="preserve"> </w:t>
      </w:r>
      <w:r>
        <w:t>representative</w:t>
      </w:r>
      <w:r w:rsidR="006C6F09">
        <w:t xml:space="preserve"> </w:t>
      </w:r>
      <w:r>
        <w:t>may</w:t>
      </w:r>
      <w:r w:rsidR="006C6F09">
        <w:t xml:space="preserve"> </w:t>
      </w:r>
      <w:r>
        <w:t>only</w:t>
      </w:r>
      <w:r w:rsidR="006C6F09">
        <w:t xml:space="preserve"> </w:t>
      </w:r>
      <w:r>
        <w:t>address</w:t>
      </w:r>
      <w:r w:rsidR="006C6F09">
        <w:t xml:space="preserve"> </w:t>
      </w:r>
      <w:r>
        <w:t>TxDOT,</w:t>
      </w:r>
      <w:r w:rsidR="006C6F09">
        <w:t xml:space="preserve"> </w:t>
      </w:r>
      <w:r>
        <w:t>not</w:t>
      </w:r>
      <w:r w:rsidR="006C6F09">
        <w:t xml:space="preserve"> </w:t>
      </w:r>
      <w:r>
        <w:t>the</w:t>
      </w:r>
      <w:r w:rsidR="006C6F09">
        <w:t xml:space="preserve"> </w:t>
      </w:r>
      <w:r>
        <w:t>audience.</w:t>
      </w:r>
    </w:p>
    <w:p w14:paraId="33D6982F" w14:textId="1526FD03" w:rsidR="00457754" w:rsidRDefault="00457754" w:rsidP="00457754">
      <w:pPr>
        <w:pStyle w:val="ListBullet"/>
      </w:pPr>
      <w:r>
        <w:t>State</w:t>
      </w:r>
      <w:r w:rsidR="006C6F09">
        <w:t xml:space="preserve"> </w:t>
      </w:r>
      <w:r>
        <w:t>whether</w:t>
      </w:r>
      <w:r w:rsidR="006C6F09">
        <w:t xml:space="preserve"> </w:t>
      </w:r>
      <w:r>
        <w:t>elected</w:t>
      </w:r>
      <w:r w:rsidR="006C6F09">
        <w:t xml:space="preserve"> </w:t>
      </w:r>
      <w:r>
        <w:t>officials</w:t>
      </w:r>
      <w:r w:rsidR="006C6F09">
        <w:t xml:space="preserve"> </w:t>
      </w:r>
      <w:r>
        <w:t>will</w:t>
      </w:r>
      <w:r w:rsidR="006C6F09">
        <w:t xml:space="preserve"> </w:t>
      </w:r>
      <w:r>
        <w:t>speak</w:t>
      </w:r>
      <w:r w:rsidR="006C6F09">
        <w:t xml:space="preserve"> </w:t>
      </w:r>
      <w:r>
        <w:t>first.</w:t>
      </w:r>
    </w:p>
    <w:p w14:paraId="4A990131" w14:textId="308B2569" w:rsidR="00457754" w:rsidRPr="000D7118" w:rsidRDefault="00457754" w:rsidP="00457754">
      <w:pPr>
        <w:pStyle w:val="ListBullet"/>
      </w:pPr>
      <w:r w:rsidRPr="000D7118">
        <w:t>State</w:t>
      </w:r>
      <w:r w:rsidR="006C6F09">
        <w:t xml:space="preserve"> </w:t>
      </w:r>
      <w:r w:rsidRPr="000D7118">
        <w:t>that</w:t>
      </w:r>
      <w:r w:rsidR="006C6F09">
        <w:t xml:space="preserve"> </w:t>
      </w:r>
      <w:r w:rsidRPr="000D7118">
        <w:t>testimony</w:t>
      </w:r>
      <w:r w:rsidR="006C6F09">
        <w:t xml:space="preserve"> </w:t>
      </w:r>
      <w:r w:rsidRPr="000D7118">
        <w:t>questions</w:t>
      </w:r>
      <w:r w:rsidR="006C6F09">
        <w:t xml:space="preserve"> </w:t>
      </w:r>
      <w:r w:rsidRPr="000D7118">
        <w:t>are</w:t>
      </w:r>
      <w:r w:rsidR="006C6F09">
        <w:t xml:space="preserve"> </w:t>
      </w:r>
      <w:r w:rsidRPr="000D7118">
        <w:t>not</w:t>
      </w:r>
      <w:r w:rsidR="006C6F09">
        <w:t xml:space="preserve"> </w:t>
      </w:r>
      <w:r w:rsidRPr="000D7118">
        <w:t>answered</w:t>
      </w:r>
      <w:r w:rsidR="006C6F09">
        <w:t xml:space="preserve"> </w:t>
      </w:r>
      <w:r w:rsidRPr="000D7118">
        <w:t>or</w:t>
      </w:r>
      <w:r w:rsidR="006C6F09">
        <w:t xml:space="preserve"> </w:t>
      </w:r>
      <w:r w:rsidRPr="000D7118">
        <w:t>commented</w:t>
      </w:r>
      <w:r w:rsidR="006C6F09">
        <w:t xml:space="preserve"> </w:t>
      </w:r>
      <w:r w:rsidRPr="000D7118">
        <w:t>on</w:t>
      </w:r>
      <w:r w:rsidR="006C6F09">
        <w:t xml:space="preserve"> </w:t>
      </w:r>
      <w:r w:rsidRPr="000D7118">
        <w:t>during</w:t>
      </w:r>
      <w:r w:rsidR="006C6F09">
        <w:t xml:space="preserve"> </w:t>
      </w:r>
      <w:r w:rsidRPr="000D7118">
        <w:t>the</w:t>
      </w:r>
      <w:r w:rsidR="006C6F09">
        <w:t xml:space="preserve"> </w:t>
      </w:r>
      <w:r w:rsidRPr="000D7118">
        <w:t>hearing</w:t>
      </w:r>
      <w:r w:rsidR="006C6F09">
        <w:t xml:space="preserve"> </w:t>
      </w:r>
      <w:r w:rsidRPr="000D7118">
        <w:t>itself.</w:t>
      </w:r>
      <w:r w:rsidR="006C6F09">
        <w:t xml:space="preserve"> </w:t>
      </w:r>
      <w:r w:rsidRPr="000D7118">
        <w:t>Testimony</w:t>
      </w:r>
      <w:r w:rsidR="006C6F09">
        <w:t xml:space="preserve"> </w:t>
      </w:r>
      <w:r w:rsidRPr="000D7118">
        <w:t>at</w:t>
      </w:r>
      <w:r w:rsidR="006C6F09">
        <w:t xml:space="preserve"> </w:t>
      </w:r>
      <w:r w:rsidRPr="000D7118">
        <w:t>hearings</w:t>
      </w:r>
      <w:r w:rsidR="006C6F09">
        <w:t xml:space="preserve"> </w:t>
      </w:r>
      <w:r w:rsidRPr="000D7118">
        <w:t>is</w:t>
      </w:r>
      <w:r w:rsidR="006C6F09">
        <w:t xml:space="preserve"> </w:t>
      </w:r>
      <w:r w:rsidRPr="000D7118">
        <w:t>addressed</w:t>
      </w:r>
      <w:r w:rsidR="006C6F09">
        <w:t xml:space="preserve"> </w:t>
      </w:r>
      <w:r w:rsidRPr="000D7118">
        <w:t>the</w:t>
      </w:r>
      <w:r w:rsidR="006C6F09">
        <w:t xml:space="preserve"> </w:t>
      </w:r>
      <w:r w:rsidRPr="000D7118">
        <w:t>same</w:t>
      </w:r>
      <w:r w:rsidR="006C6F09">
        <w:t xml:space="preserve"> </w:t>
      </w:r>
      <w:r w:rsidRPr="000D7118">
        <w:t>way</w:t>
      </w:r>
      <w:r w:rsidR="006C6F09">
        <w:t xml:space="preserve"> </w:t>
      </w:r>
      <w:r w:rsidRPr="000D7118">
        <w:t>as</w:t>
      </w:r>
      <w:r w:rsidR="006C6F09">
        <w:t xml:space="preserve"> </w:t>
      </w:r>
      <w:r w:rsidRPr="000D7118">
        <w:t>written</w:t>
      </w:r>
      <w:r w:rsidR="006C6F09">
        <w:t xml:space="preserve"> </w:t>
      </w:r>
      <w:r w:rsidRPr="000D7118">
        <w:t>comments,</w:t>
      </w:r>
      <w:r w:rsidR="006C6F09">
        <w:t xml:space="preserve"> </w:t>
      </w:r>
      <w:r w:rsidRPr="000D7118">
        <w:t>after</w:t>
      </w:r>
      <w:r w:rsidR="006C6F09">
        <w:t xml:space="preserve"> </w:t>
      </w:r>
      <w:r w:rsidRPr="000D7118">
        <w:t>the</w:t>
      </w:r>
      <w:r w:rsidR="006C6F09">
        <w:t xml:space="preserve"> </w:t>
      </w:r>
      <w:r w:rsidRPr="000D7118">
        <w:t>hearing.</w:t>
      </w:r>
    </w:p>
    <w:p w14:paraId="6ACF7E87" w14:textId="1A2D1B98" w:rsidR="00457754" w:rsidRPr="000D7118" w:rsidRDefault="00457754" w:rsidP="00457754">
      <w:pPr>
        <w:pStyle w:val="ListBullet"/>
      </w:pPr>
      <w:r w:rsidRPr="000D7118">
        <w:t>Provide</w:t>
      </w:r>
      <w:r w:rsidR="006C6F09">
        <w:t xml:space="preserve"> </w:t>
      </w:r>
      <w:r w:rsidRPr="000D7118">
        <w:t>for</w:t>
      </w:r>
      <w:r w:rsidR="006C6F09">
        <w:t xml:space="preserve"> </w:t>
      </w:r>
      <w:r w:rsidRPr="000D7118">
        <w:t>interpreters</w:t>
      </w:r>
      <w:r w:rsidR="006C6F09">
        <w:t xml:space="preserve"> </w:t>
      </w:r>
      <w:r w:rsidRPr="000D7118">
        <w:t>if</w:t>
      </w:r>
      <w:r w:rsidR="006C6F09">
        <w:t xml:space="preserve"> </w:t>
      </w:r>
      <w:r w:rsidRPr="000D7118">
        <w:t>needed.</w:t>
      </w:r>
    </w:p>
    <w:p w14:paraId="3535F70E" w14:textId="1F403E88" w:rsidR="00457754" w:rsidRPr="00DE4ED6" w:rsidRDefault="00457754" w:rsidP="00D97AAC">
      <w:pPr>
        <w:pStyle w:val="Heading3"/>
        <w:numPr>
          <w:ilvl w:val="1"/>
          <w:numId w:val="7"/>
        </w:numPr>
        <w:rPr>
          <w:color w:val="0056A9"/>
        </w:rPr>
      </w:pPr>
      <w:bookmarkStart w:id="73" w:name="_Toc224026222"/>
      <w:r w:rsidRPr="00DE4ED6">
        <w:rPr>
          <w:color w:val="0056A9"/>
        </w:rPr>
        <w:t>Post</w:t>
      </w:r>
      <w:r w:rsidR="006C6F09">
        <w:rPr>
          <w:color w:val="0056A9"/>
        </w:rPr>
        <w:t xml:space="preserve"> </w:t>
      </w:r>
      <w:r w:rsidRPr="00DE4ED6">
        <w:rPr>
          <w:color w:val="0056A9"/>
        </w:rPr>
        <w:t>Public</w:t>
      </w:r>
      <w:r w:rsidR="006C6F09">
        <w:rPr>
          <w:color w:val="0056A9"/>
        </w:rPr>
        <w:t xml:space="preserve"> </w:t>
      </w:r>
      <w:r w:rsidRPr="00DE4ED6">
        <w:rPr>
          <w:color w:val="0056A9"/>
        </w:rPr>
        <w:t>Hearing</w:t>
      </w:r>
      <w:r w:rsidR="006C6F09">
        <w:rPr>
          <w:color w:val="0056A9"/>
        </w:rPr>
        <w:t xml:space="preserve"> </w:t>
      </w:r>
      <w:r w:rsidRPr="00DE4ED6">
        <w:rPr>
          <w:color w:val="0056A9"/>
        </w:rPr>
        <w:t>Activities</w:t>
      </w:r>
      <w:bookmarkEnd w:id="73"/>
      <w:r w:rsidR="006C6F09">
        <w:rPr>
          <w:color w:val="0056A9"/>
        </w:rPr>
        <w:t xml:space="preserve"> </w:t>
      </w:r>
    </w:p>
    <w:p w14:paraId="254BF281" w14:textId="4F11D5A4" w:rsidR="005446C5" w:rsidRDefault="00457754" w:rsidP="005446C5">
      <w:pPr>
        <w:spacing w:after="0"/>
      </w:pPr>
      <w:r>
        <w:t>After</w:t>
      </w:r>
      <w:r w:rsidR="006C6F09">
        <w:t xml:space="preserve"> </w:t>
      </w:r>
      <w:r>
        <w:t>a</w:t>
      </w:r>
      <w:r w:rsidR="006C6F09">
        <w:t xml:space="preserve"> </w:t>
      </w:r>
      <w:r>
        <w:t>hearing,</w:t>
      </w:r>
      <w:r w:rsidR="006C6F09">
        <w:t xml:space="preserve"> </w:t>
      </w:r>
      <w:r>
        <w:t>the</w:t>
      </w:r>
      <w:r w:rsidR="006C6F09">
        <w:t xml:space="preserve"> </w:t>
      </w:r>
      <w:r>
        <w:t>following</w:t>
      </w:r>
      <w:r w:rsidR="006C6F09">
        <w:t xml:space="preserve"> </w:t>
      </w:r>
      <w:r>
        <w:t>activities</w:t>
      </w:r>
      <w:r w:rsidR="006C6F09">
        <w:t xml:space="preserve"> </w:t>
      </w:r>
      <w:r>
        <w:t>are</w:t>
      </w:r>
      <w:r w:rsidR="006C6F09">
        <w:t xml:space="preserve"> </w:t>
      </w:r>
      <w:r>
        <w:t>conducted.</w:t>
      </w:r>
    </w:p>
    <w:p w14:paraId="3D770C29" w14:textId="0F83F955" w:rsidR="005446C5" w:rsidRDefault="005446C5" w:rsidP="005446C5">
      <w:pPr>
        <w:pStyle w:val="ListNumber"/>
        <w:numPr>
          <w:ilvl w:val="0"/>
          <w:numId w:val="0"/>
        </w:numPr>
        <w:spacing w:after="0"/>
      </w:pPr>
      <w:r>
        <w:t>1.</w:t>
      </w:r>
      <w:r w:rsidR="006C6F09">
        <w:t xml:space="preserve"> </w:t>
      </w:r>
      <w:r w:rsidR="00457754">
        <w:t>The</w:t>
      </w:r>
      <w:r w:rsidR="006C6F09">
        <w:t xml:space="preserve"> </w:t>
      </w:r>
      <w:r w:rsidR="00457754">
        <w:t>public</w:t>
      </w:r>
      <w:r w:rsidR="006C6F09">
        <w:t xml:space="preserve"> </w:t>
      </w:r>
      <w:r w:rsidR="00457754">
        <w:t>can</w:t>
      </w:r>
      <w:r w:rsidR="006C6F09">
        <w:t xml:space="preserve"> </w:t>
      </w:r>
      <w:r w:rsidR="00457754">
        <w:t>submit</w:t>
      </w:r>
      <w:r w:rsidR="006C6F09">
        <w:t xml:space="preserve"> </w:t>
      </w:r>
      <w:r w:rsidR="00457754">
        <w:t>written</w:t>
      </w:r>
      <w:r w:rsidR="006C6F09">
        <w:t xml:space="preserve"> </w:t>
      </w:r>
      <w:r w:rsidR="00457754">
        <w:t>comments</w:t>
      </w:r>
      <w:r w:rsidR="006C6F09">
        <w:t xml:space="preserve"> </w:t>
      </w:r>
      <w:r w:rsidR="00457754">
        <w:t>to</w:t>
      </w:r>
      <w:r w:rsidR="006C6F09">
        <w:t xml:space="preserve"> </w:t>
      </w:r>
      <w:r w:rsidR="00457754">
        <w:t>the</w:t>
      </w:r>
      <w:r w:rsidR="006C6F09">
        <w:t xml:space="preserve"> </w:t>
      </w:r>
      <w:r w:rsidR="00457754">
        <w:t>project</w:t>
      </w:r>
      <w:r w:rsidR="006C6F09">
        <w:t xml:space="preserve"> </w:t>
      </w:r>
      <w:r w:rsidR="00457754">
        <w:t>sponsor</w:t>
      </w:r>
      <w:r w:rsidR="006C6F09">
        <w:t xml:space="preserve"> </w:t>
      </w:r>
      <w:r w:rsidR="00457754">
        <w:t>for</w:t>
      </w:r>
      <w:r w:rsidR="006C6F09">
        <w:t xml:space="preserve"> </w:t>
      </w:r>
      <w:r w:rsidR="00457754">
        <w:t>15</w:t>
      </w:r>
      <w:r w:rsidR="006C6F09">
        <w:t xml:space="preserve"> </w:t>
      </w:r>
      <w:r w:rsidR="00457754">
        <w:t>calendar</w:t>
      </w:r>
      <w:r w:rsidR="006C6F09">
        <w:t xml:space="preserve"> </w:t>
      </w:r>
      <w:r w:rsidR="00457754">
        <w:t>days</w:t>
      </w:r>
      <w:r w:rsidR="006C6F09">
        <w:t xml:space="preserve"> </w:t>
      </w:r>
      <w:r w:rsidR="00457754">
        <w:t>following</w:t>
      </w:r>
      <w:r w:rsidR="006C6F09">
        <w:t xml:space="preserve"> </w:t>
      </w:r>
      <w:r w:rsidR="00457754">
        <w:t>the</w:t>
      </w:r>
      <w:r w:rsidR="006C6F09">
        <w:t xml:space="preserve"> </w:t>
      </w:r>
      <w:r w:rsidR="00457754">
        <w:t>public</w:t>
      </w:r>
      <w:r w:rsidR="006C6F09">
        <w:t xml:space="preserve"> </w:t>
      </w:r>
      <w:r w:rsidR="00457754">
        <w:t>hearing.</w:t>
      </w:r>
      <w:r w:rsidR="006C6F09">
        <w:t xml:space="preserve"> </w:t>
      </w:r>
      <w:r w:rsidR="00457754">
        <w:t>This</w:t>
      </w:r>
      <w:r w:rsidR="006C6F09">
        <w:t xml:space="preserve"> </w:t>
      </w:r>
      <w:r w:rsidR="00457754">
        <w:t>timeframe</w:t>
      </w:r>
      <w:r w:rsidR="006C6F09">
        <w:t xml:space="preserve"> </w:t>
      </w:r>
      <w:r w:rsidR="00457754">
        <w:t>can</w:t>
      </w:r>
      <w:r w:rsidR="006C6F09">
        <w:t xml:space="preserve"> </w:t>
      </w:r>
      <w:r w:rsidR="00457754">
        <w:t>be</w:t>
      </w:r>
      <w:r w:rsidR="006C6F09">
        <w:t xml:space="preserve"> </w:t>
      </w:r>
      <w:r w:rsidR="00457754">
        <w:t>extended</w:t>
      </w:r>
      <w:r w:rsidR="006C6F09">
        <w:t xml:space="preserve"> </w:t>
      </w:r>
      <w:r w:rsidR="00457754">
        <w:t>if</w:t>
      </w:r>
      <w:r w:rsidR="006C6F09">
        <w:t xml:space="preserve"> </w:t>
      </w:r>
      <w:r w:rsidR="00457754">
        <w:t>needed</w:t>
      </w:r>
      <w:r w:rsidR="006C6F09">
        <w:t xml:space="preserve"> </w:t>
      </w:r>
      <w:r w:rsidR="00457754">
        <w:t>by</w:t>
      </w:r>
      <w:r w:rsidR="006C6F09">
        <w:t xml:space="preserve"> </w:t>
      </w:r>
      <w:r w:rsidR="00457754">
        <w:t>the</w:t>
      </w:r>
      <w:r w:rsidR="006C6F09">
        <w:t xml:space="preserve"> </w:t>
      </w:r>
      <w:r w:rsidR="00457754">
        <w:t>project</w:t>
      </w:r>
      <w:r w:rsidR="006C6F09">
        <w:t xml:space="preserve"> </w:t>
      </w:r>
      <w:r w:rsidR="00457754">
        <w:t>sponsor</w:t>
      </w:r>
      <w:r w:rsidR="006C6F09">
        <w:t xml:space="preserve"> </w:t>
      </w:r>
      <w:r w:rsidR="00457754">
        <w:t>in</w:t>
      </w:r>
      <w:r w:rsidR="006C6F09">
        <w:t xml:space="preserve"> </w:t>
      </w:r>
      <w:r w:rsidR="00457754">
        <w:t>coordination</w:t>
      </w:r>
      <w:r w:rsidR="006C6F09">
        <w:t xml:space="preserve"> </w:t>
      </w:r>
      <w:r w:rsidR="00457754">
        <w:t>with</w:t>
      </w:r>
      <w:r w:rsidR="006C6F09">
        <w:t xml:space="preserve"> </w:t>
      </w:r>
      <w:r w:rsidR="00457754">
        <w:t>the</w:t>
      </w:r>
      <w:r w:rsidR="006C6F09">
        <w:t xml:space="preserve"> </w:t>
      </w:r>
      <w:r w:rsidR="00457754">
        <w:t>department</w:t>
      </w:r>
      <w:r w:rsidR="006C6F09">
        <w:t xml:space="preserve"> </w:t>
      </w:r>
      <w:r w:rsidR="00457754">
        <w:t>delegate.</w:t>
      </w:r>
      <w:r w:rsidR="006C6F09">
        <w:t xml:space="preserve"> </w:t>
      </w:r>
      <w:r w:rsidR="00457754">
        <w:t>The</w:t>
      </w:r>
      <w:r w:rsidR="006C6F09">
        <w:t xml:space="preserve"> </w:t>
      </w:r>
      <w:r w:rsidR="00457754">
        <w:t>final</w:t>
      </w:r>
      <w:r w:rsidR="006C6F09">
        <w:t xml:space="preserve"> </w:t>
      </w:r>
      <w:r w:rsidR="00457754">
        <w:t>date</w:t>
      </w:r>
      <w:r w:rsidR="006C6F09">
        <w:t xml:space="preserve"> </w:t>
      </w:r>
      <w:r w:rsidR="00457754">
        <w:t>for</w:t>
      </w:r>
      <w:r w:rsidR="006C6F09">
        <w:t xml:space="preserve"> </w:t>
      </w:r>
      <w:r w:rsidR="00457754">
        <w:t>submitting</w:t>
      </w:r>
      <w:r w:rsidR="006C6F09">
        <w:t xml:space="preserve"> </w:t>
      </w:r>
      <w:r w:rsidR="00457754">
        <w:t>comments</w:t>
      </w:r>
      <w:r w:rsidR="006C6F09">
        <w:t xml:space="preserve"> </w:t>
      </w:r>
      <w:r w:rsidR="00457754">
        <w:t>must</w:t>
      </w:r>
      <w:r w:rsidR="006C6F09">
        <w:t xml:space="preserve"> </w:t>
      </w:r>
      <w:r w:rsidR="00457754">
        <w:t>be</w:t>
      </w:r>
      <w:r w:rsidR="006C6F09">
        <w:t xml:space="preserve"> </w:t>
      </w:r>
      <w:r w:rsidR="00457754">
        <w:t>announced</w:t>
      </w:r>
      <w:r w:rsidR="006C6F09">
        <w:t xml:space="preserve"> </w:t>
      </w:r>
      <w:r w:rsidR="00457754">
        <w:t>at</w:t>
      </w:r>
      <w:r w:rsidR="006C6F09">
        <w:t xml:space="preserve"> </w:t>
      </w:r>
      <w:r w:rsidR="00457754">
        <w:t>the</w:t>
      </w:r>
      <w:r w:rsidR="006C6F09">
        <w:t xml:space="preserve"> </w:t>
      </w:r>
      <w:r w:rsidR="00457754">
        <w:t>hearing.</w:t>
      </w:r>
    </w:p>
    <w:p w14:paraId="6605BB23" w14:textId="3848C251" w:rsidR="000809F8" w:rsidRDefault="005446C5" w:rsidP="005446C5">
      <w:pPr>
        <w:pStyle w:val="ListNumber"/>
        <w:numPr>
          <w:ilvl w:val="0"/>
          <w:numId w:val="0"/>
        </w:numPr>
        <w:spacing w:after="0"/>
      </w:pPr>
      <w:r>
        <w:lastRenderedPageBreak/>
        <w:t>2.</w:t>
      </w:r>
      <w:r w:rsidR="006C6F09">
        <w:t xml:space="preserve"> </w:t>
      </w:r>
      <w:r w:rsidR="00457754" w:rsidRPr="005446C5">
        <w:t>The</w:t>
      </w:r>
      <w:r w:rsidR="006C6F09">
        <w:t xml:space="preserve"> </w:t>
      </w:r>
      <w:r w:rsidR="00457754" w:rsidRPr="005446C5">
        <w:t>project</w:t>
      </w:r>
      <w:r w:rsidR="006C6F09">
        <w:t xml:space="preserve"> </w:t>
      </w:r>
      <w:r w:rsidR="00457754" w:rsidRPr="005446C5">
        <w:t>sponsor</w:t>
      </w:r>
      <w:r w:rsidR="006C6F09">
        <w:t xml:space="preserve"> </w:t>
      </w:r>
      <w:r w:rsidR="00457754" w:rsidRPr="005446C5">
        <w:t>shall</w:t>
      </w:r>
      <w:r w:rsidR="006C6F09">
        <w:t xml:space="preserve"> </w:t>
      </w:r>
      <w:r w:rsidR="00457754" w:rsidRPr="005446C5">
        <w:t>submit</w:t>
      </w:r>
      <w:r w:rsidR="006C6F09">
        <w:t xml:space="preserve"> </w:t>
      </w:r>
      <w:r w:rsidR="00457754" w:rsidRPr="005446C5">
        <w:t>to</w:t>
      </w:r>
      <w:r w:rsidR="006C6F09">
        <w:t xml:space="preserve"> </w:t>
      </w:r>
      <w:r w:rsidR="00457754" w:rsidRPr="005446C5">
        <w:t>the</w:t>
      </w:r>
      <w:r w:rsidR="006C6F09">
        <w:t xml:space="preserve"> </w:t>
      </w:r>
      <w:r w:rsidR="00457754" w:rsidRPr="005446C5">
        <w:t>department</w:t>
      </w:r>
      <w:r w:rsidR="006C6F09">
        <w:t xml:space="preserve"> </w:t>
      </w:r>
      <w:r w:rsidR="00457754" w:rsidRPr="005446C5">
        <w:t>delegate</w:t>
      </w:r>
      <w:r w:rsidR="006C6F09">
        <w:t xml:space="preserve"> </w:t>
      </w:r>
      <w:r w:rsidR="00457754" w:rsidRPr="005446C5">
        <w:t>documentation</w:t>
      </w:r>
      <w:r w:rsidR="006C6F09">
        <w:t xml:space="preserve"> </w:t>
      </w:r>
      <w:r w:rsidR="00457754" w:rsidRPr="005446C5">
        <w:t>of</w:t>
      </w:r>
      <w:r w:rsidR="006C6F09">
        <w:t xml:space="preserve"> </w:t>
      </w:r>
      <w:r w:rsidR="00457754" w:rsidRPr="005446C5">
        <w:t>public</w:t>
      </w:r>
      <w:r w:rsidR="006C6F09">
        <w:t xml:space="preserve"> </w:t>
      </w:r>
      <w:r w:rsidR="00457754" w:rsidRPr="005446C5">
        <w:t>hearing</w:t>
      </w:r>
      <w:r w:rsidR="006C6F09">
        <w:t xml:space="preserve"> </w:t>
      </w:r>
      <w:r w:rsidR="00457754" w:rsidRPr="005446C5">
        <w:t>that</w:t>
      </w:r>
      <w:r w:rsidR="006C6F09">
        <w:t xml:space="preserve"> </w:t>
      </w:r>
      <w:r w:rsidR="00457754" w:rsidRPr="005446C5">
        <w:t>includes</w:t>
      </w:r>
      <w:r w:rsidR="006C6F09">
        <w:t xml:space="preserve"> </w:t>
      </w:r>
      <w:r w:rsidR="00457754" w:rsidRPr="005446C5">
        <w:t>the</w:t>
      </w:r>
      <w:r w:rsidR="006C6F09">
        <w:t xml:space="preserve"> </w:t>
      </w:r>
      <w:r w:rsidR="00457754" w:rsidRPr="005446C5">
        <w:t>cover</w:t>
      </w:r>
      <w:r w:rsidR="006C6F09">
        <w:t xml:space="preserve"> </w:t>
      </w:r>
      <w:r w:rsidR="00457754" w:rsidRPr="005446C5">
        <w:t>page;</w:t>
      </w:r>
      <w:r w:rsidR="006C6F09">
        <w:t xml:space="preserve"> </w:t>
      </w:r>
      <w:r w:rsidR="00457754" w:rsidRPr="005446C5">
        <w:t>transcript;</w:t>
      </w:r>
      <w:r w:rsidR="006C6F09">
        <w:t xml:space="preserve"> </w:t>
      </w:r>
      <w:r w:rsidR="00457754" w:rsidRPr="005446C5">
        <w:t>and</w:t>
      </w:r>
      <w:r w:rsidR="006C6F09">
        <w:t xml:space="preserve"> </w:t>
      </w:r>
      <w:r w:rsidR="00457754" w:rsidRPr="005446C5">
        <w:t>a</w:t>
      </w:r>
      <w:r w:rsidR="006C6F09">
        <w:t xml:space="preserve"> </w:t>
      </w:r>
      <w:r w:rsidR="00457754" w:rsidRPr="005446C5">
        <w:t>comment</w:t>
      </w:r>
      <w:r w:rsidR="006C6F09">
        <w:t xml:space="preserve"> </w:t>
      </w:r>
      <w:r w:rsidR="00457754" w:rsidRPr="005446C5">
        <w:t>and</w:t>
      </w:r>
      <w:r w:rsidR="006C6F09">
        <w:t xml:space="preserve"> </w:t>
      </w:r>
      <w:r w:rsidR="00457754" w:rsidRPr="005446C5">
        <w:t>response</w:t>
      </w:r>
      <w:r w:rsidR="006C6F09">
        <w:t xml:space="preserve"> </w:t>
      </w:r>
      <w:r w:rsidR="00457754" w:rsidRPr="005446C5">
        <w:t>matrix.</w:t>
      </w:r>
      <w:r w:rsidR="006C6F09">
        <w:t xml:space="preserve"> </w:t>
      </w:r>
      <w:r w:rsidR="00457754" w:rsidRPr="005446C5">
        <w:t>See</w:t>
      </w:r>
      <w:r w:rsidR="006C6F09">
        <w:t xml:space="preserve"> </w:t>
      </w:r>
      <w:r w:rsidR="00457754" w:rsidRPr="005446C5">
        <w:t>ENV’s</w:t>
      </w:r>
      <w:r w:rsidR="006C6F09">
        <w:t xml:space="preserve"> </w:t>
      </w:r>
      <w:r w:rsidR="00457754" w:rsidRPr="005446C5">
        <w:t>Guidance</w:t>
      </w:r>
      <w:r w:rsidR="006C6F09">
        <w:t xml:space="preserve"> </w:t>
      </w:r>
      <w:r w:rsidR="00457754" w:rsidRPr="005446C5">
        <w:t>–</w:t>
      </w:r>
      <w:r w:rsidR="006C6F09">
        <w:t xml:space="preserve"> </w:t>
      </w:r>
      <w:r w:rsidR="00457754" w:rsidRPr="00F67602">
        <w:t>Public</w:t>
      </w:r>
      <w:r w:rsidR="006C6F09">
        <w:t xml:space="preserve"> </w:t>
      </w:r>
      <w:r w:rsidR="00457754" w:rsidRPr="00F67602">
        <w:t>Comment</w:t>
      </w:r>
      <w:r w:rsidR="006C6F09">
        <w:t xml:space="preserve"> </w:t>
      </w:r>
      <w:r w:rsidR="00457754" w:rsidRPr="00F67602">
        <w:t>Response</w:t>
      </w:r>
      <w:r w:rsidR="006C6F09">
        <w:t xml:space="preserve"> </w:t>
      </w:r>
      <w:r w:rsidR="00457754" w:rsidRPr="00F67602">
        <w:t>Matrix</w:t>
      </w:r>
      <w:r w:rsidR="006C6F09">
        <w:rPr>
          <w:i/>
          <w:iCs/>
        </w:rPr>
        <w:t xml:space="preserve"> </w:t>
      </w:r>
      <w:r w:rsidR="00457754" w:rsidRPr="005446C5">
        <w:t>for</w:t>
      </w:r>
      <w:r w:rsidR="006C6F09">
        <w:t xml:space="preserve"> </w:t>
      </w:r>
      <w:r w:rsidR="00457754" w:rsidRPr="005446C5">
        <w:t>further</w:t>
      </w:r>
      <w:r w:rsidR="006C6F09">
        <w:t xml:space="preserve"> </w:t>
      </w:r>
      <w:r w:rsidR="00457754" w:rsidRPr="005446C5">
        <w:t>instructions</w:t>
      </w:r>
      <w:r w:rsidR="006C6F09">
        <w:t xml:space="preserve"> </w:t>
      </w:r>
      <w:r w:rsidR="00457754" w:rsidRPr="005446C5">
        <w:t>regarding</w:t>
      </w:r>
      <w:r w:rsidR="006C6F09">
        <w:t xml:space="preserve"> </w:t>
      </w:r>
      <w:r w:rsidR="00457754" w:rsidRPr="005446C5">
        <w:t>the</w:t>
      </w:r>
      <w:r w:rsidR="006C6F09">
        <w:t xml:space="preserve"> </w:t>
      </w:r>
      <w:r w:rsidR="00457754" w:rsidRPr="005446C5">
        <w:t>comment</w:t>
      </w:r>
      <w:r w:rsidR="006C6F09">
        <w:t xml:space="preserve"> </w:t>
      </w:r>
      <w:r w:rsidR="00457754" w:rsidRPr="005446C5">
        <w:t>and</w:t>
      </w:r>
      <w:r w:rsidR="006C6F09">
        <w:t xml:space="preserve"> </w:t>
      </w:r>
      <w:r w:rsidR="00457754" w:rsidRPr="005446C5">
        <w:t>response</w:t>
      </w:r>
      <w:r w:rsidR="006C6F09">
        <w:t xml:space="preserve"> </w:t>
      </w:r>
      <w:r w:rsidR="00457754" w:rsidRPr="005446C5">
        <w:t>matrix.</w:t>
      </w:r>
      <w:r w:rsidR="006C6F09">
        <w:t xml:space="preserve"> </w:t>
      </w:r>
      <w:r w:rsidR="00457754" w:rsidRPr="005446C5">
        <w:t>The</w:t>
      </w:r>
      <w:r w:rsidR="006C6F09">
        <w:t xml:space="preserve"> </w:t>
      </w:r>
      <w:r w:rsidR="00457754" w:rsidRPr="005446C5">
        <w:t>contents</w:t>
      </w:r>
      <w:r w:rsidR="006C6F09">
        <w:t xml:space="preserve"> </w:t>
      </w:r>
      <w:r w:rsidR="00457754" w:rsidRPr="005446C5">
        <w:t>of</w:t>
      </w:r>
      <w:r w:rsidR="006C6F09">
        <w:t xml:space="preserve"> </w:t>
      </w:r>
      <w:r w:rsidR="00457754" w:rsidRPr="005446C5">
        <w:t>the</w:t>
      </w:r>
      <w:r w:rsidR="006C6F09">
        <w:t xml:space="preserve"> </w:t>
      </w:r>
      <w:r w:rsidR="00457754" w:rsidRPr="005446C5">
        <w:t>documentation</w:t>
      </w:r>
      <w:r w:rsidR="006C6F09">
        <w:t xml:space="preserve"> </w:t>
      </w:r>
      <w:r w:rsidR="00457754" w:rsidRPr="005446C5">
        <w:t>for</w:t>
      </w:r>
      <w:r w:rsidR="006C6F09">
        <w:t xml:space="preserve"> </w:t>
      </w:r>
      <w:r w:rsidR="00457754" w:rsidRPr="005446C5">
        <w:t>public</w:t>
      </w:r>
      <w:r w:rsidR="006C6F09">
        <w:t xml:space="preserve"> </w:t>
      </w:r>
      <w:r w:rsidR="00457754" w:rsidRPr="005446C5">
        <w:t>hearing</w:t>
      </w:r>
      <w:r w:rsidR="006C6F09">
        <w:t xml:space="preserve"> </w:t>
      </w:r>
      <w:r w:rsidR="00457754" w:rsidRPr="005446C5">
        <w:t>are</w:t>
      </w:r>
      <w:r w:rsidR="006C6F09">
        <w:t xml:space="preserve"> </w:t>
      </w:r>
      <w:r w:rsidR="00457754" w:rsidRPr="005446C5">
        <w:t>discussed</w:t>
      </w:r>
      <w:r w:rsidR="006C6F09">
        <w:t xml:space="preserve"> </w:t>
      </w:r>
      <w:r w:rsidR="00457754" w:rsidRPr="005446C5">
        <w:t>further</w:t>
      </w:r>
      <w:r w:rsidR="006C6F09">
        <w:t xml:space="preserve"> </w:t>
      </w:r>
      <w:r w:rsidR="00457754" w:rsidRPr="005446C5">
        <w:t>below</w:t>
      </w:r>
      <w:r w:rsidR="006C6F09">
        <w:t xml:space="preserve"> </w:t>
      </w:r>
      <w:r w:rsidR="00457754" w:rsidRPr="005446C5">
        <w:t>in</w:t>
      </w:r>
      <w:r w:rsidR="006C6F09">
        <w:t xml:space="preserve"> </w:t>
      </w:r>
      <w:r w:rsidR="00457754" w:rsidRPr="005446C5">
        <w:t>Section</w:t>
      </w:r>
      <w:r w:rsidR="006C6F09">
        <w:t xml:space="preserve"> </w:t>
      </w:r>
      <w:r w:rsidR="00457754" w:rsidRPr="005446C5">
        <w:fldChar w:fldCharType="begin"/>
      </w:r>
      <w:r w:rsidR="00457754" w:rsidRPr="005446C5">
        <w:instrText xml:space="preserve"> REF _Ref219385972 \h  \* MERGEFORMAT </w:instrText>
      </w:r>
      <w:r w:rsidR="00457754" w:rsidRPr="005446C5">
        <w:fldChar w:fldCharType="separate"/>
      </w:r>
      <w:r w:rsidR="00457754" w:rsidRPr="005446C5">
        <w:t>14.0</w:t>
      </w:r>
      <w:r w:rsidR="006C6F09">
        <w:t xml:space="preserve"> </w:t>
      </w:r>
      <w:r w:rsidR="00457754" w:rsidRPr="005446C5">
        <w:t>Documentation</w:t>
      </w:r>
      <w:r w:rsidR="006C6F09">
        <w:t xml:space="preserve"> </w:t>
      </w:r>
      <w:r w:rsidR="00457754" w:rsidRPr="005446C5">
        <w:t>Requirements</w:t>
      </w:r>
      <w:r w:rsidR="00457754" w:rsidRPr="005446C5">
        <w:fldChar w:fldCharType="end"/>
      </w:r>
      <w:r w:rsidR="00457754" w:rsidRPr="005446C5">
        <w:t>.</w:t>
      </w:r>
      <w:r w:rsidR="006C6F09">
        <w:t xml:space="preserve"> </w:t>
      </w:r>
      <w:r w:rsidR="00457754" w:rsidRPr="005446C5">
        <w:t>The</w:t>
      </w:r>
      <w:r w:rsidR="006C6F09">
        <w:t xml:space="preserve"> </w:t>
      </w:r>
      <w:r w:rsidR="00457754" w:rsidRPr="005446C5">
        <w:t>project’s</w:t>
      </w:r>
      <w:r w:rsidR="006C6F09">
        <w:t xml:space="preserve"> </w:t>
      </w:r>
      <w:r w:rsidR="00457754" w:rsidRPr="005446C5">
        <w:t>final</w:t>
      </w:r>
      <w:r w:rsidR="006C6F09">
        <w:t xml:space="preserve"> </w:t>
      </w:r>
      <w:r w:rsidR="00457754" w:rsidRPr="005446C5">
        <w:t>EIS,</w:t>
      </w:r>
      <w:r w:rsidR="006C6F09">
        <w:t xml:space="preserve"> </w:t>
      </w:r>
      <w:r w:rsidR="00457754" w:rsidRPr="005446C5">
        <w:t>EA,</w:t>
      </w:r>
      <w:r w:rsidR="006C6F09">
        <w:t xml:space="preserve"> </w:t>
      </w:r>
      <w:r w:rsidR="00457754" w:rsidRPr="005446C5">
        <w:t>or</w:t>
      </w:r>
      <w:r w:rsidR="006C6F09">
        <w:t xml:space="preserve"> </w:t>
      </w:r>
      <w:r w:rsidR="00457754" w:rsidRPr="005446C5">
        <w:t>CE</w:t>
      </w:r>
      <w:r w:rsidR="006C6F09">
        <w:t xml:space="preserve"> </w:t>
      </w:r>
      <w:r w:rsidR="00457754" w:rsidRPr="005446C5">
        <w:t>determination</w:t>
      </w:r>
      <w:r w:rsidR="006C6F09">
        <w:t xml:space="preserve"> </w:t>
      </w:r>
      <w:r w:rsidR="00457754" w:rsidRPr="005446C5">
        <w:t>shall</w:t>
      </w:r>
      <w:r w:rsidR="006C6F09">
        <w:t xml:space="preserve"> </w:t>
      </w:r>
      <w:r w:rsidR="00457754" w:rsidRPr="005446C5">
        <w:t>reflect</w:t>
      </w:r>
      <w:r w:rsidR="006C6F09">
        <w:t xml:space="preserve"> </w:t>
      </w:r>
      <w:r w:rsidR="00457754" w:rsidRPr="005446C5">
        <w:t>the</w:t>
      </w:r>
      <w:r w:rsidR="006C6F09">
        <w:t xml:space="preserve"> </w:t>
      </w:r>
      <w:r w:rsidR="00457754" w:rsidRPr="005446C5">
        <w:t>holding</w:t>
      </w:r>
      <w:r w:rsidR="006C6F09">
        <w:t xml:space="preserve"> </w:t>
      </w:r>
      <w:r w:rsidR="00457754" w:rsidRPr="005446C5">
        <w:t>of</w:t>
      </w:r>
      <w:r w:rsidR="006C6F09">
        <w:t xml:space="preserve"> </w:t>
      </w:r>
      <w:r w:rsidR="00457754" w:rsidRPr="005446C5">
        <w:t>a</w:t>
      </w:r>
      <w:r w:rsidR="006C6F09">
        <w:t xml:space="preserve"> </w:t>
      </w:r>
      <w:r w:rsidR="00457754" w:rsidRPr="005446C5">
        <w:t>public</w:t>
      </w:r>
      <w:r w:rsidR="006C6F09">
        <w:t xml:space="preserve"> </w:t>
      </w:r>
      <w:r w:rsidR="00457754" w:rsidRPr="005446C5">
        <w:t>hearing,</w:t>
      </w:r>
      <w:r w:rsidR="006C6F09">
        <w:t xml:space="preserve"> </w:t>
      </w:r>
      <w:r w:rsidR="00457754" w:rsidRPr="005446C5">
        <w:t>including</w:t>
      </w:r>
      <w:r w:rsidR="006C6F09">
        <w:t xml:space="preserve"> </w:t>
      </w:r>
      <w:r w:rsidR="00457754" w:rsidRPr="005446C5">
        <w:t>project</w:t>
      </w:r>
      <w:r w:rsidR="006C6F09">
        <w:t xml:space="preserve"> </w:t>
      </w:r>
      <w:r w:rsidR="00457754" w:rsidRPr="005446C5">
        <w:t>revisions</w:t>
      </w:r>
      <w:r w:rsidR="006C6F09">
        <w:t xml:space="preserve"> </w:t>
      </w:r>
      <w:r w:rsidR="00457754" w:rsidRPr="005446C5">
        <w:t>to</w:t>
      </w:r>
      <w:r w:rsidR="006C6F09">
        <w:t xml:space="preserve"> </w:t>
      </w:r>
      <w:r w:rsidR="00457754" w:rsidRPr="005446C5">
        <w:t>the</w:t>
      </w:r>
      <w:r w:rsidR="006C6F09">
        <w:t xml:space="preserve"> </w:t>
      </w:r>
      <w:r w:rsidR="00457754" w:rsidRPr="005446C5">
        <w:t>proposed</w:t>
      </w:r>
      <w:r w:rsidR="006C6F09">
        <w:t xml:space="preserve"> </w:t>
      </w:r>
      <w:r w:rsidR="00457754" w:rsidRPr="005446C5">
        <w:t>design</w:t>
      </w:r>
      <w:r w:rsidR="006C6F09">
        <w:t xml:space="preserve"> </w:t>
      </w:r>
      <w:r w:rsidR="00457754" w:rsidRPr="005446C5">
        <w:t>or</w:t>
      </w:r>
      <w:r w:rsidR="006C6F09">
        <w:t xml:space="preserve"> </w:t>
      </w:r>
      <w:r w:rsidR="00457754" w:rsidRPr="005446C5">
        <w:t>changes</w:t>
      </w:r>
      <w:r w:rsidR="006C6F09">
        <w:t xml:space="preserve"> </w:t>
      </w:r>
      <w:r w:rsidR="00457754" w:rsidRPr="005446C5">
        <w:t>in</w:t>
      </w:r>
      <w:r w:rsidR="006C6F09">
        <w:t xml:space="preserve"> </w:t>
      </w:r>
      <w:r w:rsidR="00457754" w:rsidRPr="005446C5">
        <w:t>anticipated</w:t>
      </w:r>
      <w:r w:rsidR="006C6F09">
        <w:t xml:space="preserve"> </w:t>
      </w:r>
      <w:r w:rsidR="00457754" w:rsidRPr="005446C5">
        <w:t>impacts</w:t>
      </w:r>
      <w:r w:rsidR="006C6F09">
        <w:t xml:space="preserve"> </w:t>
      </w:r>
      <w:r w:rsidR="00457754" w:rsidRPr="005446C5">
        <w:t>because</w:t>
      </w:r>
      <w:r w:rsidR="006C6F09">
        <w:t xml:space="preserve"> </w:t>
      </w:r>
      <w:r w:rsidR="00457754" w:rsidRPr="005446C5">
        <w:t>of</w:t>
      </w:r>
      <w:r w:rsidR="006C6F09">
        <w:t xml:space="preserve"> </w:t>
      </w:r>
      <w:r w:rsidR="00457754" w:rsidRPr="005446C5">
        <w:t>comments</w:t>
      </w:r>
      <w:r w:rsidR="006C6F09">
        <w:t xml:space="preserve"> </w:t>
      </w:r>
      <w:r w:rsidR="00457754" w:rsidRPr="005446C5">
        <w:t>received.</w:t>
      </w:r>
    </w:p>
    <w:p w14:paraId="792B51E4" w14:textId="1C14F2AD" w:rsidR="00457754" w:rsidRDefault="000809F8" w:rsidP="005446C5">
      <w:pPr>
        <w:pStyle w:val="ListNumber"/>
        <w:numPr>
          <w:ilvl w:val="0"/>
          <w:numId w:val="0"/>
        </w:numPr>
        <w:spacing w:after="0"/>
      </w:pPr>
      <w:r>
        <w:t>3.</w:t>
      </w:r>
      <w:r w:rsidR="006C6F09">
        <w:t xml:space="preserve"> </w:t>
      </w:r>
      <w:r w:rsidR="00457754">
        <w:t>The</w:t>
      </w:r>
      <w:r w:rsidR="006C6F09">
        <w:t xml:space="preserve"> </w:t>
      </w:r>
      <w:r w:rsidR="00457754">
        <w:t>department</w:t>
      </w:r>
      <w:r w:rsidR="006C6F09">
        <w:t xml:space="preserve"> </w:t>
      </w:r>
      <w:r w:rsidR="00457754">
        <w:t>delegate</w:t>
      </w:r>
      <w:r w:rsidR="006C6F09">
        <w:t xml:space="preserve"> </w:t>
      </w:r>
      <w:r w:rsidR="00457754">
        <w:t>shall</w:t>
      </w:r>
      <w:r w:rsidR="006C6F09">
        <w:t xml:space="preserve"> </w:t>
      </w:r>
      <w:r w:rsidR="00457754">
        <w:t>review</w:t>
      </w:r>
      <w:r w:rsidR="006C6F09">
        <w:t xml:space="preserve"> </w:t>
      </w:r>
      <w:r w:rsidR="00457754">
        <w:t>the</w:t>
      </w:r>
      <w:r w:rsidR="006C6F09">
        <w:t xml:space="preserve"> </w:t>
      </w:r>
      <w:r w:rsidR="00457754">
        <w:t>public</w:t>
      </w:r>
      <w:r w:rsidR="006C6F09">
        <w:t xml:space="preserve"> </w:t>
      </w:r>
      <w:r w:rsidR="00457754">
        <w:t>hearing</w:t>
      </w:r>
      <w:r w:rsidR="006C6F09">
        <w:t xml:space="preserve"> </w:t>
      </w:r>
      <w:r w:rsidR="00457754">
        <w:t>documentation</w:t>
      </w:r>
      <w:r w:rsidR="006C6F09">
        <w:t xml:space="preserve"> </w:t>
      </w:r>
      <w:r w:rsidR="00457754">
        <w:t>and</w:t>
      </w:r>
      <w:r w:rsidR="006C6F09">
        <w:t xml:space="preserve"> </w:t>
      </w:r>
      <w:r w:rsidR="00457754">
        <w:t>any</w:t>
      </w:r>
      <w:r w:rsidR="006C6F09">
        <w:t xml:space="preserve"> </w:t>
      </w:r>
      <w:r w:rsidR="00457754">
        <w:t>revised</w:t>
      </w:r>
      <w:r w:rsidR="006C6F09">
        <w:t xml:space="preserve"> </w:t>
      </w:r>
      <w:r w:rsidR="00457754">
        <w:t>environmental</w:t>
      </w:r>
      <w:r w:rsidR="006C6F09">
        <w:t xml:space="preserve"> </w:t>
      </w:r>
      <w:r w:rsidR="00457754">
        <w:t>documentation</w:t>
      </w:r>
      <w:r w:rsidR="006C6F09">
        <w:t xml:space="preserve"> </w:t>
      </w:r>
      <w:r w:rsidR="00457754">
        <w:t>if</w:t>
      </w:r>
      <w:r w:rsidR="006C6F09">
        <w:t xml:space="preserve"> </w:t>
      </w:r>
      <w:r w:rsidR="00457754">
        <w:t>applicable.</w:t>
      </w:r>
      <w:r w:rsidR="006C6F09">
        <w:t xml:space="preserve"> </w:t>
      </w:r>
      <w:r w:rsidR="00457754">
        <w:t>If</w:t>
      </w:r>
      <w:r w:rsidR="006C6F09">
        <w:t xml:space="preserve"> </w:t>
      </w:r>
      <w:r w:rsidR="00457754">
        <w:t>additional</w:t>
      </w:r>
      <w:r w:rsidR="006C6F09">
        <w:t xml:space="preserve"> </w:t>
      </w:r>
      <w:r w:rsidR="00457754">
        <w:t>resource</w:t>
      </w:r>
      <w:r w:rsidR="006C6F09">
        <w:t xml:space="preserve"> </w:t>
      </w:r>
      <w:r w:rsidR="00457754">
        <w:t>agency</w:t>
      </w:r>
      <w:r w:rsidR="006C6F09">
        <w:t xml:space="preserve"> </w:t>
      </w:r>
      <w:r w:rsidR="00457754">
        <w:t>coordination</w:t>
      </w:r>
      <w:r w:rsidR="006C6F09">
        <w:t xml:space="preserve"> </w:t>
      </w:r>
      <w:r w:rsidR="00457754">
        <w:t>is</w:t>
      </w:r>
      <w:r w:rsidR="006C6F09">
        <w:t xml:space="preserve"> </w:t>
      </w:r>
      <w:r w:rsidR="00457754">
        <w:t>necessary,</w:t>
      </w:r>
      <w:r w:rsidR="006C6F09">
        <w:t xml:space="preserve"> </w:t>
      </w:r>
      <w:r w:rsidR="00457754">
        <w:t>the</w:t>
      </w:r>
      <w:r w:rsidR="006C6F09">
        <w:t xml:space="preserve"> </w:t>
      </w:r>
      <w:r w:rsidR="00457754">
        <w:t>department</w:t>
      </w:r>
      <w:r w:rsidR="006C6F09">
        <w:t xml:space="preserve"> </w:t>
      </w:r>
      <w:r w:rsidR="00457754">
        <w:t>delegate</w:t>
      </w:r>
      <w:r w:rsidR="006C6F09">
        <w:t xml:space="preserve"> </w:t>
      </w:r>
      <w:r w:rsidR="00457754">
        <w:t>directs</w:t>
      </w:r>
      <w:r w:rsidR="006C6F09">
        <w:t xml:space="preserve"> </w:t>
      </w:r>
      <w:r w:rsidR="00457754">
        <w:t>the</w:t>
      </w:r>
      <w:r w:rsidR="006C6F09">
        <w:t xml:space="preserve"> </w:t>
      </w:r>
      <w:r w:rsidR="00457754">
        <w:t>project</w:t>
      </w:r>
      <w:r w:rsidR="006C6F09">
        <w:t xml:space="preserve"> </w:t>
      </w:r>
      <w:r w:rsidR="00457754">
        <w:t>sponsor</w:t>
      </w:r>
      <w:r w:rsidR="006C6F09">
        <w:t xml:space="preserve"> </w:t>
      </w:r>
      <w:r w:rsidR="00457754">
        <w:t>to</w:t>
      </w:r>
      <w:r w:rsidR="006C6F09">
        <w:t xml:space="preserve"> </w:t>
      </w:r>
      <w:r w:rsidR="00457754">
        <w:t>initiate</w:t>
      </w:r>
      <w:r w:rsidR="006C6F09">
        <w:t xml:space="preserve"> </w:t>
      </w:r>
      <w:r w:rsidR="00457754">
        <w:t>it.</w:t>
      </w:r>
      <w:r w:rsidR="006C6F09">
        <w:t xml:space="preserve"> </w:t>
      </w:r>
    </w:p>
    <w:p w14:paraId="0DF18035" w14:textId="0B4B6F73" w:rsidR="00457754" w:rsidRDefault="00457754" w:rsidP="00457754">
      <w:pPr>
        <w:spacing w:after="0"/>
      </w:pPr>
      <w:r>
        <w:t>Upon</w:t>
      </w:r>
      <w:r w:rsidR="006C6F09">
        <w:t xml:space="preserve"> </w:t>
      </w:r>
      <w:r>
        <w:t>completion</w:t>
      </w:r>
      <w:r w:rsidR="006C6F09">
        <w:t xml:space="preserve"> </w:t>
      </w:r>
      <w:r>
        <w:t>of</w:t>
      </w:r>
      <w:r w:rsidR="006C6F09">
        <w:t xml:space="preserve"> </w:t>
      </w:r>
      <w:r>
        <w:t>any</w:t>
      </w:r>
      <w:r w:rsidR="006C6F09">
        <w:t xml:space="preserve"> </w:t>
      </w:r>
      <w:r>
        <w:t>necessary</w:t>
      </w:r>
      <w:r w:rsidR="006C6F09">
        <w:t xml:space="preserve"> </w:t>
      </w:r>
      <w:r>
        <w:t>coordination,</w:t>
      </w:r>
      <w:r w:rsidR="006C6F09">
        <w:t xml:space="preserve"> </w:t>
      </w:r>
      <w:r>
        <w:t>the</w:t>
      </w:r>
      <w:r w:rsidR="006C6F09">
        <w:t xml:space="preserve"> </w:t>
      </w:r>
      <w:r>
        <w:t>public</w:t>
      </w:r>
      <w:r w:rsidR="006C6F09">
        <w:t xml:space="preserve"> </w:t>
      </w:r>
      <w:r>
        <w:t>hearing</w:t>
      </w:r>
      <w:r w:rsidR="006C6F09">
        <w:t xml:space="preserve"> </w:t>
      </w:r>
      <w:r>
        <w:t>documentation</w:t>
      </w:r>
      <w:r w:rsidR="006C6F09">
        <w:t xml:space="preserve"> </w:t>
      </w:r>
      <w:r>
        <w:t>and</w:t>
      </w:r>
      <w:r w:rsidR="006C6F09">
        <w:t xml:space="preserve"> </w:t>
      </w:r>
      <w:r>
        <w:t>the</w:t>
      </w:r>
      <w:r w:rsidR="006C6F09">
        <w:t xml:space="preserve"> </w:t>
      </w:r>
      <w:r>
        <w:t>final</w:t>
      </w:r>
      <w:r w:rsidR="006C6F09">
        <w:t xml:space="preserve"> </w:t>
      </w:r>
      <w:r>
        <w:t>EA,</w:t>
      </w:r>
      <w:r w:rsidR="006C6F09">
        <w:t xml:space="preserve"> </w:t>
      </w:r>
      <w:r>
        <w:t>EIS,</w:t>
      </w:r>
      <w:r w:rsidR="006C6F09">
        <w:t xml:space="preserve"> </w:t>
      </w:r>
      <w:proofErr w:type="gramStart"/>
      <w:r>
        <w:t>and</w:t>
      </w:r>
      <w:r w:rsidR="006C6F09">
        <w:t xml:space="preserve"> </w:t>
      </w:r>
      <w:r>
        <w:t>or</w:t>
      </w:r>
      <w:proofErr w:type="gramEnd"/>
      <w:r w:rsidR="006C6F09">
        <w:t xml:space="preserve"> </w:t>
      </w:r>
      <w:r>
        <w:t>CE</w:t>
      </w:r>
      <w:r w:rsidR="006C6F09">
        <w:t xml:space="preserve"> </w:t>
      </w:r>
      <w:r>
        <w:t>determination</w:t>
      </w:r>
      <w:r w:rsidR="006C6F09">
        <w:t xml:space="preserve"> </w:t>
      </w:r>
      <w:r>
        <w:t>are</w:t>
      </w:r>
      <w:r w:rsidR="006C6F09">
        <w:t xml:space="preserve"> </w:t>
      </w:r>
      <w:r>
        <w:t>forwarded</w:t>
      </w:r>
      <w:r w:rsidR="006C6F09">
        <w:t xml:space="preserve"> </w:t>
      </w:r>
      <w:r>
        <w:t>to</w:t>
      </w:r>
      <w:r w:rsidR="006C6F09">
        <w:t xml:space="preserve"> </w:t>
      </w:r>
      <w:r>
        <w:t>the</w:t>
      </w:r>
      <w:r w:rsidR="006C6F09">
        <w:t xml:space="preserve"> </w:t>
      </w:r>
      <w:r>
        <w:t>department</w:t>
      </w:r>
      <w:r w:rsidR="006C6F09">
        <w:t xml:space="preserve"> </w:t>
      </w:r>
      <w:r>
        <w:t>delegate</w:t>
      </w:r>
      <w:r w:rsidR="006C6F09">
        <w:t xml:space="preserve"> </w:t>
      </w:r>
      <w:r>
        <w:t>for</w:t>
      </w:r>
      <w:r w:rsidR="006C6F09">
        <w:t xml:space="preserve"> </w:t>
      </w:r>
      <w:r>
        <w:t>review</w:t>
      </w:r>
      <w:r w:rsidR="006C6F09">
        <w:t xml:space="preserve"> </w:t>
      </w:r>
      <w:r>
        <w:t>and</w:t>
      </w:r>
      <w:r w:rsidR="006C6F09">
        <w:t xml:space="preserve"> </w:t>
      </w:r>
      <w:r>
        <w:t>a</w:t>
      </w:r>
      <w:r w:rsidR="006C6F09">
        <w:t xml:space="preserve"> </w:t>
      </w:r>
      <w:r>
        <w:t>project</w:t>
      </w:r>
      <w:r w:rsidR="006C6F09">
        <w:t xml:space="preserve"> </w:t>
      </w:r>
      <w:r>
        <w:t>decision.</w:t>
      </w:r>
    </w:p>
    <w:p w14:paraId="04D025C8" w14:textId="0FABAD53" w:rsidR="00457754" w:rsidRPr="00452949" w:rsidRDefault="00457754" w:rsidP="00457754">
      <w:pPr>
        <w:pStyle w:val="Heading2"/>
      </w:pPr>
      <w:bookmarkStart w:id="74" w:name="_Toc224026223"/>
      <w:r w:rsidRPr="00452949">
        <w:t>7.0</w:t>
      </w:r>
      <w:r w:rsidR="006C6F09">
        <w:t xml:space="preserve"> </w:t>
      </w:r>
      <w:r w:rsidRPr="00452949">
        <w:t>Notice</w:t>
      </w:r>
      <w:r w:rsidR="006C6F09">
        <w:t xml:space="preserve"> </w:t>
      </w:r>
      <w:r w:rsidRPr="00452949">
        <w:t>of</w:t>
      </w:r>
      <w:r w:rsidR="006C6F09">
        <w:t xml:space="preserve"> </w:t>
      </w:r>
      <w:r w:rsidRPr="00452949">
        <w:t>Intent</w:t>
      </w:r>
      <w:r w:rsidR="006C6F09">
        <w:t xml:space="preserve"> </w:t>
      </w:r>
      <w:r w:rsidRPr="00452949">
        <w:t>(NOI)</w:t>
      </w:r>
      <w:bookmarkEnd w:id="74"/>
      <w:r w:rsidR="006C6F09">
        <w:t xml:space="preserve"> </w:t>
      </w:r>
    </w:p>
    <w:p w14:paraId="404629CC" w14:textId="5D542D96" w:rsidR="00457754" w:rsidRDefault="00457754" w:rsidP="00457754">
      <w:r>
        <w:t>FHWA</w:t>
      </w:r>
      <w:r w:rsidR="006C6F09">
        <w:t xml:space="preserve"> </w:t>
      </w:r>
      <w:r>
        <w:t>regulations</w:t>
      </w:r>
      <w:r w:rsidR="006C6F09">
        <w:t xml:space="preserve"> </w:t>
      </w:r>
      <w:r>
        <w:t>codified</w:t>
      </w:r>
      <w:r w:rsidR="006C6F09">
        <w:t xml:space="preserve"> </w:t>
      </w:r>
      <w:r>
        <w:t>at</w:t>
      </w:r>
      <w:r w:rsidR="006C6F09">
        <w:t xml:space="preserve"> </w:t>
      </w:r>
      <w:hyperlink r:id="rId61" w:anchor="se23.1.771_1123" w:history="1">
        <w:r w:rsidRPr="000864F5">
          <w:rPr>
            <w:rStyle w:val="Hyperlink"/>
          </w:rPr>
          <w:t>Title</w:t>
        </w:r>
        <w:r w:rsidR="006C6F09">
          <w:rPr>
            <w:rStyle w:val="Hyperlink"/>
          </w:rPr>
          <w:t xml:space="preserve"> </w:t>
        </w:r>
        <w:r w:rsidRPr="000864F5">
          <w:rPr>
            <w:rStyle w:val="Hyperlink"/>
          </w:rPr>
          <w:t>23</w:t>
        </w:r>
        <w:r w:rsidR="006C6F09">
          <w:rPr>
            <w:rStyle w:val="Hyperlink"/>
          </w:rPr>
          <w:t xml:space="preserve"> </w:t>
        </w:r>
        <w:r w:rsidRPr="000864F5">
          <w:rPr>
            <w:rStyle w:val="Hyperlink"/>
          </w:rPr>
          <w:t>Code</w:t>
        </w:r>
        <w:r w:rsidR="006C6F09">
          <w:rPr>
            <w:rStyle w:val="Hyperlink"/>
          </w:rPr>
          <w:t xml:space="preserve"> </w:t>
        </w:r>
        <w:r w:rsidRPr="000864F5">
          <w:rPr>
            <w:rStyle w:val="Hyperlink"/>
          </w:rPr>
          <w:t>of</w:t>
        </w:r>
        <w:r w:rsidR="006C6F09">
          <w:rPr>
            <w:rStyle w:val="Hyperlink"/>
          </w:rPr>
          <w:t xml:space="preserve"> </w:t>
        </w:r>
        <w:r w:rsidRPr="000864F5">
          <w:rPr>
            <w:rStyle w:val="Hyperlink"/>
          </w:rPr>
          <w:t>Federal</w:t>
        </w:r>
        <w:r w:rsidR="006C6F09">
          <w:rPr>
            <w:rStyle w:val="Hyperlink"/>
          </w:rPr>
          <w:t xml:space="preserve"> </w:t>
        </w:r>
        <w:r w:rsidRPr="000864F5">
          <w:rPr>
            <w:rStyle w:val="Hyperlink"/>
          </w:rPr>
          <w:t>Regulations</w:t>
        </w:r>
        <w:r w:rsidR="006C6F09">
          <w:rPr>
            <w:rStyle w:val="Hyperlink"/>
          </w:rPr>
          <w:t xml:space="preserve"> </w:t>
        </w:r>
        <w:r w:rsidRPr="000864F5">
          <w:rPr>
            <w:rStyle w:val="Hyperlink"/>
          </w:rPr>
          <w:t>Part</w:t>
        </w:r>
        <w:r w:rsidR="006C6F09">
          <w:rPr>
            <w:rStyle w:val="Hyperlink"/>
          </w:rPr>
          <w:t xml:space="preserve"> </w:t>
        </w:r>
        <w:r w:rsidRPr="000864F5">
          <w:rPr>
            <w:rStyle w:val="Hyperlink"/>
          </w:rPr>
          <w:t>771.123</w:t>
        </w:r>
      </w:hyperlink>
      <w:r w:rsidR="006C6F09">
        <w:t xml:space="preserve"> </w:t>
      </w:r>
      <w:r>
        <w:t>and</w:t>
      </w:r>
      <w:r w:rsidR="006C6F09">
        <w:t xml:space="preserve"> </w:t>
      </w:r>
      <w:r>
        <w:t>Texas</w:t>
      </w:r>
      <w:r w:rsidR="006C6F09">
        <w:t xml:space="preserve"> </w:t>
      </w:r>
      <w:r>
        <w:t>regulations</w:t>
      </w:r>
      <w:r w:rsidR="006C6F09">
        <w:t xml:space="preserve"> </w:t>
      </w:r>
      <w:r>
        <w:t>codified</w:t>
      </w:r>
      <w:r w:rsidR="006C6F09">
        <w:t xml:space="preserve"> </w:t>
      </w:r>
      <w:r>
        <w:t>at</w:t>
      </w:r>
      <w:r w:rsidR="006C6F09">
        <w:t xml:space="preserve"> </w:t>
      </w:r>
      <w:hyperlink r:id="rId62" w:history="1">
        <w:r w:rsidRPr="00332D95">
          <w:rPr>
            <w:rStyle w:val="Hyperlink"/>
          </w:rPr>
          <w:t>43</w:t>
        </w:r>
        <w:r w:rsidR="006C6F09">
          <w:rPr>
            <w:rStyle w:val="Hyperlink"/>
          </w:rPr>
          <w:t xml:space="preserve"> </w:t>
        </w:r>
        <w:r w:rsidRPr="00332D95">
          <w:rPr>
            <w:rStyle w:val="Hyperlink"/>
          </w:rPr>
          <w:t>TAC</w:t>
        </w:r>
        <w:r w:rsidR="006C6F09">
          <w:rPr>
            <w:rStyle w:val="Hyperlink"/>
          </w:rPr>
          <w:t xml:space="preserve"> </w:t>
        </w:r>
        <w:r w:rsidRPr="00332D95">
          <w:rPr>
            <w:rStyle w:val="Hyperlink"/>
          </w:rPr>
          <w:t>2.102</w:t>
        </w:r>
      </w:hyperlink>
      <w:r w:rsidR="00135456">
        <w:t xml:space="preserve"> </w:t>
      </w:r>
      <w:r>
        <w:t>require</w:t>
      </w:r>
      <w:r w:rsidR="006C6F09">
        <w:t xml:space="preserve"> </w:t>
      </w:r>
      <w:r>
        <w:t>that</w:t>
      </w:r>
      <w:r w:rsidR="006C6F09">
        <w:t xml:space="preserve"> </w:t>
      </w:r>
      <w:r>
        <w:t>a</w:t>
      </w:r>
      <w:r w:rsidR="006C6F09">
        <w:t xml:space="preserve"> </w:t>
      </w:r>
      <w:r>
        <w:t>notice</w:t>
      </w:r>
      <w:r w:rsidR="006C6F09">
        <w:t xml:space="preserve"> </w:t>
      </w:r>
      <w:r>
        <w:t>of</w:t>
      </w:r>
      <w:r w:rsidR="006C6F09">
        <w:t xml:space="preserve"> </w:t>
      </w:r>
      <w:r>
        <w:t>intent</w:t>
      </w:r>
      <w:r w:rsidR="006C6F09">
        <w:t xml:space="preserve"> </w:t>
      </w:r>
      <w:r>
        <w:t>(NOI)</w:t>
      </w:r>
      <w:r w:rsidR="006C6F09">
        <w:t xml:space="preserve"> </w:t>
      </w:r>
      <w:r>
        <w:t>be</w:t>
      </w:r>
      <w:r w:rsidR="006C6F09">
        <w:t xml:space="preserve"> </w:t>
      </w:r>
      <w:r>
        <w:t>prepared</w:t>
      </w:r>
      <w:r w:rsidR="006C6F09">
        <w:t xml:space="preserve"> </w:t>
      </w:r>
      <w:r>
        <w:t>and</w:t>
      </w:r>
      <w:r w:rsidR="006C6F09">
        <w:t xml:space="preserve"> </w:t>
      </w:r>
      <w:r>
        <w:t>published</w:t>
      </w:r>
      <w:r w:rsidR="006C6F09">
        <w:t xml:space="preserve"> </w:t>
      </w:r>
      <w:r>
        <w:t>prior</w:t>
      </w:r>
      <w:r w:rsidR="006C6F09">
        <w:t xml:space="preserve"> </w:t>
      </w:r>
      <w:r>
        <w:t>the</w:t>
      </w:r>
      <w:r w:rsidR="006C6F09">
        <w:t xml:space="preserve"> </w:t>
      </w:r>
      <w:r>
        <w:t>preparation</w:t>
      </w:r>
      <w:r w:rsidR="006C6F09">
        <w:t xml:space="preserve"> </w:t>
      </w:r>
      <w:r>
        <w:t>of</w:t>
      </w:r>
      <w:r w:rsidR="006C6F09">
        <w:t xml:space="preserve"> </w:t>
      </w:r>
      <w:r>
        <w:t>an</w:t>
      </w:r>
      <w:r w:rsidR="006C6F09">
        <w:t xml:space="preserve"> </w:t>
      </w:r>
      <w:r>
        <w:t>EIS</w:t>
      </w:r>
      <w:r w:rsidR="006C6F09">
        <w:t xml:space="preserve"> </w:t>
      </w:r>
      <w:r>
        <w:t>or</w:t>
      </w:r>
      <w:r w:rsidR="006C6F09">
        <w:t xml:space="preserve"> </w:t>
      </w:r>
      <w:r>
        <w:t>supplemental</w:t>
      </w:r>
      <w:r w:rsidR="006C6F09">
        <w:t xml:space="preserve"> </w:t>
      </w:r>
      <w:r>
        <w:t>EIS.</w:t>
      </w:r>
      <w:r w:rsidR="006C6F09">
        <w:t xml:space="preserve"> </w:t>
      </w:r>
      <w:r>
        <w:t>An</w:t>
      </w:r>
      <w:r w:rsidR="006C6F09">
        <w:t xml:space="preserve"> </w:t>
      </w:r>
      <w:r>
        <w:t>NOI</w:t>
      </w:r>
      <w:r w:rsidR="006C6F09">
        <w:t xml:space="preserve"> </w:t>
      </w:r>
      <w:r>
        <w:t>must</w:t>
      </w:r>
      <w:r w:rsidR="006C6F09">
        <w:t xml:space="preserve"> </w:t>
      </w:r>
      <w:r>
        <w:t>be</w:t>
      </w:r>
      <w:r w:rsidR="006C6F09">
        <w:t xml:space="preserve"> </w:t>
      </w:r>
      <w:r>
        <w:t>published</w:t>
      </w:r>
      <w:r w:rsidR="006C6F09">
        <w:t xml:space="preserve"> </w:t>
      </w:r>
      <w:r>
        <w:t>in</w:t>
      </w:r>
      <w:r w:rsidR="006C6F09">
        <w:t xml:space="preserve"> </w:t>
      </w:r>
      <w:r>
        <w:t>the</w:t>
      </w:r>
      <w:r w:rsidR="006C6F09">
        <w:t xml:space="preserve"> </w:t>
      </w:r>
      <w:r>
        <w:t>Federal</w:t>
      </w:r>
      <w:r w:rsidR="006C6F09">
        <w:t xml:space="preserve"> </w:t>
      </w:r>
      <w:r>
        <w:t>Register</w:t>
      </w:r>
      <w:r w:rsidR="006C6F09">
        <w:t xml:space="preserve"> </w:t>
      </w:r>
      <w:r>
        <w:t>or</w:t>
      </w:r>
      <w:r w:rsidR="006C6F09">
        <w:t xml:space="preserve"> </w:t>
      </w:r>
      <w:r>
        <w:t>the</w:t>
      </w:r>
      <w:r w:rsidR="006C6F09">
        <w:t xml:space="preserve"> </w:t>
      </w:r>
      <w:r>
        <w:t>Texas</w:t>
      </w:r>
      <w:r w:rsidR="006C6F09">
        <w:t xml:space="preserve"> </w:t>
      </w:r>
      <w:r>
        <w:t>Register,</w:t>
      </w:r>
      <w:r w:rsidR="006C6F09">
        <w:t xml:space="preserve"> </w:t>
      </w:r>
      <w:r>
        <w:t>depending</w:t>
      </w:r>
      <w:r w:rsidR="006C6F09">
        <w:t xml:space="preserve"> </w:t>
      </w:r>
      <w:r>
        <w:t>on</w:t>
      </w:r>
      <w:r w:rsidR="006C6F09">
        <w:t xml:space="preserve"> </w:t>
      </w:r>
      <w:r>
        <w:t>whether</w:t>
      </w:r>
      <w:r w:rsidR="006C6F09">
        <w:t xml:space="preserve"> </w:t>
      </w:r>
      <w:r>
        <w:t>the</w:t>
      </w:r>
      <w:r w:rsidR="006C6F09">
        <w:t xml:space="preserve"> </w:t>
      </w:r>
      <w:r>
        <w:t>project</w:t>
      </w:r>
      <w:r w:rsidR="006C6F09">
        <w:t xml:space="preserve"> </w:t>
      </w:r>
      <w:r>
        <w:t>is</w:t>
      </w:r>
      <w:r w:rsidR="006C6F09">
        <w:t xml:space="preserve"> </w:t>
      </w:r>
      <w:r>
        <w:t>a</w:t>
      </w:r>
      <w:r w:rsidR="006C6F09">
        <w:t xml:space="preserve"> </w:t>
      </w:r>
      <w:r>
        <w:t>federal</w:t>
      </w:r>
      <w:r w:rsidR="006C6F09">
        <w:t xml:space="preserve"> </w:t>
      </w:r>
      <w:r>
        <w:t>or</w:t>
      </w:r>
      <w:r w:rsidR="006C6F09">
        <w:t xml:space="preserve"> </w:t>
      </w:r>
      <w:r>
        <w:t>state</w:t>
      </w:r>
      <w:r w:rsidR="006C6F09">
        <w:t xml:space="preserve"> </w:t>
      </w:r>
      <w:r>
        <w:t>project.</w:t>
      </w:r>
      <w:r w:rsidR="006C6F09">
        <w:t xml:space="preserve"> </w:t>
      </w:r>
      <w:r>
        <w:t>Additionally,</w:t>
      </w:r>
      <w:r w:rsidR="006C6F09">
        <w:t xml:space="preserve"> </w:t>
      </w:r>
      <w:r>
        <w:t>an</w:t>
      </w:r>
      <w:r w:rsidR="006C6F09">
        <w:t xml:space="preserve"> </w:t>
      </w:r>
      <w:r>
        <w:t>NOI</w:t>
      </w:r>
      <w:r w:rsidR="006C6F09">
        <w:t xml:space="preserve"> </w:t>
      </w:r>
      <w:r>
        <w:t>must</w:t>
      </w:r>
      <w:r w:rsidR="006C6F09">
        <w:t xml:space="preserve"> </w:t>
      </w:r>
      <w:r>
        <w:t>be</w:t>
      </w:r>
      <w:r w:rsidR="006C6F09">
        <w:t xml:space="preserve"> </w:t>
      </w:r>
      <w:r>
        <w:t>published</w:t>
      </w:r>
      <w:r w:rsidR="006C6F09">
        <w:t xml:space="preserve"> </w:t>
      </w:r>
      <w:r>
        <w:t>in</w:t>
      </w:r>
      <w:r w:rsidR="006C6F09">
        <w:t xml:space="preserve"> </w:t>
      </w:r>
      <w:r>
        <w:t>a</w:t>
      </w:r>
      <w:r w:rsidR="006C6F09">
        <w:t xml:space="preserve"> </w:t>
      </w:r>
      <w:r>
        <w:t>local</w:t>
      </w:r>
      <w:r w:rsidR="006C6F09">
        <w:t xml:space="preserve"> </w:t>
      </w:r>
      <w:r>
        <w:t>newspaper</w:t>
      </w:r>
      <w:r w:rsidR="006C6F09">
        <w:t xml:space="preserve"> </w:t>
      </w:r>
      <w:r>
        <w:t>having</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or</w:t>
      </w:r>
      <w:r w:rsidR="006C6F09">
        <w:t xml:space="preserve"> </w:t>
      </w:r>
      <w:r>
        <w:t>if</w:t>
      </w:r>
      <w:r w:rsidR="006C6F09">
        <w:t xml:space="preserve"> </w:t>
      </w:r>
      <w:r>
        <w:t>there</w:t>
      </w:r>
      <w:r w:rsidR="006C6F09">
        <w:t xml:space="preserve"> </w:t>
      </w:r>
      <w:r>
        <w:t>is</w:t>
      </w:r>
      <w:r w:rsidR="006C6F09">
        <w:t xml:space="preserve"> </w:t>
      </w:r>
      <w:r>
        <w:t>no</w:t>
      </w:r>
      <w:r w:rsidR="006C6F09">
        <w:t xml:space="preserve"> </w:t>
      </w:r>
      <w:r>
        <w:t>such</w:t>
      </w:r>
      <w:r w:rsidR="006C6F09">
        <w:t xml:space="preserve"> </w:t>
      </w:r>
      <w:r>
        <w:t>newspaper,</w:t>
      </w:r>
      <w:r w:rsidR="006C6F09">
        <w:t xml:space="preserve"> </w:t>
      </w:r>
      <w:r>
        <w:t>in</w:t>
      </w:r>
      <w:r w:rsidR="006C6F09">
        <w:t xml:space="preserve"> </w:t>
      </w:r>
      <w:r>
        <w:t>any</w:t>
      </w:r>
      <w:r w:rsidR="006C6F09">
        <w:t xml:space="preserve"> </w:t>
      </w:r>
      <w:r>
        <w:t>newspaper</w:t>
      </w:r>
      <w:r w:rsidR="006C6F09">
        <w:t xml:space="preserve"> </w:t>
      </w:r>
      <w:r>
        <w:t>having</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in</w:t>
      </w:r>
      <w:r w:rsidR="006C6F09">
        <w:t xml:space="preserve"> </w:t>
      </w:r>
      <w:r>
        <w:t>a</w:t>
      </w:r>
      <w:r w:rsidR="006C6F09">
        <w:t xml:space="preserve"> </w:t>
      </w:r>
      <w:r>
        <w:t>remote</w:t>
      </w:r>
      <w:r w:rsidR="006C6F09">
        <w:t xml:space="preserve"> </w:t>
      </w:r>
      <w:r>
        <w:t>area</w:t>
      </w:r>
      <w:r w:rsidR="006C6F09">
        <w:t xml:space="preserve"> </w:t>
      </w:r>
      <w:r>
        <w:t>with</w:t>
      </w:r>
      <w:r w:rsidR="006C6F09">
        <w:t xml:space="preserve"> </w:t>
      </w:r>
      <w:r>
        <w:t>no</w:t>
      </w:r>
      <w:r w:rsidR="006C6F09">
        <w:t xml:space="preserve"> </w:t>
      </w:r>
      <w:r>
        <w:t>newspapers</w:t>
      </w:r>
      <w:r w:rsidR="006C6F09">
        <w:t xml:space="preserve"> </w:t>
      </w:r>
      <w:r>
        <w:t>in</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or</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in</w:t>
      </w:r>
      <w:r w:rsidR="006C6F09">
        <w:t xml:space="preserve"> </w:t>
      </w:r>
      <w:r>
        <w:t>a</w:t>
      </w:r>
      <w:r w:rsidR="006C6F09">
        <w:t xml:space="preserve"> </w:t>
      </w:r>
      <w:r>
        <w:t>county</w:t>
      </w:r>
      <w:r w:rsidR="006C6F09">
        <w:t xml:space="preserve"> </w:t>
      </w:r>
      <w:r>
        <w:t>with</w:t>
      </w:r>
      <w:r w:rsidR="006C6F09">
        <w:t xml:space="preserve"> </w:t>
      </w:r>
      <w:r>
        <w:t>a</w:t>
      </w:r>
      <w:r w:rsidR="006C6F09">
        <w:t xml:space="preserve"> </w:t>
      </w:r>
      <w:r>
        <w:t>population</w:t>
      </w:r>
      <w:r w:rsidR="006C6F09">
        <w:t xml:space="preserve"> </w:t>
      </w:r>
      <w:r>
        <w:t>of</w:t>
      </w:r>
      <w:r w:rsidR="006C6F09">
        <w:t xml:space="preserve"> </w:t>
      </w:r>
      <w:r>
        <w:t>at</w:t>
      </w:r>
      <w:r w:rsidR="006C6F09">
        <w:t xml:space="preserve"> </w:t>
      </w:r>
      <w:r>
        <w:t>least</w:t>
      </w:r>
      <w:r w:rsidR="006C6F09">
        <w:t xml:space="preserve"> </w:t>
      </w:r>
      <w:r>
        <w:t>30,000</w:t>
      </w:r>
      <w:r w:rsidR="006C6F09">
        <w:t xml:space="preserve"> </w:t>
      </w:r>
      <w:r>
        <w:t>and</w:t>
      </w:r>
      <w:r w:rsidR="006C6F09">
        <w:t xml:space="preserve"> </w:t>
      </w:r>
      <w:r>
        <w:t>not</w:t>
      </w:r>
      <w:r w:rsidR="006C6F09">
        <w:t xml:space="preserve"> </w:t>
      </w:r>
      <w:r>
        <w:t>more</w:t>
      </w:r>
      <w:r w:rsidR="006C6F09">
        <w:t xml:space="preserve"> </w:t>
      </w:r>
      <w:r>
        <w:t>than</w:t>
      </w:r>
      <w:r w:rsidR="006C6F09">
        <w:t xml:space="preserve"> </w:t>
      </w:r>
      <w:r>
        <w:t>42,000</w:t>
      </w:r>
      <w:r w:rsidR="006C6F09">
        <w:t xml:space="preserve"> </w:t>
      </w:r>
      <w:r>
        <w:t>that</w:t>
      </w:r>
      <w:r w:rsidR="006C6F09">
        <w:t xml:space="preserve"> </w:t>
      </w:r>
      <w:r>
        <w:t>borders</w:t>
      </w:r>
      <w:r w:rsidR="006C6F09">
        <w:t xml:space="preserve"> </w:t>
      </w:r>
      <w:r>
        <w:t>the</w:t>
      </w:r>
      <w:r w:rsidR="006C6F09">
        <w:t xml:space="preserve"> </w:t>
      </w:r>
      <w:r>
        <w:t>Red</w:t>
      </w:r>
      <w:r w:rsidR="006C6F09">
        <w:t xml:space="preserve"> </w:t>
      </w:r>
      <w:r>
        <w:t>River</w:t>
      </w:r>
      <w:r w:rsidR="006C6F09">
        <w:t xml:space="preserve"> </w:t>
      </w:r>
      <w:r>
        <w:t>(currently</w:t>
      </w:r>
      <w:r w:rsidR="006C6F09">
        <w:t xml:space="preserve"> </w:t>
      </w:r>
      <w:r>
        <w:t>only</w:t>
      </w:r>
      <w:r w:rsidR="006C6F09">
        <w:t xml:space="preserve"> </w:t>
      </w:r>
      <w:r>
        <w:t>Fannin</w:t>
      </w:r>
      <w:r w:rsidR="006C6F09">
        <w:t xml:space="preserve"> </w:t>
      </w:r>
      <w:r>
        <w:t>County</w:t>
      </w:r>
      <w:r w:rsidR="006C6F09">
        <w:t xml:space="preserve"> </w:t>
      </w:r>
      <w:r>
        <w:t>meets</w:t>
      </w:r>
      <w:r w:rsidR="006C6F09">
        <w:t xml:space="preserve"> </w:t>
      </w:r>
      <w:r>
        <w:t>this</w:t>
      </w:r>
      <w:r w:rsidR="006C6F09">
        <w:t xml:space="preserve"> </w:t>
      </w:r>
      <w:r>
        <w:t>definition),</w:t>
      </w:r>
      <w:r w:rsidR="006C6F09">
        <w:t xml:space="preserve"> </w:t>
      </w:r>
      <w:r>
        <w:lastRenderedPageBreak/>
        <w:t>then</w:t>
      </w:r>
      <w:r w:rsidR="006C6F09">
        <w:t xml:space="preserve"> </w:t>
      </w:r>
      <w:r>
        <w:t>the</w:t>
      </w:r>
      <w:r w:rsidR="006C6F09">
        <w:t xml:space="preserve"> </w:t>
      </w:r>
      <w:r>
        <w:t>notice</w:t>
      </w:r>
      <w:r w:rsidR="006C6F09">
        <w:t xml:space="preserve"> </w:t>
      </w:r>
      <w:r>
        <w:t>may</w:t>
      </w:r>
      <w:r w:rsidR="006C6F09">
        <w:t xml:space="preserve"> </w:t>
      </w:r>
      <w:r>
        <w:t>be</w:t>
      </w:r>
      <w:r w:rsidR="006C6F09">
        <w:t xml:space="preserve"> </w:t>
      </w:r>
      <w:r>
        <w:t>published</w:t>
      </w:r>
      <w:r w:rsidR="006C6F09">
        <w:t xml:space="preserve"> </w:t>
      </w:r>
      <w:r>
        <w:t>in</w:t>
      </w:r>
      <w:r w:rsidR="006C6F09">
        <w:t xml:space="preserve"> </w:t>
      </w:r>
      <w:r>
        <w:t>a</w:t>
      </w:r>
      <w:r w:rsidR="006C6F09">
        <w:t xml:space="preserve"> </w:t>
      </w:r>
      <w:r>
        <w:t>digital</w:t>
      </w:r>
      <w:r w:rsidR="006C6F09">
        <w:t xml:space="preserve"> </w:t>
      </w:r>
      <w:r>
        <w:t>newspaper</w:t>
      </w:r>
      <w:r w:rsidR="006C6F09">
        <w:t xml:space="preserve"> </w:t>
      </w:r>
      <w:r>
        <w:t>that</w:t>
      </w:r>
      <w:r w:rsidR="006C6F09">
        <w:t xml:space="preserve"> </w:t>
      </w:r>
      <w:r>
        <w:t>meets</w:t>
      </w:r>
      <w:r w:rsidR="006C6F09">
        <w:t xml:space="preserve"> </w:t>
      </w:r>
      <w:r>
        <w:t>certain</w:t>
      </w:r>
      <w:r w:rsidR="006C6F09">
        <w:t xml:space="preserve"> </w:t>
      </w:r>
      <w:r>
        <w:t>requirements</w:t>
      </w:r>
      <w:r w:rsidR="006C6F09">
        <w:t xml:space="preserve"> </w:t>
      </w:r>
      <w:r>
        <w:t>–</w:t>
      </w:r>
      <w:r w:rsidR="006C6F09">
        <w:t xml:space="preserve"> </w:t>
      </w:r>
      <w:r>
        <w:t>see</w:t>
      </w:r>
      <w:r w:rsidR="006C6F09">
        <w:t xml:space="preserve"> </w:t>
      </w:r>
      <w:r w:rsidRPr="00F67602">
        <w:t>Texas</w:t>
      </w:r>
      <w:r w:rsidR="006C6F09">
        <w:t xml:space="preserve"> </w:t>
      </w:r>
      <w:r w:rsidRPr="00F67602">
        <w:t>Government</w:t>
      </w:r>
      <w:r w:rsidR="006C6F09">
        <w:t xml:space="preserve"> </w:t>
      </w:r>
      <w:r w:rsidRPr="00F67602">
        <w:t>Code</w:t>
      </w:r>
      <w:r w:rsidR="006C6F09">
        <w:rPr>
          <w:i/>
          <w:iCs/>
        </w:rPr>
        <w:t xml:space="preserve"> </w:t>
      </w:r>
      <w:r>
        <w:t>2051.0441(b-1).</w:t>
      </w:r>
    </w:p>
    <w:p w14:paraId="5EBE3D2A" w14:textId="2DB19F94" w:rsidR="00457754" w:rsidRDefault="00457754" w:rsidP="00457754">
      <w:pPr>
        <w:spacing w:after="0"/>
      </w:pPr>
      <w:r>
        <w:t>See</w:t>
      </w:r>
      <w:r w:rsidR="006C6F09">
        <w:t xml:space="preserve"> </w:t>
      </w:r>
      <w:r>
        <w:t>ENV’s</w:t>
      </w:r>
      <w:r w:rsidR="006C6F09">
        <w:t xml:space="preserve"> </w:t>
      </w:r>
      <w:r>
        <w:t>Template:</w:t>
      </w:r>
      <w:r w:rsidR="006C6F09">
        <w:t xml:space="preserve"> </w:t>
      </w:r>
      <w:r>
        <w:t>Notice</w:t>
      </w:r>
      <w:r w:rsidR="006C6F09">
        <w:t xml:space="preserve"> </w:t>
      </w:r>
      <w:r>
        <w:t>of</w:t>
      </w:r>
      <w:r w:rsidR="006C6F09">
        <w:t xml:space="preserve"> </w:t>
      </w:r>
      <w:r>
        <w:t>Intent</w:t>
      </w:r>
      <w:r w:rsidR="006C6F09">
        <w:t xml:space="preserve"> </w:t>
      </w:r>
      <w:r>
        <w:t>for</w:t>
      </w:r>
      <w:r w:rsidR="006C6F09">
        <w:t xml:space="preserve"> </w:t>
      </w:r>
      <w:r>
        <w:t>a</w:t>
      </w:r>
      <w:r w:rsidR="006C6F09">
        <w:t xml:space="preserve"> </w:t>
      </w:r>
      <w:r>
        <w:t>State</w:t>
      </w:r>
      <w:r w:rsidR="006C6F09">
        <w:t xml:space="preserve"> </w:t>
      </w:r>
      <w:r>
        <w:t>EIS</w:t>
      </w:r>
      <w:r w:rsidR="006C6F09">
        <w:t xml:space="preserve"> </w:t>
      </w:r>
      <w:r>
        <w:t>Project,</w:t>
      </w:r>
      <w:r w:rsidR="006C6F09">
        <w:t xml:space="preserve"> </w:t>
      </w:r>
      <w:r>
        <w:t>or</w:t>
      </w:r>
      <w:r w:rsidR="006C6F09">
        <w:t xml:space="preserve"> </w:t>
      </w:r>
      <w:r>
        <w:t>Template:</w:t>
      </w:r>
      <w:r w:rsidR="006C6F09">
        <w:t xml:space="preserve"> </w:t>
      </w:r>
      <w:r>
        <w:t>Notice</w:t>
      </w:r>
      <w:r w:rsidR="006C6F09">
        <w:t xml:space="preserve"> </w:t>
      </w:r>
      <w:r>
        <w:t>of</w:t>
      </w:r>
      <w:r w:rsidR="006C6F09">
        <w:t xml:space="preserve"> </w:t>
      </w:r>
      <w:r>
        <w:t>Intent</w:t>
      </w:r>
      <w:r w:rsidR="006C6F09">
        <w:t xml:space="preserve"> </w:t>
      </w:r>
      <w:r>
        <w:t>for</w:t>
      </w:r>
      <w:r w:rsidR="006C6F09">
        <w:t xml:space="preserve"> </w:t>
      </w:r>
      <w:r>
        <w:t>an</w:t>
      </w:r>
      <w:r w:rsidR="006C6F09">
        <w:t xml:space="preserve"> </w:t>
      </w:r>
      <w:r>
        <w:t>FHWA</w:t>
      </w:r>
      <w:r w:rsidR="006C6F09">
        <w:t xml:space="preserve"> </w:t>
      </w:r>
      <w:r>
        <w:t>EIS</w:t>
      </w:r>
      <w:r w:rsidR="006C6F09">
        <w:t xml:space="preserve"> </w:t>
      </w:r>
      <w:r>
        <w:t>Project,</w:t>
      </w:r>
      <w:r w:rsidR="006C6F09">
        <w:t xml:space="preserve"> </w:t>
      </w:r>
      <w:r>
        <w:t>which</w:t>
      </w:r>
      <w:r w:rsidR="006C6F09">
        <w:t xml:space="preserve"> </w:t>
      </w:r>
      <w:r>
        <w:t>are</w:t>
      </w:r>
      <w:r w:rsidR="006C6F09">
        <w:t xml:space="preserve"> </w:t>
      </w:r>
      <w:r>
        <w:t>available</w:t>
      </w:r>
      <w:r w:rsidR="006C6F09">
        <w:t xml:space="preserve"> </w:t>
      </w:r>
      <w:r>
        <w:t>on</w:t>
      </w:r>
      <w:r w:rsidR="006C6F09">
        <w:t xml:space="preserve"> </w:t>
      </w:r>
      <w:r>
        <w:t>the</w:t>
      </w:r>
      <w:r w:rsidR="006C6F09">
        <w:t xml:space="preserve"> </w:t>
      </w:r>
      <w:hyperlink r:id="rId63" w:history="1">
        <w:r w:rsidRPr="000864F5">
          <w:rPr>
            <w:rStyle w:val="Hyperlink"/>
          </w:rPr>
          <w:t>Public</w:t>
        </w:r>
        <w:r w:rsidR="006C6F09">
          <w:rPr>
            <w:rStyle w:val="Hyperlink"/>
          </w:rPr>
          <w:t xml:space="preserve"> </w:t>
        </w:r>
        <w:r w:rsidRPr="000864F5">
          <w:rPr>
            <w:rStyle w:val="Hyperlink"/>
          </w:rPr>
          <w:t>Involvement</w:t>
        </w:r>
        <w:r w:rsidR="006C6F09">
          <w:rPr>
            <w:rStyle w:val="Hyperlink"/>
          </w:rPr>
          <w:t xml:space="preserve"> </w:t>
        </w:r>
        <w:r w:rsidRPr="000864F5">
          <w:rPr>
            <w:rStyle w:val="Hyperlink"/>
          </w:rPr>
          <w:t>Toolkit</w:t>
        </w:r>
      </w:hyperlink>
      <w:r w:rsidRPr="000864F5">
        <w:t>.</w:t>
      </w:r>
    </w:p>
    <w:p w14:paraId="433D6E17" w14:textId="4C31E821" w:rsidR="00457754" w:rsidRPr="00452949" w:rsidRDefault="00457754" w:rsidP="00457754">
      <w:pPr>
        <w:pStyle w:val="Heading2"/>
      </w:pPr>
      <w:bookmarkStart w:id="75" w:name="_Toc224026224"/>
      <w:r w:rsidRPr="00B22536">
        <w:t>8.0</w:t>
      </w:r>
      <w:r w:rsidR="006C6F09">
        <w:t xml:space="preserve"> </w:t>
      </w:r>
      <w:r w:rsidRPr="00B22536">
        <w:t>EIS</w:t>
      </w:r>
      <w:r w:rsidR="006C6F09">
        <w:t xml:space="preserve"> </w:t>
      </w:r>
      <w:r w:rsidRPr="00B22536">
        <w:t>Coordination</w:t>
      </w:r>
      <w:r w:rsidR="006C6F09">
        <w:t xml:space="preserve"> </w:t>
      </w:r>
      <w:r w:rsidRPr="00B22536">
        <w:t>Plan</w:t>
      </w:r>
      <w:bookmarkEnd w:id="75"/>
      <w:r w:rsidR="006C6F09">
        <w:t xml:space="preserve"> </w:t>
      </w:r>
    </w:p>
    <w:p w14:paraId="26B54F89" w14:textId="73C73397" w:rsidR="00457754" w:rsidRDefault="00457754" w:rsidP="00457754">
      <w:pPr>
        <w:spacing w:after="0"/>
      </w:pPr>
      <w:r w:rsidRPr="00561ED8">
        <w:t>A</w:t>
      </w:r>
      <w:r w:rsidR="006C6F09">
        <w:t xml:space="preserve"> </w:t>
      </w:r>
      <w:r w:rsidRPr="00561ED8">
        <w:t>coordination</w:t>
      </w:r>
      <w:r w:rsidR="006C6F09">
        <w:t xml:space="preserve"> </w:t>
      </w:r>
      <w:r w:rsidRPr="00561ED8">
        <w:t>plan</w:t>
      </w:r>
      <w:r w:rsidR="006C6F09">
        <w:t xml:space="preserve"> </w:t>
      </w:r>
      <w:r w:rsidRPr="00561ED8">
        <w:t>is</w:t>
      </w:r>
      <w:r w:rsidR="006C6F09">
        <w:t xml:space="preserve"> </w:t>
      </w:r>
      <w:r w:rsidRPr="00561ED8">
        <w:t>a</w:t>
      </w:r>
      <w:r w:rsidR="006C6F09">
        <w:t xml:space="preserve"> </w:t>
      </w:r>
      <w:r w:rsidRPr="00561ED8">
        <w:t>plan</w:t>
      </w:r>
      <w:r w:rsidR="006C6F09">
        <w:t xml:space="preserve"> </w:t>
      </w:r>
      <w:r w:rsidRPr="00561ED8">
        <w:t>to</w:t>
      </w:r>
      <w:r w:rsidR="006C6F09">
        <w:t xml:space="preserve"> </w:t>
      </w:r>
      <w:r w:rsidRPr="00561ED8">
        <w:t>engage</w:t>
      </w:r>
      <w:r w:rsidR="006C6F09">
        <w:t xml:space="preserve"> </w:t>
      </w:r>
      <w:r w:rsidRPr="00561ED8">
        <w:t>the</w:t>
      </w:r>
      <w:r w:rsidR="006C6F09">
        <w:t xml:space="preserve"> </w:t>
      </w:r>
      <w:r w:rsidRPr="00561ED8">
        <w:t>public</w:t>
      </w:r>
      <w:r w:rsidR="006C6F09">
        <w:t xml:space="preserve"> </w:t>
      </w:r>
      <w:r w:rsidRPr="00561ED8">
        <w:t>and</w:t>
      </w:r>
      <w:r w:rsidR="006C6F09">
        <w:t xml:space="preserve"> </w:t>
      </w:r>
      <w:r w:rsidRPr="00561ED8">
        <w:t>collaborate</w:t>
      </w:r>
      <w:r w:rsidR="006C6F09">
        <w:t xml:space="preserve"> </w:t>
      </w:r>
      <w:r w:rsidRPr="00561ED8">
        <w:t>amongst</w:t>
      </w:r>
      <w:r w:rsidR="006C6F09">
        <w:t xml:space="preserve"> </w:t>
      </w:r>
      <w:r w:rsidRPr="00561ED8">
        <w:t>cooperating</w:t>
      </w:r>
      <w:r w:rsidR="006C6F09">
        <w:t xml:space="preserve"> </w:t>
      </w:r>
      <w:r w:rsidRPr="00561ED8">
        <w:t>and</w:t>
      </w:r>
      <w:r w:rsidR="006C6F09">
        <w:t xml:space="preserve"> </w:t>
      </w:r>
      <w:r w:rsidRPr="00561ED8">
        <w:t>participating</w:t>
      </w:r>
      <w:r w:rsidR="006C6F09">
        <w:t xml:space="preserve"> </w:t>
      </w:r>
      <w:r w:rsidRPr="00561ED8">
        <w:t>agencies</w:t>
      </w:r>
      <w:r w:rsidR="006C6F09">
        <w:t xml:space="preserve"> </w:t>
      </w:r>
      <w:r w:rsidRPr="00561ED8">
        <w:t>and</w:t>
      </w:r>
      <w:r w:rsidR="006C6F09">
        <w:t xml:space="preserve"> </w:t>
      </w:r>
      <w:r w:rsidRPr="00561ED8">
        <w:t>consider</w:t>
      </w:r>
      <w:r w:rsidR="006C6F09">
        <w:t xml:space="preserve"> </w:t>
      </w:r>
      <w:r w:rsidRPr="00561ED8">
        <w:t>comment(s)</w:t>
      </w:r>
      <w:r w:rsidR="006C6F09">
        <w:t xml:space="preserve"> </w:t>
      </w:r>
      <w:r w:rsidRPr="00561ED8">
        <w:t>on</w:t>
      </w:r>
      <w:r w:rsidR="006C6F09">
        <w:t xml:space="preserve"> </w:t>
      </w:r>
      <w:r w:rsidRPr="00561ED8">
        <w:t>the</w:t>
      </w:r>
      <w:r w:rsidR="006C6F09">
        <w:t xml:space="preserve"> </w:t>
      </w:r>
      <w:r w:rsidRPr="00561ED8">
        <w:t>proposed</w:t>
      </w:r>
      <w:r w:rsidR="006C6F09">
        <w:t xml:space="preserve"> </w:t>
      </w:r>
      <w:r w:rsidRPr="00561ED8">
        <w:t>project</w:t>
      </w:r>
      <w:r w:rsidR="006C6F09">
        <w:t xml:space="preserve"> </w:t>
      </w:r>
      <w:r w:rsidRPr="00561ED8">
        <w:t>and</w:t>
      </w:r>
      <w:r w:rsidR="006C6F09">
        <w:t xml:space="preserve"> </w:t>
      </w:r>
      <w:r w:rsidRPr="00561ED8">
        <w:t>the</w:t>
      </w:r>
      <w:r w:rsidR="006C6F09">
        <w:t xml:space="preserve"> </w:t>
      </w:r>
      <w:r w:rsidRPr="00561ED8">
        <w:t>environmental</w:t>
      </w:r>
      <w:r w:rsidR="006C6F09">
        <w:t xml:space="preserve"> </w:t>
      </w:r>
      <w:r w:rsidRPr="00561ED8">
        <w:t>review</w:t>
      </w:r>
      <w:r w:rsidR="006C6F09">
        <w:t xml:space="preserve"> </w:t>
      </w:r>
      <w:r w:rsidRPr="00561ED8">
        <w:t>process</w:t>
      </w:r>
      <w:r w:rsidR="006C6F09">
        <w:t xml:space="preserve"> </w:t>
      </w:r>
      <w:r w:rsidRPr="00561ED8">
        <w:t>when</w:t>
      </w:r>
      <w:r w:rsidR="006C6F09">
        <w:t xml:space="preserve"> </w:t>
      </w:r>
      <w:r w:rsidRPr="00561ED8">
        <w:t>an</w:t>
      </w:r>
      <w:r w:rsidR="006C6F09">
        <w:t xml:space="preserve"> </w:t>
      </w:r>
      <w:r w:rsidRPr="00561ED8">
        <w:t>EIS</w:t>
      </w:r>
      <w:r w:rsidR="006C6F09">
        <w:t xml:space="preserve"> </w:t>
      </w:r>
      <w:r w:rsidRPr="00561ED8">
        <w:t>is</w:t>
      </w:r>
      <w:r w:rsidR="006C6F09">
        <w:t xml:space="preserve"> </w:t>
      </w:r>
      <w:r w:rsidRPr="00561ED8">
        <w:t>required.</w:t>
      </w:r>
      <w:r w:rsidR="006C6F09">
        <w:t xml:space="preserve"> </w:t>
      </w:r>
      <w:r w:rsidRPr="00561ED8">
        <w:t>The</w:t>
      </w:r>
      <w:r w:rsidR="006C6F09">
        <w:t xml:space="preserve"> </w:t>
      </w:r>
      <w:r w:rsidRPr="00561ED8">
        <w:t>project</w:t>
      </w:r>
      <w:r w:rsidR="006C6F09">
        <w:t xml:space="preserve"> </w:t>
      </w:r>
      <w:r w:rsidRPr="00561ED8">
        <w:t>sponsor,</w:t>
      </w:r>
      <w:r w:rsidR="006C6F09">
        <w:t xml:space="preserve"> </w:t>
      </w:r>
      <w:r w:rsidRPr="00561ED8">
        <w:t>in</w:t>
      </w:r>
      <w:r w:rsidR="006C6F09">
        <w:t xml:space="preserve"> </w:t>
      </w:r>
      <w:r w:rsidRPr="00561ED8">
        <w:t>collaboration</w:t>
      </w:r>
      <w:r w:rsidR="006C6F09">
        <w:t xml:space="preserve"> </w:t>
      </w:r>
      <w:r w:rsidRPr="00561ED8">
        <w:t>with</w:t>
      </w:r>
      <w:r w:rsidR="006C6F09">
        <w:t xml:space="preserve"> </w:t>
      </w:r>
      <w:r w:rsidRPr="00561ED8">
        <w:t>the</w:t>
      </w:r>
      <w:r w:rsidR="006C6F09">
        <w:t xml:space="preserve"> </w:t>
      </w:r>
      <w:r w:rsidRPr="00561ED8">
        <w:t>department</w:t>
      </w:r>
      <w:r w:rsidR="006C6F09">
        <w:t xml:space="preserve"> </w:t>
      </w:r>
      <w:r w:rsidRPr="00561ED8">
        <w:t>delegate</w:t>
      </w:r>
      <w:r w:rsidR="006C6F09">
        <w:t xml:space="preserve"> </w:t>
      </w:r>
      <w:r w:rsidRPr="00561ED8">
        <w:t>and</w:t>
      </w:r>
      <w:r w:rsidR="006C6F09">
        <w:t xml:space="preserve"> </w:t>
      </w:r>
      <w:r w:rsidRPr="00561ED8">
        <w:t>other</w:t>
      </w:r>
      <w:r w:rsidR="006C6F09">
        <w:t xml:space="preserve"> </w:t>
      </w:r>
      <w:r w:rsidRPr="00561ED8">
        <w:t>cooperating</w:t>
      </w:r>
      <w:r w:rsidR="006C6F09">
        <w:t xml:space="preserve"> </w:t>
      </w:r>
      <w:r w:rsidRPr="00561ED8">
        <w:t>and</w:t>
      </w:r>
      <w:r w:rsidR="006C6F09">
        <w:t xml:space="preserve"> </w:t>
      </w:r>
      <w:r w:rsidRPr="00561ED8">
        <w:t>or</w:t>
      </w:r>
      <w:r w:rsidR="006C6F09">
        <w:t xml:space="preserve"> </w:t>
      </w:r>
      <w:r w:rsidRPr="00561ED8">
        <w:t>participating</w:t>
      </w:r>
      <w:r w:rsidR="006C6F09">
        <w:t xml:space="preserve"> </w:t>
      </w:r>
      <w:r w:rsidRPr="00561ED8">
        <w:t>agencies</w:t>
      </w:r>
      <w:r w:rsidR="006C6F09">
        <w:t xml:space="preserve"> </w:t>
      </w:r>
      <w:r w:rsidRPr="00561ED8">
        <w:t>for</w:t>
      </w:r>
      <w:r w:rsidR="006C6F09">
        <w:t xml:space="preserve"> </w:t>
      </w:r>
      <w:r w:rsidRPr="00561ED8">
        <w:t>federal</w:t>
      </w:r>
      <w:r w:rsidR="006C6F09">
        <w:t xml:space="preserve"> </w:t>
      </w:r>
      <w:r w:rsidRPr="00561ED8">
        <w:t>aid</w:t>
      </w:r>
      <w:r w:rsidR="006C6F09">
        <w:t xml:space="preserve"> </w:t>
      </w:r>
      <w:r w:rsidRPr="00561ED8">
        <w:t>projects,</w:t>
      </w:r>
      <w:r w:rsidR="006C6F09">
        <w:t xml:space="preserve"> </w:t>
      </w:r>
      <w:r w:rsidRPr="00561ED8">
        <w:t>prepares</w:t>
      </w:r>
      <w:r w:rsidR="006C6F09">
        <w:t xml:space="preserve"> </w:t>
      </w:r>
      <w:r w:rsidRPr="00561ED8">
        <w:t>the</w:t>
      </w:r>
      <w:r w:rsidR="006C6F09">
        <w:t xml:space="preserve"> </w:t>
      </w:r>
      <w:r w:rsidRPr="00561ED8">
        <w:t>coordination</w:t>
      </w:r>
      <w:r w:rsidR="006C6F09">
        <w:t xml:space="preserve"> </w:t>
      </w:r>
      <w:r w:rsidRPr="00561ED8">
        <w:t>plan.</w:t>
      </w:r>
      <w:r w:rsidR="006C6F09">
        <w:t xml:space="preserve"> </w:t>
      </w:r>
      <w:r w:rsidRPr="00561ED8">
        <w:t>Details</w:t>
      </w:r>
      <w:r w:rsidR="006C6F09">
        <w:t xml:space="preserve"> </w:t>
      </w:r>
      <w:r w:rsidRPr="00561ED8">
        <w:t>regarding</w:t>
      </w:r>
      <w:r w:rsidR="006C6F09">
        <w:t xml:space="preserve"> </w:t>
      </w:r>
      <w:r w:rsidRPr="00561ED8">
        <w:t>the</w:t>
      </w:r>
      <w:r w:rsidR="006C6F09">
        <w:t xml:space="preserve"> </w:t>
      </w:r>
      <w:r w:rsidRPr="00561ED8">
        <w:t>contents</w:t>
      </w:r>
      <w:r w:rsidR="006C6F09">
        <w:t xml:space="preserve"> </w:t>
      </w:r>
      <w:r w:rsidRPr="00561ED8">
        <w:t>of</w:t>
      </w:r>
      <w:r w:rsidR="006C6F09">
        <w:t xml:space="preserve"> </w:t>
      </w:r>
      <w:r w:rsidRPr="00561ED8">
        <w:t>a</w:t>
      </w:r>
      <w:r w:rsidR="006C6F09">
        <w:t xml:space="preserve"> </w:t>
      </w:r>
      <w:r w:rsidRPr="00561ED8">
        <w:t>coordination</w:t>
      </w:r>
      <w:r w:rsidR="006C6F09">
        <w:t xml:space="preserve"> </w:t>
      </w:r>
      <w:r w:rsidRPr="00561ED8">
        <w:t>plan</w:t>
      </w:r>
      <w:r w:rsidR="006C6F09">
        <w:t xml:space="preserve"> </w:t>
      </w:r>
      <w:r w:rsidRPr="00561ED8">
        <w:t>may</w:t>
      </w:r>
      <w:r w:rsidR="006C6F09">
        <w:t xml:space="preserve"> </w:t>
      </w:r>
      <w:r w:rsidRPr="00561ED8">
        <w:t>be</w:t>
      </w:r>
      <w:r w:rsidR="006C6F09">
        <w:t xml:space="preserve"> </w:t>
      </w:r>
      <w:r w:rsidRPr="00561ED8">
        <w:t>found</w:t>
      </w:r>
      <w:r w:rsidR="006C6F09">
        <w:t xml:space="preserve"> </w:t>
      </w:r>
      <w:r w:rsidRPr="00561ED8">
        <w:t>at</w:t>
      </w:r>
      <w:r w:rsidR="006C6F09">
        <w:t xml:space="preserve"> </w:t>
      </w:r>
      <w:hyperlink r:id="rId64" w:history="1">
        <w:r>
          <w:rPr>
            <w:rStyle w:val="Hyperlink"/>
          </w:rPr>
          <w:t>Title</w:t>
        </w:r>
        <w:r w:rsidR="006C6F09">
          <w:rPr>
            <w:rStyle w:val="Hyperlink"/>
          </w:rPr>
          <w:t xml:space="preserve"> </w:t>
        </w:r>
        <w:r>
          <w:rPr>
            <w:rStyle w:val="Hyperlink"/>
          </w:rPr>
          <w:t>23</w:t>
        </w:r>
        <w:r w:rsidR="006C6F09">
          <w:rPr>
            <w:rStyle w:val="Hyperlink"/>
          </w:rPr>
          <w:t xml:space="preserve"> </w:t>
        </w:r>
        <w:r>
          <w:rPr>
            <w:rStyle w:val="Hyperlink"/>
          </w:rPr>
          <w:t>United</w:t>
        </w:r>
        <w:r w:rsidR="006C6F09">
          <w:rPr>
            <w:rStyle w:val="Hyperlink"/>
          </w:rPr>
          <w:t xml:space="preserve"> </w:t>
        </w:r>
        <w:r>
          <w:rPr>
            <w:rStyle w:val="Hyperlink"/>
          </w:rPr>
          <w:t>States</w:t>
        </w:r>
        <w:r w:rsidR="006C6F09">
          <w:rPr>
            <w:rStyle w:val="Hyperlink"/>
          </w:rPr>
          <w:t xml:space="preserve"> </w:t>
        </w:r>
        <w:r>
          <w:rPr>
            <w:rStyle w:val="Hyperlink"/>
          </w:rPr>
          <w:t>Code</w:t>
        </w:r>
        <w:r w:rsidR="006C6F09">
          <w:rPr>
            <w:rStyle w:val="Hyperlink"/>
          </w:rPr>
          <w:t xml:space="preserve"> </w:t>
        </w:r>
        <w:r>
          <w:rPr>
            <w:rStyle w:val="Hyperlink"/>
          </w:rPr>
          <w:t>139(g)(1):</w:t>
        </w:r>
        <w:r w:rsidR="006C6F09">
          <w:rPr>
            <w:rStyle w:val="Hyperlink"/>
          </w:rPr>
          <w:t xml:space="preserve"> </w:t>
        </w:r>
        <w:r>
          <w:rPr>
            <w:rStyle w:val="Hyperlink"/>
          </w:rPr>
          <w:t>Efficient</w:t>
        </w:r>
        <w:r w:rsidR="006C6F09">
          <w:rPr>
            <w:rStyle w:val="Hyperlink"/>
          </w:rPr>
          <w:t xml:space="preserve"> </w:t>
        </w:r>
        <w:r>
          <w:rPr>
            <w:rStyle w:val="Hyperlink"/>
          </w:rPr>
          <w:t>Environmental</w:t>
        </w:r>
        <w:r w:rsidR="006C6F09">
          <w:rPr>
            <w:rStyle w:val="Hyperlink"/>
          </w:rPr>
          <w:t xml:space="preserve"> </w:t>
        </w:r>
        <w:r>
          <w:rPr>
            <w:rStyle w:val="Hyperlink"/>
          </w:rPr>
          <w:t>Reviews</w:t>
        </w:r>
        <w:r w:rsidR="006C6F09">
          <w:rPr>
            <w:rStyle w:val="Hyperlink"/>
          </w:rPr>
          <w:t xml:space="preserve"> </w:t>
        </w:r>
        <w:r>
          <w:rPr>
            <w:rStyle w:val="Hyperlink"/>
          </w:rPr>
          <w:t>for</w:t>
        </w:r>
        <w:r w:rsidR="006C6F09">
          <w:rPr>
            <w:rStyle w:val="Hyperlink"/>
          </w:rPr>
          <w:t xml:space="preserve"> </w:t>
        </w:r>
        <w:r>
          <w:rPr>
            <w:rStyle w:val="Hyperlink"/>
          </w:rPr>
          <w:t>Project</w:t>
        </w:r>
        <w:r w:rsidR="006C6F09">
          <w:rPr>
            <w:rStyle w:val="Hyperlink"/>
          </w:rPr>
          <w:t xml:space="preserve"> </w:t>
        </w:r>
        <w:r w:rsidR="007C0BE6">
          <w:rPr>
            <w:rStyle w:val="Hyperlink"/>
          </w:rPr>
          <w:t>Decision making</w:t>
        </w:r>
        <w:r w:rsidR="006C6F09">
          <w:rPr>
            <w:rStyle w:val="Hyperlink"/>
          </w:rPr>
          <w:t xml:space="preserve"> </w:t>
        </w:r>
        <w:r>
          <w:rPr>
            <w:rStyle w:val="Hyperlink"/>
          </w:rPr>
          <w:t>and</w:t>
        </w:r>
        <w:r w:rsidR="006C6F09">
          <w:rPr>
            <w:rStyle w:val="Hyperlink"/>
          </w:rPr>
          <w:t xml:space="preserve"> </w:t>
        </w:r>
        <w:r>
          <w:rPr>
            <w:rStyle w:val="Hyperlink"/>
          </w:rPr>
          <w:t>One</w:t>
        </w:r>
        <w:r w:rsidR="006C6F09">
          <w:rPr>
            <w:rStyle w:val="Hyperlink"/>
          </w:rPr>
          <w:t xml:space="preserve"> </w:t>
        </w:r>
        <w:r>
          <w:rPr>
            <w:rStyle w:val="Hyperlink"/>
          </w:rPr>
          <w:t>Federal</w:t>
        </w:r>
        <w:r w:rsidR="006C6F09">
          <w:rPr>
            <w:rStyle w:val="Hyperlink"/>
          </w:rPr>
          <w:t xml:space="preserve"> </w:t>
        </w:r>
        <w:r>
          <w:rPr>
            <w:rStyle w:val="Hyperlink"/>
          </w:rPr>
          <w:t>Decision</w:t>
        </w:r>
      </w:hyperlink>
      <w:r w:rsidRPr="00561ED8">
        <w:t>.</w:t>
      </w:r>
    </w:p>
    <w:p w14:paraId="14B8F2D2" w14:textId="304E7FD4" w:rsidR="00457754" w:rsidRPr="00B22536" w:rsidRDefault="00457754" w:rsidP="00457754">
      <w:pPr>
        <w:pStyle w:val="Heading2"/>
      </w:pPr>
      <w:bookmarkStart w:id="76" w:name="_Ref219791789"/>
      <w:bookmarkStart w:id="77" w:name="_Ref219791857"/>
      <w:bookmarkStart w:id="78" w:name="_Ref219791890"/>
      <w:bookmarkStart w:id="79" w:name="_Ref219791920"/>
      <w:bookmarkStart w:id="80" w:name="_Ref219791947"/>
      <w:bookmarkStart w:id="81" w:name="_Ref219791990"/>
      <w:bookmarkStart w:id="82" w:name="_Ref219792091"/>
      <w:bookmarkStart w:id="83" w:name="_Toc216784929"/>
      <w:bookmarkStart w:id="84" w:name="_Toc224026225"/>
      <w:r w:rsidRPr="00B22536">
        <w:t>9.0</w:t>
      </w:r>
      <w:r w:rsidR="006C6F09">
        <w:t xml:space="preserve"> </w:t>
      </w:r>
      <w:r w:rsidRPr="00B22536">
        <w:t>Notice</w:t>
      </w:r>
      <w:r w:rsidR="006C6F09">
        <w:t xml:space="preserve"> </w:t>
      </w:r>
      <w:r w:rsidRPr="00B22536">
        <w:t>of</w:t>
      </w:r>
      <w:r w:rsidR="006C6F09">
        <w:t xml:space="preserve"> </w:t>
      </w:r>
      <w:r w:rsidRPr="00B22536">
        <w:t>Availability</w:t>
      </w:r>
      <w:r w:rsidR="006C6F09">
        <w:t xml:space="preserve"> </w:t>
      </w:r>
      <w:r w:rsidRPr="00B22536">
        <w:t>(NOA)</w:t>
      </w:r>
      <w:bookmarkEnd w:id="76"/>
      <w:bookmarkEnd w:id="77"/>
      <w:bookmarkEnd w:id="78"/>
      <w:bookmarkEnd w:id="79"/>
      <w:bookmarkEnd w:id="80"/>
      <w:bookmarkEnd w:id="81"/>
      <w:bookmarkEnd w:id="82"/>
      <w:bookmarkEnd w:id="84"/>
    </w:p>
    <w:p w14:paraId="164810AC" w14:textId="56EFF45D" w:rsidR="00457754" w:rsidRDefault="00457754" w:rsidP="00457754">
      <w:r>
        <w:t>A</w:t>
      </w:r>
      <w:r w:rsidR="006C6F09">
        <w:t xml:space="preserve"> </w:t>
      </w:r>
      <w:r>
        <w:t>notice</w:t>
      </w:r>
      <w:r w:rsidR="006C6F09">
        <w:t xml:space="preserve"> </w:t>
      </w:r>
      <w:r>
        <w:t>of</w:t>
      </w:r>
      <w:r w:rsidR="006C6F09">
        <w:t xml:space="preserve"> </w:t>
      </w:r>
      <w:r>
        <w:t>availability</w:t>
      </w:r>
      <w:r w:rsidR="006C6F09">
        <w:t xml:space="preserve"> </w:t>
      </w:r>
      <w:r>
        <w:t>(NOA)</w:t>
      </w:r>
      <w:r w:rsidR="006C6F09">
        <w:t xml:space="preserve"> </w:t>
      </w:r>
      <w:r>
        <w:t>is</w:t>
      </w:r>
      <w:r w:rsidR="006C6F09">
        <w:t xml:space="preserve"> </w:t>
      </w:r>
      <w:r>
        <w:t>issued</w:t>
      </w:r>
      <w:r w:rsidR="006C6F09">
        <w:t xml:space="preserve"> </w:t>
      </w:r>
      <w:r>
        <w:t>to</w:t>
      </w:r>
      <w:r w:rsidR="006C6F09">
        <w:t xml:space="preserve"> </w:t>
      </w:r>
      <w:r>
        <w:t>inform</w:t>
      </w:r>
      <w:r w:rsidR="006C6F09">
        <w:t xml:space="preserve"> </w:t>
      </w:r>
      <w:r>
        <w:t>the</w:t>
      </w:r>
      <w:r w:rsidR="006C6F09">
        <w:t xml:space="preserve"> </w:t>
      </w:r>
      <w:r>
        <w:t>public</w:t>
      </w:r>
      <w:r w:rsidR="006C6F09">
        <w:t xml:space="preserve"> </w:t>
      </w:r>
      <w:r>
        <w:t>or</w:t>
      </w:r>
      <w:r w:rsidR="006C6F09">
        <w:t xml:space="preserve"> </w:t>
      </w:r>
      <w:r>
        <w:t>recipient</w:t>
      </w:r>
      <w:r w:rsidR="006C6F09">
        <w:t xml:space="preserve"> </w:t>
      </w:r>
      <w:r>
        <w:t>that</w:t>
      </w:r>
      <w:r w:rsidR="006C6F09">
        <w:t xml:space="preserve"> </w:t>
      </w:r>
      <w:r>
        <w:t>documents</w:t>
      </w:r>
      <w:r w:rsidR="006C6F09">
        <w:t xml:space="preserve"> </w:t>
      </w:r>
      <w:r>
        <w:t>are</w:t>
      </w:r>
      <w:r w:rsidR="006C6F09">
        <w:t xml:space="preserve"> </w:t>
      </w:r>
      <w:r>
        <w:t>available</w:t>
      </w:r>
      <w:r w:rsidR="006C6F09">
        <w:t xml:space="preserve"> </w:t>
      </w:r>
      <w:r>
        <w:t>for</w:t>
      </w:r>
      <w:r w:rsidR="006C6F09">
        <w:t xml:space="preserve"> </w:t>
      </w:r>
      <w:r>
        <w:t>review.</w:t>
      </w:r>
      <w:r w:rsidR="006C6F09">
        <w:t xml:space="preserve"> </w:t>
      </w:r>
      <w:r>
        <w:t>The</w:t>
      </w:r>
      <w:r w:rsidR="006C6F09">
        <w:t xml:space="preserve"> </w:t>
      </w:r>
      <w:r>
        <w:t>NOA</w:t>
      </w:r>
      <w:r w:rsidR="006C6F09">
        <w:t xml:space="preserve"> </w:t>
      </w:r>
      <w:r>
        <w:t>provides</w:t>
      </w:r>
      <w:r w:rsidR="006C6F09">
        <w:t xml:space="preserve"> </w:t>
      </w:r>
      <w:proofErr w:type="gramStart"/>
      <w:r>
        <w:t>direction</w:t>
      </w:r>
      <w:proofErr w:type="gramEnd"/>
      <w:r w:rsidR="006C6F09">
        <w:t xml:space="preserve"> </w:t>
      </w:r>
      <w:r>
        <w:t>on</w:t>
      </w:r>
      <w:r w:rsidR="006C6F09">
        <w:t xml:space="preserve"> </w:t>
      </w:r>
      <w:r>
        <w:t>where</w:t>
      </w:r>
      <w:r w:rsidR="006C6F09">
        <w:t xml:space="preserve"> </w:t>
      </w:r>
      <w:r>
        <w:t>documents</w:t>
      </w:r>
      <w:r w:rsidR="006C6F09">
        <w:t xml:space="preserve"> </w:t>
      </w:r>
      <w:r>
        <w:t>are</w:t>
      </w:r>
      <w:r w:rsidR="006C6F09">
        <w:t xml:space="preserve"> </w:t>
      </w:r>
      <w:r>
        <w:t>available</w:t>
      </w:r>
      <w:r w:rsidR="006C6F09">
        <w:t xml:space="preserve"> </w:t>
      </w:r>
      <w:r>
        <w:t>for</w:t>
      </w:r>
      <w:r w:rsidR="006C6F09">
        <w:t xml:space="preserve"> </w:t>
      </w:r>
      <w:r>
        <w:t>review</w:t>
      </w:r>
      <w:r w:rsidR="006C6F09">
        <w:t xml:space="preserve"> </w:t>
      </w:r>
      <w:r>
        <w:t>and</w:t>
      </w:r>
      <w:r w:rsidR="006C6F09">
        <w:t xml:space="preserve"> </w:t>
      </w:r>
      <w:r>
        <w:t>how</w:t>
      </w:r>
      <w:r w:rsidR="006C6F09">
        <w:t xml:space="preserve"> </w:t>
      </w:r>
      <w:r>
        <w:t>to</w:t>
      </w:r>
      <w:r w:rsidR="006C6F09">
        <w:t xml:space="preserve"> </w:t>
      </w:r>
      <w:r>
        <w:t>obtain</w:t>
      </w:r>
      <w:r w:rsidR="006C6F09">
        <w:t xml:space="preserve"> </w:t>
      </w:r>
      <w:r>
        <w:t>copies.</w:t>
      </w:r>
      <w:r w:rsidR="006C6F09">
        <w:t xml:space="preserve"> </w:t>
      </w:r>
      <w:r>
        <w:t>Notifications</w:t>
      </w:r>
      <w:r w:rsidR="006C6F09">
        <w:t xml:space="preserve"> </w:t>
      </w:r>
      <w:r>
        <w:t>must</w:t>
      </w:r>
      <w:r w:rsidR="006C6F09">
        <w:t xml:space="preserve"> </w:t>
      </w:r>
      <w:r>
        <w:t>be</w:t>
      </w:r>
      <w:r w:rsidR="006C6F09">
        <w:t xml:space="preserve"> </w:t>
      </w:r>
      <w:r>
        <w:t>in</w:t>
      </w:r>
      <w:r w:rsidR="006C6F09">
        <w:t xml:space="preserve"> </w:t>
      </w:r>
      <w:r>
        <w:t>English,</w:t>
      </w:r>
      <w:r w:rsidR="006C6F09">
        <w:t xml:space="preserve"> </w:t>
      </w:r>
      <w:r>
        <w:t>and</w:t>
      </w:r>
      <w:r w:rsidR="006C6F09">
        <w:t xml:space="preserve"> </w:t>
      </w:r>
      <w:r>
        <w:t>any</w:t>
      </w:r>
      <w:r w:rsidR="006C6F09">
        <w:t xml:space="preserve"> </w:t>
      </w:r>
      <w:r>
        <w:t>other</w:t>
      </w:r>
      <w:r w:rsidR="006C6F09">
        <w:t xml:space="preserve"> </w:t>
      </w:r>
      <w:r>
        <w:t>language</w:t>
      </w:r>
      <w:r w:rsidR="006C6F09">
        <w:t xml:space="preserve"> </w:t>
      </w:r>
      <w:r>
        <w:t>identified</w:t>
      </w:r>
      <w:r w:rsidR="006C6F09">
        <w:t xml:space="preserve"> </w:t>
      </w:r>
      <w:r>
        <w:t>as</w:t>
      </w:r>
      <w:r w:rsidR="006C6F09">
        <w:t xml:space="preserve"> </w:t>
      </w:r>
      <w:r>
        <w:t>commonly</w:t>
      </w:r>
      <w:r w:rsidR="006C6F09">
        <w:t xml:space="preserve"> </w:t>
      </w:r>
      <w:r>
        <w:t>spoken</w:t>
      </w:r>
      <w:r w:rsidR="006C6F09">
        <w:t xml:space="preserve"> </w:t>
      </w:r>
      <w:r>
        <w:t>in</w:t>
      </w:r>
      <w:r w:rsidR="006C6F09">
        <w:t xml:space="preserve"> </w:t>
      </w:r>
      <w:r>
        <w:t>the</w:t>
      </w:r>
      <w:r w:rsidR="006C6F09">
        <w:t xml:space="preserve"> </w:t>
      </w:r>
      <w:r>
        <w:t>project</w:t>
      </w:r>
      <w:r w:rsidR="006C6F09">
        <w:t xml:space="preserve"> </w:t>
      </w:r>
      <w:r>
        <w:t>area.</w:t>
      </w:r>
      <w:r w:rsidR="006C6F09">
        <w:t xml:space="preserve"> </w:t>
      </w:r>
      <w:r>
        <w:t>TPP’s</w:t>
      </w:r>
      <w:r w:rsidR="006C6F09">
        <w:t xml:space="preserve"> </w:t>
      </w:r>
      <w:r>
        <w:t>PI</w:t>
      </w:r>
      <w:r w:rsidR="006C6F09">
        <w:t xml:space="preserve"> </w:t>
      </w:r>
      <w:r>
        <w:t>Section</w:t>
      </w:r>
      <w:r w:rsidR="006C6F09">
        <w:t xml:space="preserve"> </w:t>
      </w:r>
      <w:r>
        <w:t>is</w:t>
      </w:r>
      <w:r w:rsidR="006C6F09">
        <w:t xml:space="preserve"> </w:t>
      </w:r>
      <w:r>
        <w:t>available</w:t>
      </w:r>
      <w:r w:rsidR="006C6F09">
        <w:t xml:space="preserve"> </w:t>
      </w:r>
      <w:r>
        <w:t>to</w:t>
      </w:r>
      <w:r w:rsidR="006C6F09">
        <w:t xml:space="preserve"> </w:t>
      </w:r>
      <w:r>
        <w:t>assist</w:t>
      </w:r>
      <w:r w:rsidR="006C6F09">
        <w:t xml:space="preserve"> </w:t>
      </w:r>
      <w:r>
        <w:t>with</w:t>
      </w:r>
      <w:r w:rsidR="006C6F09">
        <w:t xml:space="preserve"> </w:t>
      </w:r>
      <w:r>
        <w:t>this</w:t>
      </w:r>
      <w:r w:rsidR="006C6F09">
        <w:t xml:space="preserve"> </w:t>
      </w:r>
      <w:r>
        <w:t>requirement.</w:t>
      </w:r>
      <w:r w:rsidR="006C6F09">
        <w:t xml:space="preserve"> </w:t>
      </w:r>
    </w:p>
    <w:p w14:paraId="65B45AAB" w14:textId="6E12AA4B" w:rsidR="00457754" w:rsidRDefault="00457754" w:rsidP="00457754">
      <w:r>
        <w:t>The</w:t>
      </w:r>
      <w:r w:rsidR="006C6F09">
        <w:t xml:space="preserve"> </w:t>
      </w:r>
      <w:r>
        <w:t>NOA</w:t>
      </w:r>
      <w:r w:rsidR="006C6F09">
        <w:t xml:space="preserve"> </w:t>
      </w:r>
      <w:r>
        <w:t>is</w:t>
      </w:r>
      <w:r w:rsidR="006C6F09">
        <w:t xml:space="preserve"> </w:t>
      </w:r>
      <w:r>
        <w:t>published</w:t>
      </w:r>
      <w:r w:rsidR="006C6F09">
        <w:t xml:space="preserve"> </w:t>
      </w:r>
      <w:r>
        <w:t>for</w:t>
      </w:r>
      <w:r w:rsidR="006C6F09">
        <w:t xml:space="preserve"> </w:t>
      </w:r>
      <w:r>
        <w:t>various</w:t>
      </w:r>
      <w:r w:rsidR="006C6F09">
        <w:t xml:space="preserve"> </w:t>
      </w:r>
      <w:r>
        <w:t>document</w:t>
      </w:r>
      <w:r w:rsidR="006C6F09">
        <w:t xml:space="preserve"> </w:t>
      </w:r>
      <w:r>
        <w:t>types,</w:t>
      </w:r>
      <w:r w:rsidR="006C6F09">
        <w:t xml:space="preserve"> </w:t>
      </w:r>
      <w:r>
        <w:t>as</w:t>
      </w:r>
      <w:r w:rsidR="006C6F09">
        <w:t xml:space="preserve"> </w:t>
      </w:r>
      <w:r>
        <w:t>described</w:t>
      </w:r>
      <w:r w:rsidR="006C6F09">
        <w:t xml:space="preserve"> </w:t>
      </w:r>
      <w:r>
        <w:t>in</w:t>
      </w:r>
      <w:r w:rsidR="006C6F09">
        <w:t xml:space="preserve"> </w:t>
      </w:r>
      <w:r>
        <w:t>Section</w:t>
      </w:r>
      <w:r w:rsidR="006C6F09">
        <w:t xml:space="preserve"> </w:t>
      </w:r>
      <w:r w:rsidRPr="00176C95">
        <w:rPr>
          <w:i/>
          <w:iCs/>
          <w:u w:val="single"/>
        </w:rPr>
        <w:fldChar w:fldCharType="begin"/>
      </w:r>
      <w:r w:rsidRPr="00176C95">
        <w:rPr>
          <w:i/>
          <w:iCs/>
          <w:u w:val="single"/>
        </w:rPr>
        <w:instrText xml:space="preserve"> REF _Ref219791702 \h </w:instrText>
      </w:r>
      <w:r>
        <w:rPr>
          <w:i/>
          <w:iCs/>
          <w:u w:val="single"/>
        </w:rPr>
        <w:instrText xml:space="preserve"> \* MERGEFORMAT </w:instrText>
      </w:r>
      <w:r w:rsidRPr="00176C95">
        <w:rPr>
          <w:i/>
          <w:iCs/>
          <w:u w:val="single"/>
        </w:rPr>
      </w:r>
      <w:r w:rsidRPr="00176C95">
        <w:rPr>
          <w:i/>
          <w:iCs/>
          <w:u w:val="single"/>
        </w:rPr>
        <w:fldChar w:fldCharType="separate"/>
      </w:r>
      <w:r w:rsidRPr="00176C95">
        <w:rPr>
          <w:i/>
          <w:iCs/>
          <w:color w:val="0056A9"/>
          <w:u w:val="single"/>
        </w:rPr>
        <w:t>9.1</w:t>
      </w:r>
      <w:r w:rsidRPr="00176C95">
        <w:rPr>
          <w:i/>
          <w:iCs/>
          <w:u w:val="single"/>
        </w:rPr>
        <w:fldChar w:fldCharType="end"/>
      </w:r>
      <w:r w:rsidR="006C6F09">
        <w:t xml:space="preserve"> </w:t>
      </w:r>
      <w:r>
        <w:t>through</w:t>
      </w:r>
      <w:r w:rsidR="006C6F09">
        <w:t xml:space="preserve"> </w:t>
      </w:r>
      <w:r w:rsidRPr="00263E76">
        <w:rPr>
          <w:u w:val="single"/>
        </w:rPr>
        <w:fldChar w:fldCharType="begin"/>
      </w:r>
      <w:r w:rsidRPr="00263E76">
        <w:rPr>
          <w:u w:val="single"/>
        </w:rPr>
        <w:instrText xml:space="preserve"> REF _Ref219791714 \h  \* MERGEFORMAT </w:instrText>
      </w:r>
      <w:r w:rsidRPr="00263E76">
        <w:rPr>
          <w:u w:val="single"/>
        </w:rPr>
      </w:r>
      <w:r w:rsidRPr="00263E76">
        <w:rPr>
          <w:u w:val="single"/>
        </w:rPr>
        <w:fldChar w:fldCharType="separate"/>
      </w:r>
      <w:r w:rsidRPr="00263E76">
        <w:rPr>
          <w:color w:val="0056A9"/>
          <w:u w:val="single"/>
        </w:rPr>
        <w:t>9.5</w:t>
      </w:r>
      <w:r w:rsidRPr="00263E76">
        <w:rPr>
          <w:u w:val="single"/>
        </w:rPr>
        <w:fldChar w:fldCharType="end"/>
      </w:r>
      <w:r w:rsidR="006C6F09">
        <w:t xml:space="preserve"> </w:t>
      </w:r>
      <w:r w:rsidRPr="00F67602">
        <w:t>b</w:t>
      </w:r>
      <w:r>
        <w:t>elow.</w:t>
      </w:r>
      <w:r w:rsidR="006C6F09">
        <w:t xml:space="preserve"> </w:t>
      </w:r>
      <w:r>
        <w:t>The</w:t>
      </w:r>
      <w:r w:rsidR="006C6F09">
        <w:t xml:space="preserve"> </w:t>
      </w:r>
      <w:r>
        <w:t>project</w:t>
      </w:r>
      <w:r w:rsidR="006C6F09">
        <w:t xml:space="preserve"> </w:t>
      </w:r>
      <w:r>
        <w:t>sponsor</w:t>
      </w:r>
      <w:r w:rsidR="006C6F09">
        <w:t xml:space="preserve"> </w:t>
      </w:r>
      <w:r>
        <w:t>is</w:t>
      </w:r>
      <w:r w:rsidR="006C6F09">
        <w:t xml:space="preserve"> </w:t>
      </w:r>
      <w:r>
        <w:t>responsible</w:t>
      </w:r>
      <w:r w:rsidR="006C6F09">
        <w:t xml:space="preserve"> </w:t>
      </w:r>
      <w:r>
        <w:t>for</w:t>
      </w:r>
      <w:r w:rsidR="006C6F09">
        <w:t xml:space="preserve"> </w:t>
      </w:r>
      <w:r>
        <w:t>drafting</w:t>
      </w:r>
      <w:r w:rsidR="006C6F09">
        <w:t xml:space="preserve"> </w:t>
      </w:r>
      <w:proofErr w:type="gramStart"/>
      <w:r>
        <w:t>the</w:t>
      </w:r>
      <w:r w:rsidR="006C6F09">
        <w:t xml:space="preserve"> </w:t>
      </w:r>
      <w:r>
        <w:t>NOA</w:t>
      </w:r>
      <w:proofErr w:type="gramEnd"/>
      <w:r>
        <w:t>.</w:t>
      </w:r>
      <w:r w:rsidR="006C6F09">
        <w:t xml:space="preserve"> </w:t>
      </w:r>
      <w:r>
        <w:t>For</w:t>
      </w:r>
      <w:r w:rsidR="006C6F09">
        <w:t xml:space="preserve"> </w:t>
      </w:r>
      <w:r>
        <w:t>projects</w:t>
      </w:r>
      <w:r w:rsidR="006C6F09">
        <w:t xml:space="preserve"> </w:t>
      </w:r>
      <w:r>
        <w:t>assigned</w:t>
      </w:r>
      <w:r w:rsidR="006C6F09">
        <w:t xml:space="preserve"> </w:t>
      </w:r>
      <w:r>
        <w:t>under</w:t>
      </w:r>
      <w:r w:rsidR="006C6F09">
        <w:t xml:space="preserve"> </w:t>
      </w:r>
      <w:r>
        <w:t>the</w:t>
      </w:r>
      <w:r w:rsidR="006C6F09">
        <w:t xml:space="preserve"> </w:t>
      </w:r>
      <w:r>
        <w:t>Assignment</w:t>
      </w:r>
      <w:r w:rsidR="006C6F09">
        <w:t xml:space="preserve"> </w:t>
      </w:r>
      <w:r>
        <w:t>MOU,</w:t>
      </w:r>
      <w:r w:rsidR="006C6F09">
        <w:t xml:space="preserve"> </w:t>
      </w:r>
      <w:r>
        <w:t>the</w:t>
      </w:r>
      <w:r w:rsidR="006C6F09">
        <w:t xml:space="preserve"> </w:t>
      </w:r>
      <w:r>
        <w:t>following</w:t>
      </w:r>
      <w:r w:rsidR="006C6F09">
        <w:t xml:space="preserve"> </w:t>
      </w:r>
      <w:r>
        <w:t>language</w:t>
      </w:r>
      <w:r w:rsidR="006C6F09">
        <w:t xml:space="preserve"> </w:t>
      </w:r>
      <w:r>
        <w:t>must</w:t>
      </w:r>
      <w:r w:rsidR="006C6F09">
        <w:t xml:space="preserve"> </w:t>
      </w:r>
      <w:r>
        <w:t>be</w:t>
      </w:r>
      <w:r w:rsidR="006C6F09">
        <w:t xml:space="preserve"> </w:t>
      </w:r>
      <w:r>
        <w:t>included</w:t>
      </w:r>
      <w:r w:rsidR="006C6F09">
        <w:t xml:space="preserve"> </w:t>
      </w:r>
      <w:r>
        <w:t>in</w:t>
      </w:r>
      <w:r w:rsidR="006C6F09">
        <w:t xml:space="preserve"> </w:t>
      </w:r>
      <w:r>
        <w:t>the</w:t>
      </w:r>
      <w:r w:rsidR="006C6F09">
        <w:t xml:space="preserve"> </w:t>
      </w:r>
      <w:r>
        <w:t>NOA.</w:t>
      </w:r>
      <w:r w:rsidR="006C6F09">
        <w:t xml:space="preserve"> </w:t>
      </w:r>
    </w:p>
    <w:p w14:paraId="53073733" w14:textId="481452F0" w:rsidR="00457754" w:rsidRPr="00A67569" w:rsidRDefault="00457754" w:rsidP="00457754">
      <w:pPr>
        <w:rPr>
          <w:i/>
          <w:iCs/>
        </w:rPr>
      </w:pPr>
      <w:r w:rsidRPr="00A67569">
        <w:rPr>
          <w:i/>
          <w:iCs/>
        </w:rPr>
        <w:t>The</w:t>
      </w:r>
      <w:r w:rsidR="006C6F09">
        <w:rPr>
          <w:i/>
          <w:iCs/>
        </w:rPr>
        <w:t xml:space="preserve"> </w:t>
      </w:r>
      <w:r w:rsidRPr="00A67569">
        <w:rPr>
          <w:i/>
          <w:iCs/>
        </w:rPr>
        <w:t>environmental</w:t>
      </w:r>
      <w:r w:rsidR="006C6F09">
        <w:rPr>
          <w:i/>
          <w:iCs/>
        </w:rPr>
        <w:t xml:space="preserve"> </w:t>
      </w:r>
      <w:r w:rsidRPr="00A67569">
        <w:rPr>
          <w:i/>
          <w:iCs/>
        </w:rPr>
        <w:t>review,</w:t>
      </w:r>
      <w:r w:rsidR="006C6F09">
        <w:rPr>
          <w:i/>
          <w:iCs/>
        </w:rPr>
        <w:t xml:space="preserve"> </w:t>
      </w:r>
      <w:r w:rsidRPr="00A67569">
        <w:rPr>
          <w:i/>
          <w:iCs/>
        </w:rPr>
        <w:t>consultation,</w:t>
      </w:r>
      <w:r w:rsidR="006C6F09">
        <w:rPr>
          <w:i/>
          <w:iCs/>
        </w:rPr>
        <w:t xml:space="preserve"> </w:t>
      </w:r>
      <w:r w:rsidRPr="00A67569">
        <w:rPr>
          <w:i/>
          <w:iCs/>
        </w:rPr>
        <w:t>and</w:t>
      </w:r>
      <w:r w:rsidR="006C6F09">
        <w:rPr>
          <w:i/>
          <w:iCs/>
        </w:rPr>
        <w:t xml:space="preserve"> </w:t>
      </w:r>
      <w:r w:rsidRPr="00A67569">
        <w:rPr>
          <w:i/>
          <w:iCs/>
        </w:rPr>
        <w:t>other</w:t>
      </w:r>
      <w:r w:rsidR="006C6F09">
        <w:rPr>
          <w:i/>
          <w:iCs/>
        </w:rPr>
        <w:t xml:space="preserve"> </w:t>
      </w:r>
      <w:r w:rsidRPr="00A67569">
        <w:rPr>
          <w:i/>
          <w:iCs/>
        </w:rPr>
        <w:t>actions</w:t>
      </w:r>
      <w:r w:rsidR="006C6F09">
        <w:rPr>
          <w:i/>
          <w:iCs/>
        </w:rPr>
        <w:t xml:space="preserve"> </w:t>
      </w:r>
      <w:r w:rsidRPr="00A67569">
        <w:rPr>
          <w:i/>
          <w:iCs/>
        </w:rPr>
        <w:t>required</w:t>
      </w:r>
      <w:r w:rsidR="006C6F09">
        <w:rPr>
          <w:i/>
          <w:iCs/>
        </w:rPr>
        <w:t xml:space="preserve"> </w:t>
      </w:r>
      <w:r w:rsidRPr="00A67569">
        <w:rPr>
          <w:i/>
          <w:iCs/>
        </w:rPr>
        <w:t>by</w:t>
      </w:r>
      <w:r w:rsidR="006C6F09">
        <w:rPr>
          <w:i/>
          <w:iCs/>
        </w:rPr>
        <w:t xml:space="preserve"> </w:t>
      </w:r>
      <w:r w:rsidRPr="00A67569">
        <w:rPr>
          <w:i/>
          <w:iCs/>
        </w:rPr>
        <w:t>applicable</w:t>
      </w:r>
      <w:r w:rsidR="006C6F09">
        <w:rPr>
          <w:i/>
          <w:iCs/>
        </w:rPr>
        <w:t xml:space="preserve"> </w:t>
      </w:r>
      <w:r w:rsidRPr="00A67569">
        <w:rPr>
          <w:i/>
          <w:iCs/>
        </w:rPr>
        <w:t>Federal</w:t>
      </w:r>
      <w:r w:rsidR="006C6F09">
        <w:rPr>
          <w:i/>
          <w:iCs/>
        </w:rPr>
        <w:t xml:space="preserve"> </w:t>
      </w:r>
      <w:r w:rsidRPr="00A67569">
        <w:rPr>
          <w:i/>
          <w:iCs/>
        </w:rPr>
        <w:t>environmental</w:t>
      </w:r>
      <w:r w:rsidR="006C6F09">
        <w:rPr>
          <w:i/>
          <w:iCs/>
        </w:rPr>
        <w:t xml:space="preserve"> </w:t>
      </w:r>
      <w:r w:rsidRPr="00A67569">
        <w:rPr>
          <w:i/>
          <w:iCs/>
        </w:rPr>
        <w:t>laws</w:t>
      </w:r>
      <w:r w:rsidR="006C6F09">
        <w:rPr>
          <w:i/>
          <w:iCs/>
        </w:rPr>
        <w:t xml:space="preserve"> </w:t>
      </w:r>
      <w:r w:rsidRPr="00A67569">
        <w:rPr>
          <w:i/>
          <w:iCs/>
        </w:rPr>
        <w:t>for</w:t>
      </w:r>
      <w:r w:rsidR="006C6F09">
        <w:rPr>
          <w:i/>
          <w:iCs/>
        </w:rPr>
        <w:t xml:space="preserve"> </w:t>
      </w:r>
      <w:r w:rsidRPr="00A67569">
        <w:rPr>
          <w:i/>
          <w:iCs/>
        </w:rPr>
        <w:t>this</w:t>
      </w:r>
      <w:r w:rsidR="006C6F09">
        <w:rPr>
          <w:i/>
          <w:iCs/>
        </w:rPr>
        <w:t xml:space="preserve"> </w:t>
      </w:r>
      <w:r w:rsidRPr="00A67569">
        <w:rPr>
          <w:i/>
          <w:iCs/>
        </w:rPr>
        <w:t>project</w:t>
      </w:r>
      <w:r w:rsidR="006C6F09">
        <w:rPr>
          <w:i/>
          <w:iCs/>
        </w:rPr>
        <w:t xml:space="preserve"> </w:t>
      </w:r>
      <w:r w:rsidRPr="00A67569">
        <w:rPr>
          <w:i/>
          <w:iCs/>
        </w:rPr>
        <w:t>are</w:t>
      </w:r>
      <w:r w:rsidR="006C6F09">
        <w:rPr>
          <w:i/>
          <w:iCs/>
        </w:rPr>
        <w:t xml:space="preserve"> </w:t>
      </w:r>
      <w:r w:rsidRPr="00A67569">
        <w:rPr>
          <w:i/>
          <w:iCs/>
        </w:rPr>
        <w:t>being,</w:t>
      </w:r>
      <w:r w:rsidR="006C6F09">
        <w:rPr>
          <w:i/>
          <w:iCs/>
        </w:rPr>
        <w:t xml:space="preserve"> </w:t>
      </w:r>
      <w:r w:rsidRPr="00A67569">
        <w:rPr>
          <w:i/>
          <w:iCs/>
        </w:rPr>
        <w:t>or</w:t>
      </w:r>
      <w:r w:rsidR="006C6F09">
        <w:rPr>
          <w:i/>
          <w:iCs/>
        </w:rPr>
        <w:t xml:space="preserve"> </w:t>
      </w:r>
      <w:r w:rsidRPr="00A67569">
        <w:rPr>
          <w:i/>
          <w:iCs/>
        </w:rPr>
        <w:t>have</w:t>
      </w:r>
      <w:r w:rsidR="006C6F09">
        <w:rPr>
          <w:i/>
          <w:iCs/>
        </w:rPr>
        <w:t xml:space="preserve"> </w:t>
      </w:r>
      <w:r w:rsidRPr="00A67569">
        <w:rPr>
          <w:i/>
          <w:iCs/>
        </w:rPr>
        <w:lastRenderedPageBreak/>
        <w:t>been,</w:t>
      </w:r>
      <w:r w:rsidR="006C6F09">
        <w:rPr>
          <w:i/>
          <w:iCs/>
        </w:rPr>
        <w:t xml:space="preserve"> </w:t>
      </w:r>
      <w:r w:rsidR="007C0BE6" w:rsidRPr="00A67569">
        <w:rPr>
          <w:i/>
          <w:iCs/>
        </w:rPr>
        <w:t>carried</w:t>
      </w:r>
      <w:r w:rsidR="007C0BE6">
        <w:rPr>
          <w:i/>
          <w:iCs/>
        </w:rPr>
        <w:t xml:space="preserve"> out</w:t>
      </w:r>
      <w:r w:rsidR="006C6F09">
        <w:rPr>
          <w:i/>
          <w:iCs/>
        </w:rPr>
        <w:t xml:space="preserve"> </w:t>
      </w:r>
      <w:r w:rsidRPr="00A67569">
        <w:rPr>
          <w:i/>
          <w:iCs/>
        </w:rPr>
        <w:t>by</w:t>
      </w:r>
      <w:r w:rsidR="006C6F09">
        <w:rPr>
          <w:i/>
          <w:iCs/>
        </w:rPr>
        <w:t xml:space="preserve"> </w:t>
      </w:r>
      <w:r w:rsidRPr="00A67569">
        <w:rPr>
          <w:i/>
          <w:iCs/>
        </w:rPr>
        <w:t>TxDOT</w:t>
      </w:r>
      <w:r w:rsidR="006C6F09">
        <w:rPr>
          <w:i/>
          <w:iCs/>
        </w:rPr>
        <w:t xml:space="preserve"> </w:t>
      </w:r>
      <w:r w:rsidRPr="00A67569">
        <w:rPr>
          <w:i/>
          <w:iCs/>
        </w:rPr>
        <w:t>pursuant</w:t>
      </w:r>
      <w:r w:rsidR="006C6F09">
        <w:rPr>
          <w:i/>
          <w:iCs/>
        </w:rPr>
        <w:t xml:space="preserve"> </w:t>
      </w:r>
      <w:r w:rsidRPr="00A67569">
        <w:rPr>
          <w:i/>
          <w:iCs/>
        </w:rPr>
        <w:t>to</w:t>
      </w:r>
      <w:r w:rsidR="006C6F09">
        <w:rPr>
          <w:i/>
          <w:iCs/>
        </w:rPr>
        <w:t xml:space="preserve"> </w:t>
      </w:r>
      <w:r w:rsidRPr="00A67569">
        <w:rPr>
          <w:i/>
          <w:iCs/>
        </w:rPr>
        <w:t>23</w:t>
      </w:r>
      <w:r w:rsidR="006C6F09">
        <w:rPr>
          <w:i/>
          <w:iCs/>
        </w:rPr>
        <w:t xml:space="preserve"> </w:t>
      </w:r>
      <w:r w:rsidRPr="00A67569">
        <w:rPr>
          <w:i/>
          <w:iCs/>
        </w:rPr>
        <w:t>U.S.C.</w:t>
      </w:r>
      <w:r w:rsidR="006C6F09">
        <w:rPr>
          <w:i/>
          <w:iCs/>
        </w:rPr>
        <w:t xml:space="preserve"> </w:t>
      </w:r>
      <w:r w:rsidRPr="00A67569">
        <w:rPr>
          <w:i/>
          <w:iCs/>
        </w:rPr>
        <w:t>327</w:t>
      </w:r>
      <w:r w:rsidR="006C6F09">
        <w:rPr>
          <w:i/>
          <w:iCs/>
        </w:rPr>
        <w:t xml:space="preserve"> </w:t>
      </w:r>
      <w:r w:rsidRPr="00A67569">
        <w:rPr>
          <w:i/>
          <w:iCs/>
        </w:rPr>
        <w:t>and</w:t>
      </w:r>
      <w:r w:rsidR="006C6F09">
        <w:rPr>
          <w:i/>
          <w:iCs/>
        </w:rPr>
        <w:t xml:space="preserve"> </w:t>
      </w:r>
      <w:r w:rsidRPr="00A67569">
        <w:rPr>
          <w:i/>
          <w:iCs/>
        </w:rPr>
        <w:t>a</w:t>
      </w:r>
      <w:r w:rsidR="006C6F09">
        <w:rPr>
          <w:i/>
          <w:iCs/>
        </w:rPr>
        <w:t xml:space="preserve"> </w:t>
      </w:r>
      <w:r w:rsidRPr="00A67569">
        <w:rPr>
          <w:i/>
          <w:iCs/>
        </w:rPr>
        <w:t>Memorandum</w:t>
      </w:r>
      <w:r w:rsidR="006C6F09">
        <w:rPr>
          <w:i/>
          <w:iCs/>
        </w:rPr>
        <w:t xml:space="preserve"> </w:t>
      </w:r>
      <w:r w:rsidRPr="00A67569">
        <w:rPr>
          <w:i/>
          <w:iCs/>
        </w:rPr>
        <w:t>of</w:t>
      </w:r>
      <w:r w:rsidR="006C6F09">
        <w:rPr>
          <w:i/>
          <w:iCs/>
        </w:rPr>
        <w:t xml:space="preserve"> </w:t>
      </w:r>
      <w:r w:rsidRPr="00A67569">
        <w:rPr>
          <w:i/>
          <w:iCs/>
        </w:rPr>
        <w:t>Understanding</w:t>
      </w:r>
      <w:r w:rsidR="006C6F09">
        <w:rPr>
          <w:i/>
          <w:iCs/>
        </w:rPr>
        <w:t xml:space="preserve"> </w:t>
      </w:r>
      <w:r w:rsidRPr="00A67569">
        <w:rPr>
          <w:i/>
          <w:iCs/>
        </w:rPr>
        <w:t>dated</w:t>
      </w:r>
      <w:r w:rsidR="006C6F09">
        <w:rPr>
          <w:i/>
          <w:iCs/>
        </w:rPr>
        <w:t xml:space="preserve"> </w:t>
      </w:r>
      <w:r w:rsidRPr="00A67569">
        <w:rPr>
          <w:i/>
          <w:iCs/>
        </w:rPr>
        <w:t>July</w:t>
      </w:r>
      <w:r w:rsidR="006C6F09">
        <w:rPr>
          <w:i/>
          <w:iCs/>
        </w:rPr>
        <w:t xml:space="preserve"> </w:t>
      </w:r>
      <w:r w:rsidRPr="00A67569">
        <w:rPr>
          <w:i/>
          <w:iCs/>
        </w:rPr>
        <w:t>17,</w:t>
      </w:r>
      <w:r w:rsidR="006C6F09">
        <w:rPr>
          <w:i/>
          <w:iCs/>
        </w:rPr>
        <w:t xml:space="preserve"> </w:t>
      </w:r>
      <w:r w:rsidRPr="00A67569">
        <w:rPr>
          <w:i/>
          <w:iCs/>
        </w:rPr>
        <w:t>2025,</w:t>
      </w:r>
      <w:r w:rsidR="006C6F09">
        <w:rPr>
          <w:i/>
          <w:iCs/>
        </w:rPr>
        <w:t xml:space="preserve"> </w:t>
      </w:r>
      <w:r w:rsidRPr="00A67569">
        <w:rPr>
          <w:i/>
          <w:iCs/>
        </w:rPr>
        <w:t>and</w:t>
      </w:r>
      <w:r w:rsidR="006C6F09">
        <w:rPr>
          <w:i/>
          <w:iCs/>
        </w:rPr>
        <w:t xml:space="preserve"> </w:t>
      </w:r>
      <w:r w:rsidRPr="00A67569">
        <w:rPr>
          <w:i/>
          <w:iCs/>
        </w:rPr>
        <w:t>executed</w:t>
      </w:r>
      <w:r w:rsidR="006C6F09">
        <w:rPr>
          <w:i/>
          <w:iCs/>
        </w:rPr>
        <w:t xml:space="preserve"> </w:t>
      </w:r>
      <w:r w:rsidRPr="00A67569">
        <w:rPr>
          <w:i/>
          <w:iCs/>
        </w:rPr>
        <w:t>by</w:t>
      </w:r>
      <w:r w:rsidR="006C6F09">
        <w:rPr>
          <w:i/>
          <w:iCs/>
        </w:rPr>
        <w:t xml:space="preserve"> </w:t>
      </w:r>
      <w:r w:rsidRPr="00A67569">
        <w:rPr>
          <w:i/>
          <w:iCs/>
        </w:rPr>
        <w:t>FHWA</w:t>
      </w:r>
      <w:r w:rsidR="006C6F09">
        <w:rPr>
          <w:i/>
          <w:iCs/>
        </w:rPr>
        <w:t xml:space="preserve"> </w:t>
      </w:r>
      <w:r w:rsidRPr="00A67569">
        <w:rPr>
          <w:i/>
          <w:iCs/>
        </w:rPr>
        <w:t>and</w:t>
      </w:r>
      <w:r w:rsidR="006C6F09">
        <w:rPr>
          <w:i/>
          <w:iCs/>
        </w:rPr>
        <w:t xml:space="preserve"> </w:t>
      </w:r>
      <w:r w:rsidRPr="00A67569">
        <w:rPr>
          <w:i/>
          <w:iCs/>
        </w:rPr>
        <w:t>TxDOT.</w:t>
      </w:r>
      <w:r w:rsidR="006C6F09">
        <w:rPr>
          <w:i/>
          <w:iCs/>
        </w:rPr>
        <w:t xml:space="preserve"> </w:t>
      </w:r>
    </w:p>
    <w:p w14:paraId="56DD7AA4" w14:textId="2466178F" w:rsidR="00457754" w:rsidRDefault="00457754" w:rsidP="00457754">
      <w:pPr>
        <w:spacing w:after="0"/>
      </w:pPr>
      <w:r>
        <w:t>The</w:t>
      </w:r>
      <w:r w:rsidR="006C6F09">
        <w:t xml:space="preserve"> </w:t>
      </w:r>
      <w:r>
        <w:t>project</w:t>
      </w:r>
      <w:r w:rsidR="006C6F09">
        <w:t xml:space="preserve"> </w:t>
      </w:r>
      <w:r>
        <w:t>sponsor</w:t>
      </w:r>
      <w:r w:rsidR="006C6F09">
        <w:t xml:space="preserve"> </w:t>
      </w:r>
      <w:r>
        <w:t>always</w:t>
      </w:r>
      <w:r w:rsidR="006C6F09">
        <w:t xml:space="preserve"> </w:t>
      </w:r>
      <w:r>
        <w:t>publishes</w:t>
      </w:r>
      <w:r w:rsidR="006C6F09">
        <w:t xml:space="preserve"> </w:t>
      </w:r>
      <w:r>
        <w:t>the</w:t>
      </w:r>
      <w:r w:rsidR="006C6F09">
        <w:t xml:space="preserve"> </w:t>
      </w:r>
      <w:r>
        <w:t>NOA</w:t>
      </w:r>
      <w:r w:rsidR="006C6F09">
        <w:t xml:space="preserve"> </w:t>
      </w:r>
      <w:r>
        <w:t>on</w:t>
      </w:r>
      <w:r w:rsidR="006C6F09">
        <w:t xml:space="preserve"> </w:t>
      </w:r>
      <w:r>
        <w:t>the</w:t>
      </w:r>
      <w:r w:rsidR="006C6F09">
        <w:t xml:space="preserve"> </w:t>
      </w:r>
      <w:r>
        <w:t>“Hearings,</w:t>
      </w:r>
      <w:r w:rsidR="006C6F09">
        <w:t xml:space="preserve"> </w:t>
      </w:r>
      <w:r>
        <w:t>meetings</w:t>
      </w:r>
      <w:r w:rsidR="006C6F09">
        <w:t xml:space="preserve"> </w:t>
      </w:r>
      <w:r>
        <w:t>and</w:t>
      </w:r>
      <w:r w:rsidR="006C6F09">
        <w:t xml:space="preserve"> </w:t>
      </w:r>
      <w:r>
        <w:t>notices</w:t>
      </w:r>
      <w:r w:rsidR="006C6F09">
        <w:t xml:space="preserve"> </w:t>
      </w:r>
      <w:r>
        <w:t>schedule”</w:t>
      </w:r>
      <w:r w:rsidR="006C6F09">
        <w:t xml:space="preserve"> </w:t>
      </w:r>
      <w:r>
        <w:t>web</w:t>
      </w:r>
      <w:r w:rsidR="006C6F09">
        <w:t xml:space="preserve"> </w:t>
      </w:r>
      <w:r>
        <w:t>page</w:t>
      </w:r>
      <w:r w:rsidR="006C6F09">
        <w:t xml:space="preserve"> </w:t>
      </w:r>
      <w:r>
        <w:t>on</w:t>
      </w:r>
      <w:r w:rsidR="006C6F09">
        <w:t xml:space="preserve"> </w:t>
      </w:r>
      <w:r>
        <w:t>txdot.gov,</w:t>
      </w:r>
      <w:r w:rsidR="006C6F09">
        <w:t xml:space="preserve"> </w:t>
      </w:r>
      <w:r>
        <w:t>and</w:t>
      </w:r>
      <w:r w:rsidR="006C6F09">
        <w:t xml:space="preserve"> </w:t>
      </w:r>
      <w:r>
        <w:t>always</w:t>
      </w:r>
      <w:r w:rsidR="006C6F09">
        <w:t xml:space="preserve"> </w:t>
      </w:r>
      <w:r>
        <w:t>provides</w:t>
      </w:r>
      <w:r w:rsidR="006C6F09">
        <w:t xml:space="preserve"> </w:t>
      </w:r>
      <w:r>
        <w:t>copies</w:t>
      </w:r>
      <w:r w:rsidR="006C6F09">
        <w:t xml:space="preserve"> </w:t>
      </w:r>
      <w:r>
        <w:t>of</w:t>
      </w:r>
      <w:r w:rsidR="006C6F09">
        <w:t xml:space="preserve"> </w:t>
      </w:r>
      <w:r>
        <w:t>the</w:t>
      </w:r>
      <w:r w:rsidR="006C6F09">
        <w:t xml:space="preserve"> </w:t>
      </w:r>
      <w:r>
        <w:t>NOA</w:t>
      </w:r>
      <w:r w:rsidR="006C6F09">
        <w:t xml:space="preserve"> </w:t>
      </w:r>
      <w:r>
        <w:t>to</w:t>
      </w:r>
      <w:r w:rsidR="006C6F09">
        <w:t xml:space="preserve"> </w:t>
      </w:r>
      <w:r>
        <w:t>the</w:t>
      </w:r>
      <w:r w:rsidR="006C6F09">
        <w:t xml:space="preserve"> </w:t>
      </w:r>
      <w:r>
        <w:t>following</w:t>
      </w:r>
      <w:r w:rsidR="006C6F09">
        <w:t xml:space="preserve"> </w:t>
      </w:r>
      <w:r>
        <w:t>entities:</w:t>
      </w:r>
    </w:p>
    <w:p w14:paraId="09B6BAA0" w14:textId="35FD6388" w:rsidR="00457754" w:rsidRPr="000D7118" w:rsidRDefault="00457754" w:rsidP="00457754">
      <w:pPr>
        <w:pStyle w:val="ListBullet"/>
      </w:pPr>
      <w:r w:rsidRPr="000D7118">
        <w:t>the</w:t>
      </w:r>
      <w:r w:rsidR="006C6F09">
        <w:t xml:space="preserve"> </w:t>
      </w:r>
      <w:r w:rsidRPr="000D7118">
        <w:t>appropriate</w:t>
      </w:r>
      <w:r w:rsidR="006C6F09">
        <w:t xml:space="preserve"> </w:t>
      </w:r>
      <w:r w:rsidRPr="000D7118">
        <w:t>metropolitan</w:t>
      </w:r>
      <w:r w:rsidR="006C6F09">
        <w:t xml:space="preserve"> </w:t>
      </w:r>
      <w:r w:rsidRPr="000D7118">
        <w:t>planning</w:t>
      </w:r>
      <w:r w:rsidR="006C6F09">
        <w:t xml:space="preserve"> </w:t>
      </w:r>
      <w:proofErr w:type="gramStart"/>
      <w:r w:rsidRPr="000D7118">
        <w:t>organization;</w:t>
      </w:r>
      <w:proofErr w:type="gramEnd"/>
    </w:p>
    <w:p w14:paraId="422245D2" w14:textId="2C06F8A4" w:rsidR="00457754" w:rsidRPr="000D7118" w:rsidRDefault="00457754" w:rsidP="00457754">
      <w:pPr>
        <w:pStyle w:val="ListBullet"/>
      </w:pPr>
      <w:r w:rsidRPr="000D7118">
        <w:t>any</w:t>
      </w:r>
      <w:r w:rsidR="006C6F09">
        <w:t xml:space="preserve"> </w:t>
      </w:r>
      <w:r w:rsidRPr="000D7118">
        <w:t>other</w:t>
      </w:r>
      <w:r w:rsidR="006C6F09">
        <w:t xml:space="preserve"> </w:t>
      </w:r>
      <w:r w:rsidRPr="000D7118">
        <w:t>affected</w:t>
      </w:r>
      <w:r w:rsidR="006C6F09">
        <w:t xml:space="preserve"> </w:t>
      </w:r>
      <w:r w:rsidRPr="000D7118">
        <w:t>public</w:t>
      </w:r>
      <w:r w:rsidR="006C6F09">
        <w:t xml:space="preserve"> </w:t>
      </w:r>
      <w:r w:rsidRPr="000D7118">
        <w:t>officials</w:t>
      </w:r>
      <w:r w:rsidR="006C6F09">
        <w:t xml:space="preserve"> </w:t>
      </w:r>
      <w:r w:rsidRPr="000D7118">
        <w:t>or</w:t>
      </w:r>
      <w:r w:rsidR="006C6F09">
        <w:t xml:space="preserve"> </w:t>
      </w:r>
      <w:r w:rsidRPr="000D7118">
        <w:t>federal,</w:t>
      </w:r>
      <w:r w:rsidR="006C6F09">
        <w:t xml:space="preserve"> </w:t>
      </w:r>
      <w:r w:rsidRPr="000D7118">
        <w:t>state,</w:t>
      </w:r>
      <w:r w:rsidR="006C6F09">
        <w:t xml:space="preserve"> </w:t>
      </w:r>
      <w:r w:rsidRPr="000D7118">
        <w:t>or</w:t>
      </w:r>
      <w:r w:rsidR="006C6F09">
        <w:t xml:space="preserve"> </w:t>
      </w:r>
      <w:r w:rsidRPr="000D7118">
        <w:t>local</w:t>
      </w:r>
      <w:r w:rsidR="006C6F09">
        <w:t xml:space="preserve"> </w:t>
      </w:r>
      <w:r w:rsidRPr="000D7118">
        <w:t>agencies</w:t>
      </w:r>
      <w:r w:rsidR="006C6F09">
        <w:t xml:space="preserve"> </w:t>
      </w:r>
      <w:r w:rsidRPr="000D7118">
        <w:t>or</w:t>
      </w:r>
      <w:r w:rsidR="006C6F09">
        <w:t xml:space="preserve"> </w:t>
      </w:r>
      <w:proofErr w:type="gramStart"/>
      <w:r w:rsidRPr="000D7118">
        <w:t>tribes;</w:t>
      </w:r>
      <w:proofErr w:type="gramEnd"/>
    </w:p>
    <w:p w14:paraId="37DD5DE2" w14:textId="1C8BB719" w:rsidR="00457754" w:rsidRPr="000D7118" w:rsidRDefault="00457754" w:rsidP="00457754">
      <w:pPr>
        <w:pStyle w:val="ListBullet"/>
      </w:pPr>
      <w:r w:rsidRPr="000D7118">
        <w:t>any</w:t>
      </w:r>
      <w:r w:rsidR="006C6F09">
        <w:t xml:space="preserve"> </w:t>
      </w:r>
      <w:r w:rsidRPr="000D7118">
        <w:t>entities</w:t>
      </w:r>
      <w:r w:rsidR="006C6F09">
        <w:t xml:space="preserve"> </w:t>
      </w:r>
      <w:r w:rsidRPr="000D7118">
        <w:t>that</w:t>
      </w:r>
      <w:r w:rsidR="006C6F09">
        <w:t xml:space="preserve"> </w:t>
      </w:r>
      <w:r w:rsidRPr="000D7118">
        <w:t>requested</w:t>
      </w:r>
      <w:r w:rsidR="006C6F09">
        <w:t xml:space="preserve"> </w:t>
      </w:r>
      <w:r w:rsidRPr="000D7118">
        <w:t>in</w:t>
      </w:r>
      <w:r w:rsidR="006C6F09">
        <w:t xml:space="preserve"> </w:t>
      </w:r>
      <w:r w:rsidRPr="000D7118">
        <w:t>writing</w:t>
      </w:r>
      <w:r w:rsidR="006C6F09">
        <w:t xml:space="preserve"> </w:t>
      </w:r>
      <w:r w:rsidRPr="000D7118">
        <w:t>to</w:t>
      </w:r>
      <w:r w:rsidR="006C6F09">
        <w:t xml:space="preserve"> </w:t>
      </w:r>
      <w:r w:rsidRPr="000D7118">
        <w:t>receive</w:t>
      </w:r>
      <w:r w:rsidR="006C6F09">
        <w:t xml:space="preserve"> </w:t>
      </w:r>
      <w:r w:rsidRPr="000D7118">
        <w:t>notices</w:t>
      </w:r>
      <w:r w:rsidR="006C6F09">
        <w:t xml:space="preserve"> </w:t>
      </w:r>
      <w:r w:rsidRPr="000D7118">
        <w:t>regarding</w:t>
      </w:r>
      <w:r w:rsidR="006C6F09">
        <w:t xml:space="preserve"> </w:t>
      </w:r>
      <w:r w:rsidRPr="000D7118">
        <w:t>the</w:t>
      </w:r>
      <w:r w:rsidR="006C6F09">
        <w:t xml:space="preserve"> </w:t>
      </w:r>
      <w:r w:rsidRPr="000D7118">
        <w:t>environmental</w:t>
      </w:r>
      <w:r w:rsidR="006C6F09">
        <w:t xml:space="preserve"> </w:t>
      </w:r>
      <w:r w:rsidRPr="000D7118">
        <w:t>review</w:t>
      </w:r>
      <w:r w:rsidR="006C6F09">
        <w:t xml:space="preserve"> </w:t>
      </w:r>
      <w:r w:rsidRPr="000D7118">
        <w:t>of</w:t>
      </w:r>
      <w:r w:rsidR="006C6F09">
        <w:t xml:space="preserve"> </w:t>
      </w:r>
      <w:r w:rsidRPr="000D7118">
        <w:t>the</w:t>
      </w:r>
      <w:r w:rsidR="006C6F09">
        <w:t xml:space="preserve"> </w:t>
      </w:r>
      <w:r w:rsidRPr="000D7118">
        <w:t>project;</w:t>
      </w:r>
      <w:r w:rsidR="006C6F09">
        <w:t xml:space="preserve"> </w:t>
      </w:r>
      <w:r w:rsidRPr="000D7118">
        <w:t>and</w:t>
      </w:r>
    </w:p>
    <w:p w14:paraId="426783B7" w14:textId="180ADA7D" w:rsidR="00457754" w:rsidRPr="000D7118" w:rsidRDefault="00457754" w:rsidP="00457754">
      <w:pPr>
        <w:pStyle w:val="ListBullet"/>
      </w:pPr>
      <w:r w:rsidRPr="000D7118">
        <w:t>any</w:t>
      </w:r>
      <w:r w:rsidR="006C6F09">
        <w:t xml:space="preserve"> </w:t>
      </w:r>
      <w:r w:rsidRPr="000D7118">
        <w:t>other</w:t>
      </w:r>
      <w:r w:rsidR="006C6F09">
        <w:t xml:space="preserve"> </w:t>
      </w:r>
      <w:r w:rsidRPr="000D7118">
        <w:t>entities</w:t>
      </w:r>
      <w:r w:rsidR="006C6F09">
        <w:t xml:space="preserve"> </w:t>
      </w:r>
      <w:r w:rsidRPr="000D7118">
        <w:t>with</w:t>
      </w:r>
      <w:r w:rsidR="006C6F09">
        <w:t xml:space="preserve"> </w:t>
      </w:r>
      <w:r w:rsidRPr="000D7118">
        <w:t>which</w:t>
      </w:r>
      <w:r w:rsidR="006C6F09">
        <w:t xml:space="preserve"> </w:t>
      </w:r>
      <w:r w:rsidRPr="000D7118">
        <w:t>environmental</w:t>
      </w:r>
      <w:r w:rsidR="006C6F09">
        <w:t xml:space="preserve"> </w:t>
      </w:r>
      <w:r w:rsidRPr="000D7118">
        <w:t>review</w:t>
      </w:r>
      <w:r w:rsidR="006C6F09">
        <w:t xml:space="preserve"> </w:t>
      </w:r>
      <w:r w:rsidRPr="000D7118">
        <w:t>of</w:t>
      </w:r>
      <w:r w:rsidR="006C6F09">
        <w:t xml:space="preserve"> </w:t>
      </w:r>
      <w:r w:rsidRPr="000D7118">
        <w:t>the</w:t>
      </w:r>
      <w:r w:rsidR="006C6F09">
        <w:t xml:space="preserve"> </w:t>
      </w:r>
      <w:r w:rsidRPr="000D7118">
        <w:t>project</w:t>
      </w:r>
      <w:r w:rsidR="006C6F09">
        <w:t xml:space="preserve"> </w:t>
      </w:r>
      <w:r w:rsidRPr="000D7118">
        <w:t>is</w:t>
      </w:r>
      <w:r w:rsidR="006C6F09">
        <w:t xml:space="preserve"> </w:t>
      </w:r>
      <w:r w:rsidRPr="000D7118">
        <w:t>being</w:t>
      </w:r>
      <w:r w:rsidR="006C6F09">
        <w:t xml:space="preserve"> </w:t>
      </w:r>
      <w:r w:rsidRPr="000D7118">
        <w:t>coordinated,</w:t>
      </w:r>
      <w:r w:rsidR="006C6F09">
        <w:t xml:space="preserve"> </w:t>
      </w:r>
      <w:r w:rsidRPr="000D7118">
        <w:t>except</w:t>
      </w:r>
      <w:r w:rsidR="006C6F09">
        <w:t xml:space="preserve"> </w:t>
      </w:r>
      <w:r w:rsidRPr="000D7118">
        <w:t>that</w:t>
      </w:r>
      <w:r w:rsidR="006C6F09">
        <w:t xml:space="preserve"> </w:t>
      </w:r>
      <w:r w:rsidRPr="000D7118">
        <w:t>if</w:t>
      </w:r>
      <w:r w:rsidR="006C6F09">
        <w:t xml:space="preserve"> </w:t>
      </w:r>
      <w:r w:rsidRPr="000D7118">
        <w:t>the</w:t>
      </w:r>
      <w:r w:rsidR="006C6F09">
        <w:t xml:space="preserve"> </w:t>
      </w:r>
      <w:r w:rsidRPr="000D7118">
        <w:t>project</w:t>
      </w:r>
      <w:r w:rsidR="006C6F09">
        <w:t xml:space="preserve"> </w:t>
      </w:r>
      <w:r w:rsidRPr="000D7118">
        <w:t>is</w:t>
      </w:r>
      <w:r w:rsidR="006C6F09">
        <w:t xml:space="preserve"> </w:t>
      </w:r>
      <w:r w:rsidRPr="000D7118">
        <w:t>being</w:t>
      </w:r>
      <w:r w:rsidR="006C6F09">
        <w:t xml:space="preserve"> </w:t>
      </w:r>
      <w:r w:rsidRPr="000D7118">
        <w:t>coordinated</w:t>
      </w:r>
      <w:r w:rsidR="006C6F09">
        <w:t xml:space="preserve"> </w:t>
      </w:r>
      <w:r w:rsidRPr="000D7118">
        <w:t>under</w:t>
      </w:r>
      <w:r w:rsidR="006C6F09">
        <w:t xml:space="preserve"> </w:t>
      </w:r>
      <w:r w:rsidRPr="000D7118">
        <w:t>a</w:t>
      </w:r>
      <w:r w:rsidR="006C6F09">
        <w:t xml:space="preserve"> </w:t>
      </w:r>
      <w:r w:rsidRPr="000D7118">
        <w:t>memorandum</w:t>
      </w:r>
      <w:r w:rsidR="006C6F09">
        <w:t xml:space="preserve"> </w:t>
      </w:r>
      <w:r w:rsidRPr="000D7118">
        <w:t>of</w:t>
      </w:r>
      <w:r w:rsidR="006C6F09">
        <w:t xml:space="preserve"> </w:t>
      </w:r>
      <w:r w:rsidRPr="000D7118">
        <w:t>understanding,</w:t>
      </w:r>
      <w:r w:rsidR="006C6F09">
        <w:t xml:space="preserve"> </w:t>
      </w:r>
      <w:r w:rsidRPr="000D7118">
        <w:t>the</w:t>
      </w:r>
      <w:r w:rsidR="006C6F09">
        <w:t xml:space="preserve"> </w:t>
      </w:r>
      <w:r w:rsidRPr="000D7118">
        <w:t>terms</w:t>
      </w:r>
      <w:r w:rsidR="006C6F09">
        <w:t xml:space="preserve"> </w:t>
      </w:r>
      <w:r w:rsidRPr="000D7118">
        <w:t>of</w:t>
      </w:r>
      <w:r w:rsidR="006C6F09">
        <w:t xml:space="preserve"> </w:t>
      </w:r>
      <w:r w:rsidRPr="000D7118">
        <w:t>the</w:t>
      </w:r>
      <w:r w:rsidR="006C6F09">
        <w:t xml:space="preserve"> </w:t>
      </w:r>
      <w:r w:rsidRPr="000D7118">
        <w:t>memorandum</w:t>
      </w:r>
      <w:r w:rsidR="006C6F09">
        <w:t xml:space="preserve"> </w:t>
      </w:r>
      <w:r w:rsidRPr="000D7118">
        <w:t>of</w:t>
      </w:r>
      <w:r w:rsidR="006C6F09">
        <w:t xml:space="preserve"> </w:t>
      </w:r>
      <w:r w:rsidRPr="000D7118">
        <w:t>understanding</w:t>
      </w:r>
      <w:r w:rsidR="006C6F09">
        <w:t xml:space="preserve"> </w:t>
      </w:r>
      <w:r w:rsidRPr="000D7118">
        <w:t>govern</w:t>
      </w:r>
      <w:r w:rsidR="006C6F09">
        <w:t xml:space="preserve"> </w:t>
      </w:r>
      <w:r w:rsidRPr="000D7118">
        <w:t>the</w:t>
      </w:r>
      <w:r w:rsidR="006C6F09">
        <w:t xml:space="preserve"> </w:t>
      </w:r>
      <w:r w:rsidRPr="000D7118">
        <w:t>provision</w:t>
      </w:r>
      <w:r w:rsidR="006C6F09">
        <w:t xml:space="preserve"> </w:t>
      </w:r>
      <w:r w:rsidRPr="000D7118">
        <w:t>of</w:t>
      </w:r>
      <w:r w:rsidR="006C6F09">
        <w:t xml:space="preserve"> </w:t>
      </w:r>
      <w:r w:rsidRPr="000D7118">
        <w:t>notice</w:t>
      </w:r>
      <w:r w:rsidR="006C6F09">
        <w:t xml:space="preserve"> </w:t>
      </w:r>
      <w:r w:rsidRPr="000D7118">
        <w:t>rather</w:t>
      </w:r>
      <w:r w:rsidR="006C6F09">
        <w:t xml:space="preserve"> </w:t>
      </w:r>
      <w:r w:rsidRPr="000D7118">
        <w:t>than</w:t>
      </w:r>
      <w:r w:rsidR="006C6F09">
        <w:t xml:space="preserve"> </w:t>
      </w:r>
      <w:r w:rsidRPr="000D7118">
        <w:t>this</w:t>
      </w:r>
      <w:r w:rsidR="006C6F09">
        <w:t xml:space="preserve"> </w:t>
      </w:r>
      <w:r w:rsidRPr="000D7118">
        <w:t>subsection</w:t>
      </w:r>
      <w:r w:rsidR="006C6F09">
        <w:t xml:space="preserve"> </w:t>
      </w:r>
      <w:r w:rsidRPr="000D7118">
        <w:t>(in</w:t>
      </w:r>
      <w:r w:rsidR="006C6F09">
        <w:t xml:space="preserve"> </w:t>
      </w:r>
      <w:r w:rsidRPr="000D7118">
        <w:t>other</w:t>
      </w:r>
      <w:r w:rsidR="006C6F09">
        <w:t xml:space="preserve"> </w:t>
      </w:r>
      <w:r w:rsidRPr="000D7118">
        <w:t>words,</w:t>
      </w:r>
      <w:r w:rsidR="006C6F09">
        <w:t xml:space="preserve"> </w:t>
      </w:r>
      <w:r w:rsidRPr="000D7118">
        <w:t>for</w:t>
      </w:r>
      <w:r w:rsidR="006C6F09">
        <w:t xml:space="preserve"> </w:t>
      </w:r>
      <w:r w:rsidRPr="000D7118">
        <w:t>a</w:t>
      </w:r>
      <w:r w:rsidR="006C6F09">
        <w:t xml:space="preserve"> </w:t>
      </w:r>
      <w:r w:rsidRPr="000D7118">
        <w:t>final</w:t>
      </w:r>
      <w:r w:rsidR="006C6F09">
        <w:t xml:space="preserve"> </w:t>
      </w:r>
      <w:r w:rsidRPr="000D7118">
        <w:t>EA,</w:t>
      </w:r>
      <w:r w:rsidR="006C6F09">
        <w:t xml:space="preserve"> </w:t>
      </w:r>
      <w:r w:rsidRPr="000D7118">
        <w:t>FONSI,</w:t>
      </w:r>
      <w:r w:rsidR="006C6F09">
        <w:t xml:space="preserve"> </w:t>
      </w:r>
      <w:r w:rsidRPr="000D7118">
        <w:t>or</w:t>
      </w:r>
      <w:r w:rsidR="006C6F09">
        <w:t xml:space="preserve"> </w:t>
      </w:r>
      <w:r w:rsidRPr="000D7118">
        <w:t>FEIS</w:t>
      </w:r>
      <w:r w:rsidR="006C6F09">
        <w:t xml:space="preserve"> </w:t>
      </w:r>
      <w:r>
        <w:t>or</w:t>
      </w:r>
      <w:r w:rsidR="006C6F09">
        <w:t xml:space="preserve"> </w:t>
      </w:r>
      <w:r w:rsidRPr="000D7118">
        <w:t>ROD,</w:t>
      </w:r>
      <w:r w:rsidR="006C6F09">
        <w:t xml:space="preserve"> </w:t>
      </w:r>
      <w:r w:rsidRPr="000D7118">
        <w:t>there’s</w:t>
      </w:r>
      <w:r w:rsidR="006C6F09">
        <w:t xml:space="preserve"> </w:t>
      </w:r>
      <w:r w:rsidRPr="000D7118">
        <w:t>no</w:t>
      </w:r>
      <w:r w:rsidR="006C6F09">
        <w:t xml:space="preserve"> </w:t>
      </w:r>
      <w:r w:rsidRPr="000D7118">
        <w:t>requirement</w:t>
      </w:r>
      <w:r w:rsidR="006C6F09">
        <w:t xml:space="preserve"> </w:t>
      </w:r>
      <w:r w:rsidRPr="000D7118">
        <w:t>to</w:t>
      </w:r>
      <w:r w:rsidR="006C6F09">
        <w:t xml:space="preserve"> </w:t>
      </w:r>
      <w:r w:rsidRPr="000D7118">
        <w:t>send</w:t>
      </w:r>
      <w:r w:rsidR="006C6F09">
        <w:t xml:space="preserve"> </w:t>
      </w:r>
      <w:r w:rsidRPr="000D7118">
        <w:t>the</w:t>
      </w:r>
      <w:r w:rsidR="006C6F09">
        <w:t xml:space="preserve"> </w:t>
      </w:r>
      <w:r w:rsidRPr="000D7118">
        <w:t>notice</w:t>
      </w:r>
      <w:r w:rsidR="006C6F09">
        <w:t xml:space="preserve"> </w:t>
      </w:r>
      <w:r w:rsidRPr="000D7118">
        <w:t>to</w:t>
      </w:r>
      <w:r w:rsidR="006C6F09">
        <w:t xml:space="preserve"> </w:t>
      </w:r>
      <w:r w:rsidRPr="000D7118">
        <w:t>Texas</w:t>
      </w:r>
      <w:r w:rsidR="006C6F09">
        <w:t xml:space="preserve"> </w:t>
      </w:r>
      <w:r w:rsidRPr="000D7118">
        <w:t>Commission</w:t>
      </w:r>
      <w:r w:rsidR="006C6F09">
        <w:t xml:space="preserve"> </w:t>
      </w:r>
      <w:r w:rsidRPr="000D7118">
        <w:t>on</w:t>
      </w:r>
      <w:r w:rsidR="006C6F09">
        <w:t xml:space="preserve"> </w:t>
      </w:r>
      <w:r w:rsidRPr="000D7118">
        <w:t>Environmental</w:t>
      </w:r>
      <w:r w:rsidR="006C6F09">
        <w:t xml:space="preserve"> </w:t>
      </w:r>
      <w:r w:rsidRPr="000D7118">
        <w:t>Quality</w:t>
      </w:r>
      <w:r w:rsidR="006C6F09">
        <w:t xml:space="preserve"> </w:t>
      </w:r>
      <w:r w:rsidRPr="000D7118">
        <w:t>(TCEQ),</w:t>
      </w:r>
      <w:r w:rsidR="006C6F09">
        <w:t xml:space="preserve"> </w:t>
      </w:r>
      <w:r w:rsidRPr="000D7118">
        <w:t>Texas</w:t>
      </w:r>
      <w:r w:rsidR="006C6F09">
        <w:t xml:space="preserve"> </w:t>
      </w:r>
      <w:r w:rsidRPr="000D7118">
        <w:t>Historical</w:t>
      </w:r>
      <w:r w:rsidR="006C6F09">
        <w:t xml:space="preserve"> </w:t>
      </w:r>
      <w:r w:rsidRPr="000D7118">
        <w:t>Commission</w:t>
      </w:r>
      <w:r w:rsidR="006C6F09">
        <w:t xml:space="preserve"> </w:t>
      </w:r>
      <w:r w:rsidRPr="000D7118">
        <w:t>(THC),</w:t>
      </w:r>
      <w:r w:rsidR="006C6F09">
        <w:t xml:space="preserve"> </w:t>
      </w:r>
      <w:r w:rsidRPr="000D7118">
        <w:t>or</w:t>
      </w:r>
      <w:r w:rsidR="006C6F09">
        <w:t xml:space="preserve"> </w:t>
      </w:r>
      <w:r w:rsidRPr="000D7118">
        <w:t>Texas</w:t>
      </w:r>
      <w:r w:rsidR="006C6F09">
        <w:t xml:space="preserve"> </w:t>
      </w:r>
      <w:r w:rsidRPr="000D7118">
        <w:t>Parks</w:t>
      </w:r>
      <w:r w:rsidR="006C6F09">
        <w:t xml:space="preserve"> </w:t>
      </w:r>
      <w:r w:rsidRPr="000D7118">
        <w:t>and</w:t>
      </w:r>
      <w:r w:rsidR="006C6F09">
        <w:t xml:space="preserve"> </w:t>
      </w:r>
      <w:r w:rsidRPr="000D7118">
        <w:t>Wildlife</w:t>
      </w:r>
      <w:r w:rsidR="006C6F09">
        <w:t xml:space="preserve"> </w:t>
      </w:r>
      <w:r w:rsidRPr="000D7118">
        <w:t>Department</w:t>
      </w:r>
      <w:r w:rsidR="006C6F09">
        <w:t xml:space="preserve"> </w:t>
      </w:r>
      <w:r w:rsidRPr="000D7118">
        <w:t>(TPWD).</w:t>
      </w:r>
    </w:p>
    <w:p w14:paraId="1834CA71" w14:textId="3652750F" w:rsidR="00457754" w:rsidRPr="00A67569" w:rsidRDefault="00457754" w:rsidP="00457754">
      <w:r>
        <w:t>The</w:t>
      </w:r>
      <w:r w:rsidR="006C6F09">
        <w:t xml:space="preserve"> </w:t>
      </w:r>
      <w:r>
        <w:t>copy</w:t>
      </w:r>
      <w:r w:rsidR="006C6F09">
        <w:t xml:space="preserve"> </w:t>
      </w:r>
      <w:r>
        <w:t>of</w:t>
      </w:r>
      <w:r w:rsidR="006C6F09">
        <w:t xml:space="preserve"> </w:t>
      </w:r>
      <w:r>
        <w:t>the</w:t>
      </w:r>
      <w:r w:rsidR="006C6F09">
        <w:t xml:space="preserve"> </w:t>
      </w:r>
      <w:r>
        <w:t>notice</w:t>
      </w:r>
      <w:r w:rsidR="006C6F09">
        <w:t xml:space="preserve"> </w:t>
      </w:r>
      <w:r>
        <w:t>with</w:t>
      </w:r>
      <w:r w:rsidR="006C6F09">
        <w:t xml:space="preserve"> </w:t>
      </w:r>
      <w:r>
        <w:t>instructions</w:t>
      </w:r>
      <w:r w:rsidR="006C6F09">
        <w:t xml:space="preserve"> </w:t>
      </w:r>
      <w:r>
        <w:t>on</w:t>
      </w:r>
      <w:r w:rsidR="006C6F09">
        <w:t xml:space="preserve"> </w:t>
      </w:r>
      <w:r>
        <w:t>how</w:t>
      </w:r>
      <w:r w:rsidR="006C6F09">
        <w:t xml:space="preserve"> </w:t>
      </w:r>
      <w:r>
        <w:t>to</w:t>
      </w:r>
      <w:r w:rsidR="006C6F09">
        <w:t xml:space="preserve"> </w:t>
      </w:r>
      <w:r>
        <w:t>access</w:t>
      </w:r>
      <w:r w:rsidR="006C6F09">
        <w:t xml:space="preserve"> </w:t>
      </w:r>
      <w:r>
        <w:t>the</w:t>
      </w:r>
      <w:r w:rsidR="006C6F09">
        <w:t xml:space="preserve"> </w:t>
      </w:r>
      <w:r>
        <w:t>document</w:t>
      </w:r>
      <w:r w:rsidR="006C6F09">
        <w:t xml:space="preserve"> </w:t>
      </w:r>
      <w:r>
        <w:t>electronically</w:t>
      </w:r>
      <w:r w:rsidR="006C6F09">
        <w:t xml:space="preserve"> </w:t>
      </w:r>
      <w:r>
        <w:t>or</w:t>
      </w:r>
      <w:r w:rsidR="006C6F09">
        <w:t xml:space="preserve"> </w:t>
      </w:r>
      <w:r>
        <w:t>request</w:t>
      </w:r>
      <w:r w:rsidR="006C6F09">
        <w:t xml:space="preserve"> </w:t>
      </w:r>
      <w:r>
        <w:t>a</w:t>
      </w:r>
      <w:r w:rsidR="006C6F09">
        <w:t xml:space="preserve"> </w:t>
      </w:r>
      <w:r>
        <w:t>hard</w:t>
      </w:r>
      <w:r w:rsidR="006C6F09">
        <w:t xml:space="preserve"> </w:t>
      </w:r>
      <w:r>
        <w:t>copy</w:t>
      </w:r>
      <w:r w:rsidR="006C6F09">
        <w:t xml:space="preserve"> </w:t>
      </w:r>
      <w:r>
        <w:t>of</w:t>
      </w:r>
      <w:r w:rsidR="006C6F09">
        <w:t xml:space="preserve"> </w:t>
      </w:r>
      <w:r>
        <w:t>the</w:t>
      </w:r>
      <w:r w:rsidR="006C6F09">
        <w:t xml:space="preserve"> </w:t>
      </w:r>
      <w:r>
        <w:t>document</w:t>
      </w:r>
      <w:r w:rsidR="006C6F09">
        <w:t xml:space="preserve"> </w:t>
      </w:r>
      <w:r>
        <w:t>may</w:t>
      </w:r>
      <w:r w:rsidR="006C6F09">
        <w:t xml:space="preserve"> </w:t>
      </w:r>
      <w:r>
        <w:t>be</w:t>
      </w:r>
      <w:r w:rsidR="006C6F09">
        <w:t xml:space="preserve"> </w:t>
      </w:r>
      <w:r>
        <w:t>provided</w:t>
      </w:r>
      <w:r w:rsidR="006C6F09">
        <w:t xml:space="preserve"> </w:t>
      </w:r>
      <w:r>
        <w:t>by</w:t>
      </w:r>
      <w:r w:rsidR="006C6F09">
        <w:t xml:space="preserve"> </w:t>
      </w:r>
      <w:r>
        <w:t>email</w:t>
      </w:r>
      <w:r w:rsidR="006C6F09">
        <w:t xml:space="preserve"> </w:t>
      </w:r>
      <w:r>
        <w:t>or</w:t>
      </w:r>
      <w:r w:rsidR="006C6F09">
        <w:t xml:space="preserve"> </w:t>
      </w:r>
      <w:r>
        <w:t>U.S.</w:t>
      </w:r>
      <w:r w:rsidR="006C6F09">
        <w:t xml:space="preserve"> </w:t>
      </w:r>
      <w:r>
        <w:t>Mail.</w:t>
      </w:r>
      <w:r w:rsidR="006C6F09">
        <w:t xml:space="preserve"> </w:t>
      </w:r>
      <w:r>
        <w:t>Mailing</w:t>
      </w:r>
      <w:r w:rsidR="006C6F09">
        <w:t xml:space="preserve"> </w:t>
      </w:r>
      <w:r>
        <w:t>the</w:t>
      </w:r>
      <w:r w:rsidR="006C6F09">
        <w:t xml:space="preserve"> </w:t>
      </w:r>
      <w:r>
        <w:t>notice</w:t>
      </w:r>
      <w:r w:rsidR="006C6F09">
        <w:t xml:space="preserve"> </w:t>
      </w:r>
      <w:r>
        <w:t>to</w:t>
      </w:r>
      <w:r w:rsidR="006C6F09">
        <w:t xml:space="preserve"> </w:t>
      </w:r>
      <w:r>
        <w:t>the</w:t>
      </w:r>
      <w:r w:rsidR="006C6F09">
        <w:t xml:space="preserve"> </w:t>
      </w:r>
      <w:r>
        <w:t>address</w:t>
      </w:r>
      <w:r w:rsidR="006C6F09">
        <w:t xml:space="preserve"> </w:t>
      </w:r>
      <w:r>
        <w:t>listed</w:t>
      </w:r>
      <w:r w:rsidR="006C6F09">
        <w:t xml:space="preserve"> </w:t>
      </w:r>
      <w:r>
        <w:t>for</w:t>
      </w:r>
      <w:r w:rsidR="006C6F09">
        <w:t xml:space="preserve"> </w:t>
      </w:r>
      <w:r>
        <w:t>the</w:t>
      </w:r>
      <w:r w:rsidR="006C6F09">
        <w:t xml:space="preserve"> </w:t>
      </w:r>
      <w:r>
        <w:t>property</w:t>
      </w:r>
      <w:r w:rsidR="006C6F09">
        <w:t xml:space="preserve"> </w:t>
      </w:r>
      <w:r>
        <w:t>owner</w:t>
      </w:r>
      <w:r w:rsidR="006C6F09">
        <w:t xml:space="preserve"> </w:t>
      </w:r>
      <w:r>
        <w:t>in</w:t>
      </w:r>
      <w:r w:rsidR="006C6F09">
        <w:t xml:space="preserve"> </w:t>
      </w:r>
      <w:r>
        <w:t>county</w:t>
      </w:r>
      <w:r w:rsidR="006C6F09">
        <w:t xml:space="preserve"> </w:t>
      </w:r>
      <w:r>
        <w:t>or</w:t>
      </w:r>
      <w:r w:rsidR="006C6F09">
        <w:t xml:space="preserve"> </w:t>
      </w:r>
      <w:r>
        <w:t>city</w:t>
      </w:r>
      <w:r w:rsidR="006C6F09">
        <w:t xml:space="preserve"> </w:t>
      </w:r>
      <w:r>
        <w:t>records</w:t>
      </w:r>
      <w:r w:rsidR="006C6F09">
        <w:t xml:space="preserve"> </w:t>
      </w:r>
      <w:r>
        <w:t>is</w:t>
      </w:r>
      <w:r w:rsidR="006C6F09">
        <w:t xml:space="preserve"> </w:t>
      </w:r>
      <w:r>
        <w:t>sufficient.</w:t>
      </w:r>
      <w:r w:rsidR="006C6F09">
        <w:t xml:space="preserve"> </w:t>
      </w:r>
      <w:r>
        <w:t>If</w:t>
      </w:r>
      <w:r w:rsidR="006C6F09">
        <w:t xml:space="preserve"> </w:t>
      </w:r>
      <w:r>
        <w:t>email</w:t>
      </w:r>
      <w:r w:rsidR="006C6F09">
        <w:t xml:space="preserve"> </w:t>
      </w:r>
      <w:r>
        <w:t>is</w:t>
      </w:r>
      <w:r w:rsidR="006C6F09">
        <w:t xml:space="preserve"> </w:t>
      </w:r>
      <w:r>
        <w:t>used,</w:t>
      </w:r>
      <w:r w:rsidR="006C6F09">
        <w:t xml:space="preserve"> </w:t>
      </w:r>
      <w:r>
        <w:t>make</w:t>
      </w:r>
      <w:r w:rsidR="006C6F09">
        <w:t xml:space="preserve"> </w:t>
      </w:r>
      <w:r>
        <w:t>sure</w:t>
      </w:r>
      <w:r w:rsidR="006C6F09">
        <w:t xml:space="preserve"> </w:t>
      </w:r>
      <w:r>
        <w:t>that</w:t>
      </w:r>
      <w:r w:rsidR="006C6F09">
        <w:t xml:space="preserve"> </w:t>
      </w:r>
      <w:r>
        <w:t>recipients</w:t>
      </w:r>
      <w:r w:rsidR="006C6F09">
        <w:t xml:space="preserve"> </w:t>
      </w:r>
      <w:r>
        <w:t>cannot</w:t>
      </w:r>
      <w:r w:rsidR="006C6F09">
        <w:t xml:space="preserve"> </w:t>
      </w:r>
      <w:r>
        <w:t>view</w:t>
      </w:r>
      <w:r w:rsidR="006C6F09">
        <w:t xml:space="preserve"> </w:t>
      </w:r>
      <w:r>
        <w:t>other</w:t>
      </w:r>
      <w:r w:rsidR="006C6F09">
        <w:t xml:space="preserve"> </w:t>
      </w:r>
      <w:r>
        <w:t>recipients’</w:t>
      </w:r>
      <w:r w:rsidR="006C6F09">
        <w:t xml:space="preserve"> </w:t>
      </w:r>
      <w:r>
        <w:t>email</w:t>
      </w:r>
      <w:r w:rsidR="006C6F09">
        <w:t xml:space="preserve"> </w:t>
      </w:r>
      <w:r>
        <w:t>addresses,</w:t>
      </w:r>
      <w:r w:rsidR="006C6F09">
        <w:t xml:space="preserve"> </w:t>
      </w:r>
      <w:r>
        <w:t>as</w:t>
      </w:r>
      <w:r w:rsidR="006C6F09">
        <w:t xml:space="preserve"> </w:t>
      </w:r>
      <w:r>
        <w:t>email</w:t>
      </w:r>
      <w:r w:rsidR="006C6F09">
        <w:t xml:space="preserve"> </w:t>
      </w:r>
      <w:r>
        <w:t>addresses</w:t>
      </w:r>
      <w:r w:rsidR="006C6F09">
        <w:t xml:space="preserve"> </w:t>
      </w:r>
      <w:r>
        <w:t>of</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must</w:t>
      </w:r>
      <w:r w:rsidR="006C6F09">
        <w:t xml:space="preserve"> </w:t>
      </w:r>
      <w:r>
        <w:t>be</w:t>
      </w:r>
      <w:r w:rsidR="006C6F09">
        <w:t xml:space="preserve"> </w:t>
      </w:r>
      <w:r>
        <w:t>withheld</w:t>
      </w:r>
      <w:r w:rsidR="006C6F09">
        <w:t xml:space="preserve"> </w:t>
      </w:r>
      <w:r>
        <w:t>from</w:t>
      </w:r>
      <w:r w:rsidR="006C6F09">
        <w:t xml:space="preserve"> </w:t>
      </w:r>
      <w:r>
        <w:t>public</w:t>
      </w:r>
      <w:r w:rsidR="006C6F09">
        <w:t xml:space="preserve"> </w:t>
      </w:r>
      <w:r>
        <w:t>disclosure</w:t>
      </w:r>
      <w:r w:rsidR="006C6F09">
        <w:t xml:space="preserve"> </w:t>
      </w:r>
      <w:r>
        <w:t>in</w:t>
      </w:r>
      <w:r w:rsidR="006C6F09">
        <w:t xml:space="preserve"> </w:t>
      </w:r>
      <w:r>
        <w:t>accordance</w:t>
      </w:r>
      <w:r w:rsidR="006C6F09">
        <w:t xml:space="preserve"> </w:t>
      </w:r>
      <w:r>
        <w:t>with</w:t>
      </w:r>
      <w:r w:rsidR="006C6F09">
        <w:t xml:space="preserve"> </w:t>
      </w:r>
      <w:hyperlink r:id="rId65" w:history="1">
        <w:r w:rsidRPr="00A67569">
          <w:rPr>
            <w:rStyle w:val="Hyperlink"/>
          </w:rPr>
          <w:t>Texas</w:t>
        </w:r>
        <w:r w:rsidR="006C6F09">
          <w:rPr>
            <w:rStyle w:val="Hyperlink"/>
          </w:rPr>
          <w:t xml:space="preserve"> </w:t>
        </w:r>
        <w:r w:rsidRPr="00A67569">
          <w:rPr>
            <w:rStyle w:val="Hyperlink"/>
          </w:rPr>
          <w:t>Government</w:t>
        </w:r>
        <w:r w:rsidR="006C6F09">
          <w:rPr>
            <w:rStyle w:val="Hyperlink"/>
          </w:rPr>
          <w:t xml:space="preserve"> </w:t>
        </w:r>
        <w:r w:rsidRPr="00A67569">
          <w:rPr>
            <w:rStyle w:val="Hyperlink"/>
          </w:rPr>
          <w:t>Code</w:t>
        </w:r>
        <w:r w:rsidR="006C6F09">
          <w:rPr>
            <w:rStyle w:val="Hyperlink"/>
          </w:rPr>
          <w:t xml:space="preserve"> </w:t>
        </w:r>
        <w:r w:rsidRPr="00A67569">
          <w:rPr>
            <w:rStyle w:val="Hyperlink"/>
          </w:rPr>
          <w:t>552.137(a)</w:t>
        </w:r>
      </w:hyperlink>
      <w:r w:rsidRPr="00A67569">
        <w:t>.</w:t>
      </w:r>
      <w:r w:rsidR="00135456">
        <w:t xml:space="preserve"> </w:t>
      </w:r>
      <w:r>
        <w:t>As</w:t>
      </w:r>
      <w:r w:rsidR="006C6F09">
        <w:t xml:space="preserve"> </w:t>
      </w:r>
      <w:r>
        <w:t>discussed</w:t>
      </w:r>
      <w:r w:rsidR="006C6F09">
        <w:t xml:space="preserve"> </w:t>
      </w:r>
      <w:r>
        <w:t>below,</w:t>
      </w:r>
      <w:r w:rsidR="006C6F09">
        <w:t xml:space="preserve"> </w:t>
      </w:r>
      <w:r>
        <w:t>there</w:t>
      </w:r>
      <w:r w:rsidR="006C6F09">
        <w:t xml:space="preserve"> </w:t>
      </w:r>
      <w:r>
        <w:t>are</w:t>
      </w:r>
      <w:r w:rsidR="006C6F09">
        <w:t xml:space="preserve"> </w:t>
      </w:r>
      <w:r>
        <w:t>additional</w:t>
      </w:r>
      <w:r w:rsidR="006C6F09">
        <w:t xml:space="preserve"> </w:t>
      </w:r>
      <w:r>
        <w:t>distribution</w:t>
      </w:r>
      <w:r w:rsidR="006C6F09">
        <w:t xml:space="preserve"> </w:t>
      </w:r>
      <w:r>
        <w:t>or</w:t>
      </w:r>
      <w:r w:rsidR="006C6F09">
        <w:t xml:space="preserve"> </w:t>
      </w:r>
      <w:r>
        <w:t>publication</w:t>
      </w:r>
      <w:r w:rsidR="006C6F09">
        <w:t xml:space="preserve"> </w:t>
      </w:r>
      <w:r>
        <w:t>requirements</w:t>
      </w:r>
      <w:r w:rsidR="006C6F09">
        <w:t xml:space="preserve"> </w:t>
      </w:r>
      <w:r>
        <w:t>for</w:t>
      </w:r>
      <w:r w:rsidR="006C6F09">
        <w:t xml:space="preserve"> </w:t>
      </w:r>
      <w:r>
        <w:t>some</w:t>
      </w:r>
      <w:r w:rsidR="006C6F09">
        <w:t xml:space="preserve"> </w:t>
      </w:r>
      <w:r>
        <w:t>types</w:t>
      </w:r>
      <w:r w:rsidR="006C6F09">
        <w:t xml:space="preserve"> </w:t>
      </w:r>
      <w:r>
        <w:t>of</w:t>
      </w:r>
      <w:r w:rsidR="006C6F09">
        <w:t xml:space="preserve"> </w:t>
      </w:r>
      <w:r>
        <w:t>NOAs.</w:t>
      </w:r>
    </w:p>
    <w:p w14:paraId="3C47050D" w14:textId="7806E164" w:rsidR="00457754" w:rsidRPr="00786382" w:rsidRDefault="00457754" w:rsidP="00457754">
      <w:pPr>
        <w:pStyle w:val="Heading3"/>
      </w:pPr>
      <w:bookmarkStart w:id="85" w:name="_Ref219791702"/>
      <w:bookmarkStart w:id="86" w:name="_Toc224026226"/>
      <w:r w:rsidRPr="00786382">
        <w:lastRenderedPageBreak/>
        <w:t>9.1</w:t>
      </w:r>
      <w:r w:rsidR="006C6F09" w:rsidRPr="00786382">
        <w:t xml:space="preserve"> </w:t>
      </w:r>
      <w:r w:rsidRPr="00786382">
        <w:t>Draft</w:t>
      </w:r>
      <w:r w:rsidR="006C6F09" w:rsidRPr="00786382">
        <w:t xml:space="preserve"> </w:t>
      </w:r>
      <w:r w:rsidRPr="00786382">
        <w:t>Environmental</w:t>
      </w:r>
      <w:r w:rsidR="006C6F09" w:rsidRPr="00786382">
        <w:t xml:space="preserve"> </w:t>
      </w:r>
      <w:r w:rsidRPr="00786382">
        <w:t>Assessment</w:t>
      </w:r>
      <w:r w:rsidR="006C6F09" w:rsidRPr="00786382">
        <w:t xml:space="preserve"> </w:t>
      </w:r>
      <w:r w:rsidRPr="00786382">
        <w:t>(EA)</w:t>
      </w:r>
      <w:bookmarkEnd w:id="85"/>
      <w:bookmarkEnd w:id="86"/>
      <w:r w:rsidR="006C6F09" w:rsidRPr="00786382">
        <w:t xml:space="preserve"> </w:t>
      </w:r>
    </w:p>
    <w:p w14:paraId="0B999FD0" w14:textId="5945D4C7" w:rsidR="00457754" w:rsidRDefault="00457754" w:rsidP="00457754">
      <w:r>
        <w:t>The</w:t>
      </w:r>
      <w:r w:rsidR="006C6F09">
        <w:t xml:space="preserve"> </w:t>
      </w:r>
      <w:r>
        <w:t>NOA</w:t>
      </w:r>
      <w:r w:rsidR="006C6F09">
        <w:t xml:space="preserve"> </w:t>
      </w:r>
      <w:r>
        <w:t>for</w:t>
      </w:r>
      <w:r w:rsidR="006C6F09">
        <w:t xml:space="preserve"> </w:t>
      </w:r>
      <w:r>
        <w:t>a</w:t>
      </w:r>
      <w:r w:rsidR="006C6F09">
        <w:t xml:space="preserve"> </w:t>
      </w:r>
      <w:r>
        <w:t>draft</w:t>
      </w:r>
      <w:r w:rsidR="006C6F09">
        <w:t xml:space="preserve"> </w:t>
      </w:r>
      <w:r>
        <w:t>EA</w:t>
      </w:r>
      <w:r w:rsidR="006C6F09">
        <w:t xml:space="preserve"> </w:t>
      </w:r>
      <w:r>
        <w:t>is</w:t>
      </w:r>
      <w:r w:rsidR="006C6F09">
        <w:t xml:space="preserve"> </w:t>
      </w:r>
      <w:r>
        <w:t>combined</w:t>
      </w:r>
      <w:r w:rsidR="006C6F09">
        <w:t xml:space="preserve"> </w:t>
      </w:r>
      <w:r>
        <w:t>with</w:t>
      </w:r>
      <w:r w:rsidR="006C6F09">
        <w:t xml:space="preserve"> </w:t>
      </w:r>
      <w:r>
        <w:t>a</w:t>
      </w:r>
      <w:r w:rsidR="006C6F09">
        <w:t xml:space="preserve"> </w:t>
      </w:r>
      <w:r>
        <w:t>notice</w:t>
      </w:r>
      <w:r w:rsidR="006C6F09">
        <w:t xml:space="preserve"> </w:t>
      </w:r>
      <w:r>
        <w:t>of</w:t>
      </w:r>
      <w:r w:rsidR="006C6F09">
        <w:t xml:space="preserve"> </w:t>
      </w:r>
      <w:r>
        <w:t>public</w:t>
      </w:r>
      <w:r w:rsidR="006C6F09">
        <w:t xml:space="preserve"> </w:t>
      </w:r>
      <w:r>
        <w:t>hearing</w:t>
      </w:r>
      <w:r w:rsidR="006C6F09">
        <w:t xml:space="preserve"> </w:t>
      </w:r>
      <w:r>
        <w:t>or</w:t>
      </w:r>
      <w:r w:rsidR="006C6F09">
        <w:t xml:space="preserve"> </w:t>
      </w:r>
      <w:r>
        <w:t>an</w:t>
      </w:r>
      <w:r w:rsidR="006C6F09">
        <w:t xml:space="preserve"> </w:t>
      </w:r>
      <w:r>
        <w:t>NAOPH.</w:t>
      </w:r>
      <w:r w:rsidR="006C6F09">
        <w:t xml:space="preserve"> </w:t>
      </w:r>
      <w:r>
        <w:t>See</w:t>
      </w:r>
      <w:r w:rsidR="006C6F09">
        <w:t xml:space="preserve"> </w:t>
      </w:r>
      <w:r>
        <w:t>ENV’s</w:t>
      </w:r>
      <w:r w:rsidR="006C6F09">
        <w:t xml:space="preserve"> </w:t>
      </w:r>
      <w:r>
        <w:t>Template:</w:t>
      </w:r>
      <w:r w:rsidR="006C6F09">
        <w:t xml:space="preserve"> </w:t>
      </w:r>
      <w:r>
        <w:t>Draft</w:t>
      </w:r>
      <w:r w:rsidR="006C6F09">
        <w:t xml:space="preserve"> </w:t>
      </w:r>
      <w:r>
        <w:t>EA</w:t>
      </w:r>
      <w:r w:rsidR="006C6F09">
        <w:t xml:space="preserve"> </w:t>
      </w:r>
      <w:r>
        <w:t>Notice</w:t>
      </w:r>
      <w:r w:rsidR="006C6F09">
        <w:t xml:space="preserve"> </w:t>
      </w:r>
      <w:r>
        <w:t>of</w:t>
      </w:r>
      <w:r w:rsidR="006C6F09">
        <w:t xml:space="preserve"> </w:t>
      </w:r>
      <w:r>
        <w:t>Availability</w:t>
      </w:r>
      <w:r w:rsidR="006C6F09">
        <w:t xml:space="preserve"> </w:t>
      </w:r>
      <w:r>
        <w:t>and</w:t>
      </w:r>
      <w:r w:rsidR="006C6F09">
        <w:t xml:space="preserve"> </w:t>
      </w:r>
      <w:r>
        <w:t>Opportunity</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and</w:t>
      </w:r>
      <w:r w:rsidR="006C6F09">
        <w:t xml:space="preserve"> </w:t>
      </w:r>
      <w:r>
        <w:t>Template:</w:t>
      </w:r>
      <w:r w:rsidR="006C6F09">
        <w:t xml:space="preserve"> </w:t>
      </w:r>
      <w:r>
        <w:t>Draft</w:t>
      </w:r>
      <w:r w:rsidR="006C6F09">
        <w:t xml:space="preserve"> </w:t>
      </w:r>
      <w:r>
        <w:t>EA</w:t>
      </w:r>
      <w:r w:rsidR="006C6F09">
        <w:t xml:space="preserve"> </w:t>
      </w:r>
      <w:r>
        <w:t>Notice</w:t>
      </w:r>
      <w:r w:rsidR="006C6F09">
        <w:t xml:space="preserve"> </w:t>
      </w:r>
      <w:r>
        <w:t>of</w:t>
      </w:r>
      <w:r w:rsidR="006C6F09">
        <w:t xml:space="preserve"> </w:t>
      </w:r>
      <w:r>
        <w:t>Availability</w:t>
      </w:r>
      <w:r w:rsidR="006C6F09">
        <w:t xml:space="preserve"> </w:t>
      </w:r>
      <w:r>
        <w:t>and</w:t>
      </w:r>
      <w:r w:rsidR="006C6F09">
        <w:t xml:space="preserve"> </w:t>
      </w:r>
      <w:r>
        <w:t>Public</w:t>
      </w:r>
      <w:r w:rsidR="006C6F09">
        <w:t xml:space="preserve"> </w:t>
      </w:r>
      <w:r>
        <w:t>Hearing,</w:t>
      </w:r>
      <w:r w:rsidR="006C6F09">
        <w:t xml:space="preserve"> </w:t>
      </w:r>
      <w:r>
        <w:t>which</w:t>
      </w:r>
      <w:r w:rsidR="006C6F09">
        <w:t xml:space="preserve"> </w:t>
      </w:r>
      <w:r>
        <w:t>are</w:t>
      </w:r>
      <w:r w:rsidR="006C6F09">
        <w:t xml:space="preserve"> </w:t>
      </w:r>
      <w:r>
        <w:t>available</w:t>
      </w:r>
      <w:r w:rsidR="006C6F09">
        <w:t xml:space="preserve"> </w:t>
      </w:r>
      <w:r>
        <w:t>on</w:t>
      </w:r>
      <w:r w:rsidR="006C6F09">
        <w:t xml:space="preserve"> </w:t>
      </w:r>
      <w:r>
        <w:t>the</w:t>
      </w:r>
      <w:r w:rsidR="006C6F09">
        <w:t xml:space="preserve"> </w:t>
      </w:r>
      <w:hyperlink r:id="rId66" w:history="1">
        <w:r w:rsidRPr="00332D95">
          <w:rPr>
            <w:rStyle w:val="Hyperlink"/>
          </w:rPr>
          <w:t>Public</w:t>
        </w:r>
        <w:r w:rsidR="006C6F09">
          <w:rPr>
            <w:rStyle w:val="Hyperlink"/>
          </w:rPr>
          <w:t xml:space="preserve"> </w:t>
        </w:r>
        <w:r w:rsidRPr="00332D95">
          <w:rPr>
            <w:rStyle w:val="Hyperlink"/>
          </w:rPr>
          <w:t>Involvement</w:t>
        </w:r>
        <w:r w:rsidR="006C6F09">
          <w:rPr>
            <w:rStyle w:val="Hyperlink"/>
          </w:rPr>
          <w:t xml:space="preserve"> </w:t>
        </w:r>
        <w:r w:rsidRPr="00332D95">
          <w:rPr>
            <w:rStyle w:val="Hyperlink"/>
          </w:rPr>
          <w:t>Toolkit</w:t>
        </w:r>
      </w:hyperlink>
      <w:r>
        <w:t>.</w:t>
      </w:r>
      <w:r w:rsidR="006C6F09">
        <w:t xml:space="preserve"> </w:t>
      </w:r>
    </w:p>
    <w:p w14:paraId="1F94AB1B" w14:textId="1B88F633" w:rsidR="00457754" w:rsidRDefault="00457754" w:rsidP="00457754">
      <w:r>
        <w:t>For</w:t>
      </w:r>
      <w:r w:rsidR="006C6F09">
        <w:t xml:space="preserve"> </w:t>
      </w:r>
      <w:r>
        <w:t>projects</w:t>
      </w:r>
      <w:r w:rsidR="006C6F09">
        <w:t xml:space="preserve"> </w:t>
      </w:r>
      <w:r>
        <w:t>for</w:t>
      </w:r>
      <w:r w:rsidR="006C6F09">
        <w:t xml:space="preserve"> </w:t>
      </w:r>
      <w:r>
        <w:t>which</w:t>
      </w:r>
      <w:r w:rsidR="006C6F09">
        <w:t xml:space="preserve"> </w:t>
      </w:r>
      <w:r>
        <w:t>a</w:t>
      </w:r>
      <w:r w:rsidR="006C6F09">
        <w:t xml:space="preserve"> </w:t>
      </w:r>
      <w:r>
        <w:t>hearing</w:t>
      </w:r>
      <w:r w:rsidR="006C6F09">
        <w:t xml:space="preserve"> </w:t>
      </w:r>
      <w:r>
        <w:t>is</w:t>
      </w:r>
      <w:r w:rsidR="006C6F09">
        <w:t xml:space="preserve"> </w:t>
      </w:r>
      <w:r>
        <w:t>held,</w:t>
      </w:r>
      <w:r w:rsidR="006C6F09">
        <w:t xml:space="preserve"> </w:t>
      </w:r>
      <w:r w:rsidRPr="00263E76">
        <w:rPr>
          <w:i/>
          <w:iCs/>
        </w:rPr>
        <w:t>23</w:t>
      </w:r>
      <w:r w:rsidR="006C6F09">
        <w:rPr>
          <w:i/>
          <w:iCs/>
        </w:rPr>
        <w:t xml:space="preserve"> </w:t>
      </w:r>
      <w:r w:rsidRPr="00263E76">
        <w:rPr>
          <w:i/>
          <w:iCs/>
        </w:rPr>
        <w:t>CFR</w:t>
      </w:r>
      <w:r w:rsidR="006C6F09">
        <w:rPr>
          <w:i/>
          <w:iCs/>
        </w:rPr>
        <w:t xml:space="preserve"> </w:t>
      </w:r>
      <w:r w:rsidRPr="00263E76">
        <w:rPr>
          <w:i/>
          <w:iCs/>
        </w:rPr>
        <w:t>771</w:t>
      </w:r>
      <w:r>
        <w:t>.119</w:t>
      </w:r>
      <w:r w:rsidR="006C6F09">
        <w:t xml:space="preserve"> </w:t>
      </w:r>
      <w:r>
        <w:t>requires</w:t>
      </w:r>
      <w:r w:rsidR="006C6F09">
        <w:t xml:space="preserve"> </w:t>
      </w:r>
      <w:r>
        <w:t>the</w:t>
      </w:r>
      <w:r w:rsidR="006C6F09">
        <w:t xml:space="preserve"> </w:t>
      </w:r>
      <w:r>
        <w:t>draft</w:t>
      </w:r>
      <w:r w:rsidR="006C6F09">
        <w:t xml:space="preserve"> </w:t>
      </w:r>
      <w:r>
        <w:t>EA</w:t>
      </w:r>
      <w:r w:rsidR="006C6F09">
        <w:t xml:space="preserve"> </w:t>
      </w:r>
      <w:r w:rsidR="007C0BE6">
        <w:t>to be</w:t>
      </w:r>
      <w:r w:rsidR="006C6F09">
        <w:t xml:space="preserve"> </w:t>
      </w:r>
      <w:r>
        <w:t>available</w:t>
      </w:r>
      <w:r w:rsidR="006C6F09">
        <w:t xml:space="preserve"> </w:t>
      </w:r>
      <w:r>
        <w:t>for</w:t>
      </w:r>
      <w:r w:rsidR="006C6F09">
        <w:t xml:space="preserve"> </w:t>
      </w:r>
      <w:r>
        <w:t>public</w:t>
      </w:r>
      <w:r w:rsidR="006C6F09">
        <w:t xml:space="preserve"> </w:t>
      </w:r>
      <w:r>
        <w:t>inspection</w:t>
      </w:r>
      <w:r w:rsidR="006C6F09">
        <w:t xml:space="preserve"> </w:t>
      </w:r>
      <w:r>
        <w:t>a</w:t>
      </w:r>
      <w:r w:rsidR="006C6F09">
        <w:t xml:space="preserve"> </w:t>
      </w:r>
      <w:r>
        <w:t>minimum</w:t>
      </w:r>
      <w:r w:rsidR="006C6F09">
        <w:t xml:space="preserve"> </w:t>
      </w:r>
      <w:r>
        <w:t>of</w:t>
      </w:r>
      <w:r w:rsidR="006C6F09">
        <w:t xml:space="preserve"> </w:t>
      </w:r>
      <w:r>
        <w:t>15</w:t>
      </w:r>
      <w:r w:rsidR="006C6F09">
        <w:t xml:space="preserve"> </w:t>
      </w:r>
      <w:r>
        <w:t>calendar</w:t>
      </w:r>
      <w:r w:rsidR="006C6F09">
        <w:t xml:space="preserve"> </w:t>
      </w:r>
      <w:r>
        <w:t>days</w:t>
      </w:r>
      <w:r w:rsidR="006C6F09">
        <w:t xml:space="preserve"> </w:t>
      </w:r>
      <w:r>
        <w:t>before</w:t>
      </w:r>
      <w:r w:rsidR="006C6F09">
        <w:t xml:space="preserve"> </w:t>
      </w:r>
      <w:r>
        <w:t>the</w:t>
      </w:r>
      <w:r w:rsidR="006C6F09">
        <w:t xml:space="preserve"> </w:t>
      </w:r>
      <w:r>
        <w:t>hearing.</w:t>
      </w:r>
      <w:r w:rsidR="006C6F09">
        <w:t xml:space="preserve"> </w:t>
      </w:r>
    </w:p>
    <w:p w14:paraId="2574FBA8" w14:textId="626B8F5B" w:rsidR="00457754" w:rsidRDefault="00457754" w:rsidP="00457754">
      <w:r>
        <w:t>However,</w:t>
      </w:r>
      <w:r w:rsidR="006C6F09">
        <w:t xml:space="preserve"> </w:t>
      </w:r>
      <w:r>
        <w:t>when</w:t>
      </w:r>
      <w:r w:rsidR="006C6F09">
        <w:t xml:space="preserve"> </w:t>
      </w:r>
      <w:r>
        <w:t>the</w:t>
      </w:r>
      <w:r w:rsidR="006C6F09">
        <w:t xml:space="preserve"> </w:t>
      </w:r>
      <w:r>
        <w:t>draft</w:t>
      </w:r>
      <w:r w:rsidR="006C6F09">
        <w:t xml:space="preserve"> </w:t>
      </w:r>
      <w:r>
        <w:t>EA</w:t>
      </w:r>
      <w:r w:rsidR="006C6F09">
        <w:t xml:space="preserve"> </w:t>
      </w:r>
      <w:r>
        <w:t>NOA</w:t>
      </w:r>
      <w:r w:rsidR="006C6F09">
        <w:t xml:space="preserve"> </w:t>
      </w:r>
      <w:r>
        <w:t>is</w:t>
      </w:r>
      <w:r w:rsidR="006C6F09">
        <w:t xml:space="preserve"> </w:t>
      </w:r>
      <w:r>
        <w:t>combined</w:t>
      </w:r>
      <w:r w:rsidR="006C6F09">
        <w:t xml:space="preserve"> </w:t>
      </w:r>
      <w:r>
        <w:t>with</w:t>
      </w:r>
      <w:r w:rsidR="006C6F09">
        <w:t xml:space="preserve"> </w:t>
      </w:r>
      <w:proofErr w:type="gramStart"/>
      <w:r>
        <w:t>an</w:t>
      </w:r>
      <w:r w:rsidR="006C6F09">
        <w:t xml:space="preserve"> </w:t>
      </w:r>
      <w:r>
        <w:t>NAOPH</w:t>
      </w:r>
      <w:proofErr w:type="gramEnd"/>
      <w:r>
        <w:t>,</w:t>
      </w:r>
      <w:r w:rsidR="006C6F09">
        <w:t xml:space="preserve"> </w:t>
      </w:r>
      <w:r>
        <w:t>it</w:t>
      </w:r>
      <w:r w:rsidR="006C6F09">
        <w:t xml:space="preserve"> </w:t>
      </w:r>
      <w:r>
        <w:t>must</w:t>
      </w:r>
      <w:r w:rsidR="006C6F09">
        <w:t xml:space="preserve"> </w:t>
      </w:r>
      <w:r>
        <w:t>establish</w:t>
      </w:r>
      <w:r w:rsidR="006C6F09">
        <w:t xml:space="preserve"> </w:t>
      </w:r>
      <w:r>
        <w:t>a</w:t>
      </w:r>
      <w:r w:rsidR="006C6F09">
        <w:t xml:space="preserve"> </w:t>
      </w:r>
      <w:r>
        <w:t>public</w:t>
      </w:r>
      <w:r w:rsidR="006C6F09">
        <w:t xml:space="preserve"> </w:t>
      </w:r>
      <w:r>
        <w:t>comment</w:t>
      </w:r>
      <w:r w:rsidR="006C6F09">
        <w:t xml:space="preserve"> </w:t>
      </w:r>
      <w:r>
        <w:t>deadline</w:t>
      </w:r>
      <w:r w:rsidR="006C6F09">
        <w:t xml:space="preserve"> </w:t>
      </w:r>
      <w:r>
        <w:t>of</w:t>
      </w:r>
      <w:r w:rsidR="006C6F09">
        <w:t xml:space="preserve"> </w:t>
      </w:r>
      <w:r>
        <w:t>not</w:t>
      </w:r>
      <w:r w:rsidR="006C6F09">
        <w:t xml:space="preserve"> </w:t>
      </w:r>
      <w:r>
        <w:t>less</w:t>
      </w:r>
      <w:r w:rsidR="006C6F09">
        <w:t xml:space="preserve"> </w:t>
      </w:r>
      <w:r>
        <w:t>than</w:t>
      </w:r>
      <w:r w:rsidR="006C6F09">
        <w:t xml:space="preserve"> </w:t>
      </w:r>
      <w:r>
        <w:t>30</w:t>
      </w:r>
      <w:r w:rsidR="006C6F09">
        <w:t xml:space="preserve"> </w:t>
      </w:r>
      <w:r>
        <w:t>calendar</w:t>
      </w:r>
      <w:r w:rsidR="006C6F09">
        <w:t xml:space="preserve"> </w:t>
      </w:r>
      <w:r>
        <w:t>days</w:t>
      </w:r>
      <w:r w:rsidR="006C6F09">
        <w:t xml:space="preserve"> </w:t>
      </w:r>
      <w:r>
        <w:t>after</w:t>
      </w:r>
      <w:r w:rsidR="006C6F09">
        <w:t xml:space="preserve"> </w:t>
      </w:r>
      <w:r>
        <w:t>the</w:t>
      </w:r>
      <w:r w:rsidR="006C6F09">
        <w:t xml:space="preserve"> </w:t>
      </w:r>
      <w:r>
        <w:t>date</w:t>
      </w:r>
      <w:r w:rsidR="006C6F09">
        <w:t xml:space="preserve"> </w:t>
      </w:r>
      <w:r>
        <w:t>of</w:t>
      </w:r>
      <w:r w:rsidR="006C6F09">
        <w:t xml:space="preserve"> </w:t>
      </w:r>
      <w:r>
        <w:t>newspaper</w:t>
      </w:r>
      <w:r w:rsidR="006C6F09">
        <w:t xml:space="preserve"> </w:t>
      </w:r>
      <w:r>
        <w:t>publication.</w:t>
      </w:r>
      <w:r w:rsidR="006C6F09">
        <w:t xml:space="preserve"> </w:t>
      </w:r>
      <w:r>
        <w:t>The</w:t>
      </w:r>
      <w:r w:rsidR="006C6F09">
        <w:t xml:space="preserve"> </w:t>
      </w:r>
      <w:r>
        <w:t>requirements</w:t>
      </w:r>
      <w:r w:rsidR="006C6F09">
        <w:t xml:space="preserve"> </w:t>
      </w:r>
      <w:r>
        <w:t>of</w:t>
      </w:r>
      <w:r w:rsidR="006C6F09">
        <w:t xml:space="preserve"> </w:t>
      </w:r>
      <w:r>
        <w:t>this</w:t>
      </w:r>
      <w:r w:rsidR="006C6F09">
        <w:t xml:space="preserve"> </w:t>
      </w:r>
      <w:r>
        <w:t>paragraph</w:t>
      </w:r>
      <w:r w:rsidR="006C6F09">
        <w:t xml:space="preserve"> </w:t>
      </w:r>
      <w:r>
        <w:t>are</w:t>
      </w:r>
      <w:r w:rsidR="006C6F09">
        <w:t xml:space="preserve"> </w:t>
      </w:r>
      <w:r>
        <w:t>satisfied</w:t>
      </w:r>
      <w:r w:rsidR="006C6F09">
        <w:t xml:space="preserve"> </w:t>
      </w:r>
      <w:r>
        <w:t>by</w:t>
      </w:r>
      <w:r w:rsidR="006C6F09">
        <w:t xml:space="preserve"> </w:t>
      </w:r>
      <w:r>
        <w:t>combining</w:t>
      </w:r>
      <w:r w:rsidR="006C6F09">
        <w:t xml:space="preserve"> </w:t>
      </w:r>
      <w:r>
        <w:t>the</w:t>
      </w:r>
      <w:r w:rsidR="006C6F09">
        <w:t xml:space="preserve"> </w:t>
      </w:r>
      <w:r>
        <w:t>NOA</w:t>
      </w:r>
      <w:r w:rsidR="006C6F09">
        <w:t xml:space="preserve"> </w:t>
      </w:r>
      <w:r>
        <w:t>with</w:t>
      </w:r>
      <w:r w:rsidR="006C6F09">
        <w:t xml:space="preserve"> </w:t>
      </w:r>
      <w:r>
        <w:t>the</w:t>
      </w:r>
      <w:r w:rsidR="006C6F09">
        <w:t xml:space="preserve"> </w:t>
      </w:r>
      <w:r>
        <w:t>NAOPH,</w:t>
      </w:r>
      <w:r w:rsidR="006C6F09">
        <w:t xml:space="preserve"> </w:t>
      </w:r>
      <w:r>
        <w:t>which</w:t>
      </w:r>
      <w:r w:rsidR="006C6F09">
        <w:t xml:space="preserve"> </w:t>
      </w:r>
      <w:r>
        <w:t>also</w:t>
      </w:r>
      <w:r w:rsidR="006C6F09">
        <w:t xml:space="preserve"> </w:t>
      </w:r>
      <w:r>
        <w:t>must</w:t>
      </w:r>
      <w:r w:rsidR="006C6F09">
        <w:t xml:space="preserve"> </w:t>
      </w:r>
      <w:r>
        <w:t>be</w:t>
      </w:r>
      <w:r w:rsidR="006C6F09">
        <w:t xml:space="preserve"> </w:t>
      </w:r>
      <w:r>
        <w:t>published</w:t>
      </w:r>
      <w:r w:rsidR="006C6F09">
        <w:t xml:space="preserve"> </w:t>
      </w:r>
      <w:r>
        <w:t>in</w:t>
      </w:r>
      <w:r w:rsidR="006C6F09">
        <w:t xml:space="preserve"> </w:t>
      </w:r>
      <w:r>
        <w:t>the</w:t>
      </w:r>
      <w:r w:rsidR="006C6F09">
        <w:t xml:space="preserve"> </w:t>
      </w:r>
      <w:r>
        <w:t>newspaper,</w:t>
      </w:r>
      <w:r w:rsidR="006C6F09">
        <w:t xml:space="preserve"> </w:t>
      </w:r>
      <w:r>
        <w:t>and</w:t>
      </w:r>
      <w:r w:rsidR="006C6F09">
        <w:t xml:space="preserve"> </w:t>
      </w:r>
      <w:r>
        <w:t>providing</w:t>
      </w:r>
      <w:r w:rsidR="006C6F09">
        <w:t xml:space="preserve"> </w:t>
      </w:r>
      <w:r>
        <w:t>a</w:t>
      </w:r>
      <w:r w:rsidR="006C6F09">
        <w:t xml:space="preserve"> </w:t>
      </w:r>
      <w:r>
        <w:t>30-calendar</w:t>
      </w:r>
      <w:r w:rsidR="006C6F09">
        <w:t xml:space="preserve"> </w:t>
      </w:r>
      <w:r>
        <w:t>day</w:t>
      </w:r>
      <w:r w:rsidR="006C6F09">
        <w:t xml:space="preserve"> </w:t>
      </w:r>
      <w:r>
        <w:t>deadline</w:t>
      </w:r>
      <w:r w:rsidR="006C6F09">
        <w:t xml:space="preserve"> </w:t>
      </w:r>
      <w:r>
        <w:t>for</w:t>
      </w:r>
      <w:r w:rsidR="006C6F09">
        <w:t xml:space="preserve"> </w:t>
      </w:r>
      <w:r>
        <w:t>both</w:t>
      </w:r>
      <w:r w:rsidR="006C6F09">
        <w:t xml:space="preserve"> </w:t>
      </w:r>
      <w:r>
        <w:t>(see</w:t>
      </w:r>
      <w:r w:rsidR="006C6F09">
        <w:t xml:space="preserve"> </w:t>
      </w:r>
      <w:r>
        <w:t>Section</w:t>
      </w:r>
      <w:r w:rsidR="006C6F09">
        <w:t xml:space="preserve"> </w:t>
      </w:r>
      <w:r w:rsidRPr="00263E76">
        <w:rPr>
          <w:u w:val="single"/>
        </w:rPr>
        <w:fldChar w:fldCharType="begin"/>
      </w:r>
      <w:r w:rsidRPr="00263E76">
        <w:rPr>
          <w:u w:val="single"/>
        </w:rPr>
        <w:instrText xml:space="preserve"> REF _Ref219894777 \h  \* MERGEFORMAT </w:instrText>
      </w:r>
      <w:r w:rsidRPr="00263E76">
        <w:rPr>
          <w:u w:val="single"/>
        </w:rPr>
      </w:r>
      <w:r w:rsidRPr="00263E76">
        <w:rPr>
          <w:u w:val="single"/>
        </w:rPr>
        <w:fldChar w:fldCharType="separate"/>
      </w:r>
      <w:r w:rsidRPr="00263E76">
        <w:rPr>
          <w:color w:val="0056A9"/>
          <w:u w:val="single"/>
        </w:rPr>
        <w:t>5.2</w:t>
      </w:r>
      <w:r w:rsidRPr="00263E76">
        <w:rPr>
          <w:u w:val="single"/>
        </w:rPr>
        <w:fldChar w:fldCharType="end"/>
      </w:r>
      <w:r w:rsidR="006C6F09">
        <w:rPr>
          <w:u w:val="single"/>
        </w:rPr>
        <w:t xml:space="preserve"> </w:t>
      </w:r>
      <w:r>
        <w:t>above).</w:t>
      </w:r>
    </w:p>
    <w:p w14:paraId="13E73580" w14:textId="3D81DE15" w:rsidR="00457754" w:rsidRDefault="00457754" w:rsidP="00457754">
      <w:r>
        <w:t>The</w:t>
      </w:r>
      <w:r w:rsidR="006C6F09">
        <w:t xml:space="preserve"> </w:t>
      </w:r>
      <w:r>
        <w:t>project</w:t>
      </w:r>
      <w:r w:rsidR="006C6F09">
        <w:t xml:space="preserve"> </w:t>
      </w:r>
      <w:r>
        <w:t>sponsor</w:t>
      </w:r>
      <w:r w:rsidR="006C6F09">
        <w:t xml:space="preserve"> </w:t>
      </w:r>
      <w:r>
        <w:t>shall</w:t>
      </w:r>
      <w:r w:rsidR="006C6F09">
        <w:t xml:space="preserve"> </w:t>
      </w:r>
      <w:r>
        <w:t>maintain</w:t>
      </w:r>
      <w:r w:rsidR="006C6F09">
        <w:t xml:space="preserve"> </w:t>
      </w:r>
      <w:r>
        <w:t>a</w:t>
      </w:r>
      <w:r w:rsidR="006C6F09">
        <w:t xml:space="preserve"> </w:t>
      </w:r>
      <w:r>
        <w:t>list</w:t>
      </w:r>
      <w:r w:rsidR="006C6F09">
        <w:t xml:space="preserve"> </w:t>
      </w:r>
      <w:r>
        <w:t>of</w:t>
      </w:r>
      <w:r w:rsidR="006C6F09">
        <w:t xml:space="preserve"> </w:t>
      </w:r>
      <w:r>
        <w:t>elected</w:t>
      </w:r>
      <w:r w:rsidR="006C6F09">
        <w:t xml:space="preserve"> </w:t>
      </w:r>
      <w:r>
        <w:t>public</w:t>
      </w:r>
      <w:r w:rsidR="006C6F09">
        <w:t xml:space="preserve"> </w:t>
      </w:r>
      <w:r>
        <w:t>officials,</w:t>
      </w:r>
      <w:r w:rsidR="006C6F09">
        <w:t xml:space="preserve"> </w:t>
      </w:r>
      <w:r>
        <w:t>individuals,</w:t>
      </w:r>
      <w:r w:rsidR="006C6F09">
        <w:t xml:space="preserve"> </w:t>
      </w:r>
      <w:r>
        <w:t>and</w:t>
      </w:r>
      <w:r w:rsidR="006C6F09">
        <w:t xml:space="preserve"> </w:t>
      </w:r>
      <w:r>
        <w:t>affected</w:t>
      </w:r>
      <w:r w:rsidR="006C6F09">
        <w:t xml:space="preserve"> </w:t>
      </w:r>
      <w:r>
        <w:t>interest</w:t>
      </w:r>
      <w:r w:rsidR="006C6F09">
        <w:t xml:space="preserve"> </w:t>
      </w:r>
      <w:r>
        <w:t>groups</w:t>
      </w:r>
      <w:r w:rsidR="006C6F09">
        <w:t xml:space="preserve"> </w:t>
      </w:r>
      <w:r>
        <w:t>that</w:t>
      </w:r>
      <w:r w:rsidR="006C6F09">
        <w:t xml:space="preserve"> </w:t>
      </w:r>
      <w:r>
        <w:t>have</w:t>
      </w:r>
      <w:r w:rsidR="006C6F09">
        <w:t xml:space="preserve"> </w:t>
      </w:r>
      <w:r>
        <w:t>expressed</w:t>
      </w:r>
      <w:r w:rsidR="006C6F09">
        <w:t xml:space="preserve"> </w:t>
      </w:r>
      <w:r>
        <w:t>an</w:t>
      </w:r>
      <w:r w:rsidR="006C6F09">
        <w:t xml:space="preserve"> </w:t>
      </w:r>
      <w:r>
        <w:t>interest</w:t>
      </w:r>
      <w:r w:rsidR="006C6F09">
        <w:t xml:space="preserve"> </w:t>
      </w:r>
      <w:r>
        <w:t>in</w:t>
      </w:r>
      <w:r w:rsidR="006C6F09">
        <w:t xml:space="preserve"> </w:t>
      </w:r>
      <w:r>
        <w:t>a</w:t>
      </w:r>
      <w:r w:rsidR="006C6F09">
        <w:t xml:space="preserve"> </w:t>
      </w:r>
      <w:r>
        <w:t>transportation</w:t>
      </w:r>
      <w:r w:rsidR="006C6F09">
        <w:t xml:space="preserve"> </w:t>
      </w:r>
      <w:r>
        <w:t>project.</w:t>
      </w:r>
      <w:r w:rsidR="006C6F09">
        <w:t xml:space="preserve"> </w:t>
      </w:r>
      <w:r>
        <w:t>In</w:t>
      </w:r>
      <w:r w:rsidR="006C6F09">
        <w:t xml:space="preserve"> </w:t>
      </w:r>
      <w:r>
        <w:t>addition</w:t>
      </w:r>
      <w:r w:rsidR="006C6F09">
        <w:t xml:space="preserve"> </w:t>
      </w:r>
      <w:r>
        <w:t>to</w:t>
      </w:r>
      <w:r w:rsidR="006C6F09">
        <w:t xml:space="preserve"> </w:t>
      </w:r>
      <w:r>
        <w:t>the</w:t>
      </w:r>
      <w:r w:rsidR="006C6F09">
        <w:t xml:space="preserve"> </w:t>
      </w:r>
      <w:r>
        <w:t>publication</w:t>
      </w:r>
      <w:r w:rsidR="006C6F09">
        <w:t xml:space="preserve"> </w:t>
      </w:r>
      <w:r>
        <w:t>or</w:t>
      </w:r>
      <w:r w:rsidR="006C6F09">
        <w:t xml:space="preserve"> </w:t>
      </w:r>
      <w:r>
        <w:t>distribution</w:t>
      </w:r>
      <w:r w:rsidR="006C6F09">
        <w:t xml:space="preserve"> </w:t>
      </w:r>
      <w:r>
        <w:t>requirements</w:t>
      </w:r>
      <w:r w:rsidR="006C6F09">
        <w:t xml:space="preserve"> </w:t>
      </w:r>
      <w:r>
        <w:t>discussed</w:t>
      </w:r>
      <w:r w:rsidR="006C6F09">
        <w:t xml:space="preserve"> </w:t>
      </w:r>
      <w:r>
        <w:t>above</w:t>
      </w:r>
      <w:r w:rsidR="006C6F09">
        <w:t xml:space="preserve"> </w:t>
      </w:r>
      <w:r>
        <w:t>under</w:t>
      </w:r>
      <w:r w:rsidR="006C6F09">
        <w:t xml:space="preserve"> </w:t>
      </w:r>
      <w:r>
        <w:t>Section</w:t>
      </w:r>
      <w:r w:rsidR="006C6F09">
        <w:t xml:space="preserve"> </w:t>
      </w:r>
      <w:r w:rsidRPr="00263E76">
        <w:rPr>
          <w:u w:val="single"/>
        </w:rPr>
        <w:fldChar w:fldCharType="begin"/>
      </w:r>
      <w:r w:rsidRPr="00263E76">
        <w:rPr>
          <w:u w:val="single"/>
        </w:rPr>
        <w:instrText xml:space="preserve"> REF _Ref219791789 \h  \* MERGEFORMAT </w:instrText>
      </w:r>
      <w:r w:rsidRPr="00263E76">
        <w:rPr>
          <w:u w:val="single"/>
        </w:rPr>
      </w:r>
      <w:r w:rsidRPr="00263E76">
        <w:rPr>
          <w:u w:val="single"/>
        </w:rPr>
        <w:fldChar w:fldCharType="separate"/>
      </w:r>
      <w:r w:rsidRPr="00263E76">
        <w:rPr>
          <w:color w:val="0056A9"/>
          <w:u w:val="single"/>
        </w:rPr>
        <w:t>9.0</w:t>
      </w:r>
      <w:r w:rsidRPr="00263E76">
        <w:rPr>
          <w:u w:val="single"/>
        </w:rPr>
        <w:fldChar w:fldCharType="end"/>
      </w:r>
      <w:r>
        <w:t>,</w:t>
      </w:r>
      <w:r w:rsidR="006C6F09">
        <w:t xml:space="preserve"> </w:t>
      </w:r>
      <w:r>
        <w:t>the</w:t>
      </w:r>
      <w:r w:rsidR="006C6F09">
        <w:t xml:space="preserve"> </w:t>
      </w:r>
      <w:r>
        <w:t>project</w:t>
      </w:r>
      <w:r w:rsidR="006C6F09">
        <w:t xml:space="preserve"> </w:t>
      </w:r>
      <w:r>
        <w:t>sponsor</w:t>
      </w:r>
      <w:r w:rsidR="006C6F09">
        <w:t xml:space="preserve"> </w:t>
      </w:r>
      <w:r>
        <w:t>will</w:t>
      </w:r>
      <w:r w:rsidR="006C6F09">
        <w:t xml:space="preserve"> </w:t>
      </w:r>
      <w:r>
        <w:t>also</w:t>
      </w:r>
      <w:r w:rsidR="006C6F09">
        <w:t xml:space="preserve"> </w:t>
      </w:r>
      <w:r>
        <w:t>provide</w:t>
      </w:r>
      <w:r w:rsidR="006C6F09">
        <w:t xml:space="preserve"> </w:t>
      </w:r>
      <w:r>
        <w:t>the</w:t>
      </w:r>
      <w:r w:rsidR="006C6F09">
        <w:t xml:space="preserve"> </w:t>
      </w:r>
      <w:r>
        <w:t>combined</w:t>
      </w:r>
      <w:r w:rsidR="006C6F09">
        <w:t xml:space="preserve"> </w:t>
      </w:r>
      <w:r>
        <w:t>NOA</w:t>
      </w:r>
      <w:r w:rsidR="006C6F09">
        <w:t xml:space="preserve"> </w:t>
      </w:r>
      <w:r>
        <w:t>of</w:t>
      </w:r>
      <w:r w:rsidR="006C6F09">
        <w:t xml:space="preserve"> </w:t>
      </w:r>
      <w:r>
        <w:t>draft</w:t>
      </w:r>
      <w:r w:rsidR="006C6F09">
        <w:t xml:space="preserve"> </w:t>
      </w:r>
      <w:r>
        <w:t>EA</w:t>
      </w:r>
      <w:r w:rsidR="006C6F09">
        <w:t xml:space="preserve"> </w:t>
      </w:r>
      <w:r>
        <w:t>and</w:t>
      </w:r>
      <w:r w:rsidR="006C6F09">
        <w:t xml:space="preserve"> </w:t>
      </w:r>
      <w:r>
        <w:t>notice</w:t>
      </w:r>
      <w:r w:rsidR="006C6F09">
        <w:t xml:space="preserve"> </w:t>
      </w:r>
      <w:r>
        <w:t>of</w:t>
      </w:r>
      <w:r w:rsidR="006C6F09">
        <w:t xml:space="preserve"> </w:t>
      </w:r>
      <w:r>
        <w:t>public</w:t>
      </w:r>
      <w:r w:rsidR="006C6F09">
        <w:t xml:space="preserve"> </w:t>
      </w:r>
      <w:r>
        <w:t>hearing</w:t>
      </w:r>
      <w:r w:rsidR="006C6F09">
        <w:t xml:space="preserve"> </w:t>
      </w:r>
      <w:r>
        <w:t>or</w:t>
      </w:r>
      <w:r w:rsidR="006C6F09">
        <w:t xml:space="preserve"> </w:t>
      </w:r>
      <w:r>
        <w:t>opportunity</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to</w:t>
      </w:r>
      <w:r w:rsidR="006C6F09">
        <w:t xml:space="preserve"> </w:t>
      </w:r>
      <w:r>
        <w:t>these</w:t>
      </w:r>
      <w:r w:rsidR="006C6F09">
        <w:t xml:space="preserve"> </w:t>
      </w:r>
      <w:r>
        <w:t>individuals</w:t>
      </w:r>
      <w:r w:rsidR="006C6F09">
        <w:t xml:space="preserve"> </w:t>
      </w:r>
      <w:r>
        <w:t>and</w:t>
      </w:r>
      <w:r w:rsidR="006C6F09">
        <w:t xml:space="preserve"> </w:t>
      </w:r>
      <w:r>
        <w:t>groups.</w:t>
      </w:r>
    </w:p>
    <w:p w14:paraId="27FC1E55" w14:textId="7D43DEB7" w:rsidR="00457754" w:rsidRDefault="00457754" w:rsidP="00457754">
      <w:pPr>
        <w:rPr>
          <w:b/>
          <w:bCs/>
        </w:rPr>
      </w:pPr>
      <w:r>
        <w:t>Also,</w:t>
      </w:r>
      <w:r w:rsidR="006C6F09">
        <w:t xml:space="preserve"> </w:t>
      </w:r>
      <w:r>
        <w:t>the</w:t>
      </w:r>
      <w:r w:rsidR="006C6F09">
        <w:t xml:space="preserve"> </w:t>
      </w:r>
      <w:r>
        <w:t>district</w:t>
      </w:r>
      <w:r w:rsidR="006C6F09">
        <w:t xml:space="preserve"> </w:t>
      </w:r>
      <w:r>
        <w:t>will</w:t>
      </w:r>
      <w:r w:rsidR="006C6F09">
        <w:t xml:space="preserve"> </w:t>
      </w:r>
      <w:r>
        <w:t>email</w:t>
      </w:r>
      <w:r w:rsidR="006C6F09">
        <w:t xml:space="preserve"> </w:t>
      </w:r>
      <w:r>
        <w:t>the</w:t>
      </w:r>
      <w:r w:rsidR="006C6F09">
        <w:t xml:space="preserve"> </w:t>
      </w:r>
      <w:r>
        <w:t>combined</w:t>
      </w:r>
      <w:r w:rsidR="006C6F09">
        <w:t xml:space="preserve"> </w:t>
      </w:r>
      <w:r>
        <w:t>NOA</w:t>
      </w:r>
      <w:r w:rsidR="006C6F09">
        <w:t xml:space="preserve"> </w:t>
      </w:r>
      <w:r>
        <w:t>of</w:t>
      </w:r>
      <w:r w:rsidR="006C6F09">
        <w:t xml:space="preserve"> </w:t>
      </w:r>
      <w:r>
        <w:t>draft</w:t>
      </w:r>
      <w:r w:rsidR="006C6F09">
        <w:t xml:space="preserve"> </w:t>
      </w:r>
      <w:r>
        <w:t>EA</w:t>
      </w:r>
      <w:r w:rsidR="006C6F09">
        <w:t xml:space="preserve"> </w:t>
      </w:r>
      <w:r>
        <w:t>and</w:t>
      </w:r>
      <w:r w:rsidR="006C6F09">
        <w:t xml:space="preserve"> </w:t>
      </w:r>
      <w:r>
        <w:t>notice</w:t>
      </w:r>
      <w:r w:rsidR="006C6F09">
        <w:t xml:space="preserve"> </w:t>
      </w:r>
      <w:r>
        <w:t>of</w:t>
      </w:r>
      <w:r w:rsidR="006C6F09">
        <w:t xml:space="preserve"> </w:t>
      </w:r>
      <w:r>
        <w:t>public</w:t>
      </w:r>
      <w:r w:rsidR="006C6F09">
        <w:t xml:space="preserve"> </w:t>
      </w:r>
      <w:r>
        <w:t>hearing</w:t>
      </w:r>
      <w:r w:rsidR="006C6F09">
        <w:t xml:space="preserve"> </w:t>
      </w:r>
      <w:r>
        <w:t>or</w:t>
      </w:r>
      <w:r w:rsidR="006C6F09">
        <w:t xml:space="preserve"> </w:t>
      </w:r>
      <w:r>
        <w:t>opportunity</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to</w:t>
      </w:r>
      <w:r w:rsidR="006C6F09">
        <w:t xml:space="preserve"> </w:t>
      </w:r>
      <w:r>
        <w:t>the</w:t>
      </w:r>
      <w:r w:rsidR="006C6F09">
        <w:t xml:space="preserve"> </w:t>
      </w:r>
      <w:r>
        <w:t>Texas</w:t>
      </w:r>
      <w:r w:rsidR="006C6F09">
        <w:t xml:space="preserve"> </w:t>
      </w:r>
      <w:r>
        <w:t>Commission</w:t>
      </w:r>
      <w:r w:rsidR="006C6F09">
        <w:t xml:space="preserve"> </w:t>
      </w:r>
      <w:r>
        <w:t>on</w:t>
      </w:r>
      <w:r w:rsidR="006C6F09">
        <w:t xml:space="preserve"> </w:t>
      </w:r>
      <w:r>
        <w:t>Environmental</w:t>
      </w:r>
      <w:r w:rsidR="006C6F09">
        <w:t xml:space="preserve"> </w:t>
      </w:r>
      <w:r>
        <w:t>Quality</w:t>
      </w:r>
      <w:r w:rsidR="006C6F09">
        <w:t xml:space="preserve"> </w:t>
      </w:r>
      <w:r>
        <w:t>and</w:t>
      </w:r>
      <w:r w:rsidR="006C6F09">
        <w:t xml:space="preserve"> </w:t>
      </w:r>
      <w:r>
        <w:t>Texas</w:t>
      </w:r>
      <w:r w:rsidR="006C6F09">
        <w:t xml:space="preserve"> </w:t>
      </w:r>
      <w:r>
        <w:t>Parks</w:t>
      </w:r>
      <w:r w:rsidR="006C6F09">
        <w:t xml:space="preserve"> </w:t>
      </w:r>
      <w:r>
        <w:t>and</w:t>
      </w:r>
      <w:r w:rsidR="006C6F09">
        <w:t xml:space="preserve"> </w:t>
      </w:r>
      <w:r>
        <w:t>Wildlife</w:t>
      </w:r>
      <w:r w:rsidR="006C6F09">
        <w:t xml:space="preserve"> </w:t>
      </w:r>
      <w:r>
        <w:t>Department.</w:t>
      </w:r>
      <w:r w:rsidR="006C6F09">
        <w:t xml:space="preserve"> </w:t>
      </w:r>
      <w:r>
        <w:t>For</w:t>
      </w:r>
      <w:r w:rsidR="006C6F09">
        <w:t xml:space="preserve"> </w:t>
      </w:r>
      <w:r>
        <w:t>TCEQ,</w:t>
      </w:r>
      <w:r w:rsidR="006C6F09">
        <w:t xml:space="preserve"> </w:t>
      </w:r>
      <w:r>
        <w:t>email</w:t>
      </w:r>
      <w:r w:rsidR="006C6F09">
        <w:t xml:space="preserve"> </w:t>
      </w:r>
      <w:r>
        <w:t>the</w:t>
      </w:r>
      <w:r w:rsidR="006C6F09">
        <w:t xml:space="preserve"> </w:t>
      </w:r>
      <w:r>
        <w:t>NOA</w:t>
      </w:r>
      <w:r w:rsidR="006C6F09">
        <w:t xml:space="preserve"> </w:t>
      </w:r>
      <w:r>
        <w:t>to</w:t>
      </w:r>
      <w:r w:rsidR="006C6F09">
        <w:t xml:space="preserve"> </w:t>
      </w:r>
      <w:r w:rsidR="003D6C1E">
        <w:t>the</w:t>
      </w:r>
      <w:r w:rsidR="006C6F09">
        <w:t xml:space="preserve"> </w:t>
      </w:r>
      <w:hyperlink r:id="rId67" w:history="1">
        <w:r w:rsidR="003D6C1E">
          <w:rPr>
            <w:rStyle w:val="Hyperlink"/>
          </w:rPr>
          <w:t>TCEQ</w:t>
        </w:r>
        <w:r w:rsidR="006C6F09">
          <w:rPr>
            <w:rStyle w:val="Hyperlink"/>
          </w:rPr>
          <w:t xml:space="preserve"> </w:t>
        </w:r>
        <w:r w:rsidR="003D6C1E">
          <w:rPr>
            <w:rStyle w:val="Hyperlink"/>
          </w:rPr>
          <w:t>NEPA</w:t>
        </w:r>
        <w:r w:rsidR="006C6F09">
          <w:rPr>
            <w:rStyle w:val="Hyperlink"/>
          </w:rPr>
          <w:t xml:space="preserve"> </w:t>
        </w:r>
        <w:r w:rsidR="003D6C1E">
          <w:rPr>
            <w:rStyle w:val="Hyperlink"/>
          </w:rPr>
          <w:t>Team</w:t>
        </w:r>
      </w:hyperlink>
      <w:r w:rsidR="00D247B2">
        <w:t>,</w:t>
      </w:r>
      <w:r w:rsidR="006C6F09">
        <w:t xml:space="preserve"> </w:t>
      </w:r>
      <w:r>
        <w:t>subject</w:t>
      </w:r>
      <w:r w:rsidR="006C6F09">
        <w:t xml:space="preserve"> </w:t>
      </w:r>
      <w:r>
        <w:t>line:</w:t>
      </w:r>
      <w:r w:rsidR="006C6F09">
        <w:t xml:space="preserve"> </w:t>
      </w:r>
      <w:r>
        <w:t>“Draft</w:t>
      </w:r>
      <w:r w:rsidR="006C6F09">
        <w:t xml:space="preserve"> </w:t>
      </w:r>
      <w:r>
        <w:t>environmental</w:t>
      </w:r>
      <w:r w:rsidR="006C6F09">
        <w:t xml:space="preserve"> </w:t>
      </w:r>
      <w:r>
        <w:t>assessment</w:t>
      </w:r>
      <w:r w:rsidR="006C6F09">
        <w:t xml:space="preserve"> </w:t>
      </w:r>
      <w:r>
        <w:t>for</w:t>
      </w:r>
      <w:r w:rsidR="006C6F09">
        <w:t xml:space="preserve"> </w:t>
      </w:r>
      <w:r>
        <w:t>a</w:t>
      </w:r>
      <w:r w:rsidR="006C6F09">
        <w:t xml:space="preserve"> </w:t>
      </w:r>
      <w:r>
        <w:t>highway</w:t>
      </w:r>
      <w:r w:rsidR="006C6F09">
        <w:t xml:space="preserve"> </w:t>
      </w:r>
      <w:r>
        <w:t>project,”</w:t>
      </w:r>
      <w:r w:rsidR="006C6F09">
        <w:t xml:space="preserve"> </w:t>
      </w:r>
      <w:r>
        <w:t>body</w:t>
      </w:r>
      <w:r w:rsidR="006C6F09">
        <w:t xml:space="preserve"> </w:t>
      </w:r>
      <w:r>
        <w:t>of</w:t>
      </w:r>
      <w:r w:rsidR="006C6F09">
        <w:t xml:space="preserve"> </w:t>
      </w:r>
      <w:r>
        <w:t>email:</w:t>
      </w:r>
      <w:r w:rsidR="006C6F09">
        <w:t xml:space="preserve"> </w:t>
      </w:r>
      <w:r>
        <w:t>“Attached</w:t>
      </w:r>
      <w:r w:rsidR="006C6F09">
        <w:t xml:space="preserve"> </w:t>
      </w:r>
      <w:r>
        <w:t>please</w:t>
      </w:r>
      <w:r w:rsidR="006C6F09">
        <w:t xml:space="preserve"> </w:t>
      </w:r>
      <w:r>
        <w:t>find</w:t>
      </w:r>
      <w:r w:rsidR="006C6F09">
        <w:t xml:space="preserve"> </w:t>
      </w:r>
      <w:r>
        <w:t>a</w:t>
      </w:r>
      <w:r w:rsidR="006C6F09">
        <w:t xml:space="preserve"> </w:t>
      </w:r>
      <w:r>
        <w:t>Notice</w:t>
      </w:r>
      <w:r w:rsidR="006C6F09">
        <w:t xml:space="preserve"> </w:t>
      </w:r>
      <w:r>
        <w:t>of</w:t>
      </w:r>
      <w:r w:rsidR="006C6F09">
        <w:t xml:space="preserve"> </w:t>
      </w:r>
      <w:r>
        <w:t>Availability</w:t>
      </w:r>
      <w:r w:rsidR="006C6F09">
        <w:t xml:space="preserve"> </w:t>
      </w:r>
      <w:r>
        <w:t>of</w:t>
      </w:r>
      <w:r w:rsidR="006C6F09">
        <w:t xml:space="preserve"> </w:t>
      </w:r>
      <w:r>
        <w:t>a</w:t>
      </w:r>
      <w:r w:rsidR="006C6F09">
        <w:t xml:space="preserve"> </w:t>
      </w:r>
      <w:r>
        <w:t>DRAFT</w:t>
      </w:r>
      <w:r w:rsidR="006C6F09">
        <w:t xml:space="preserve"> </w:t>
      </w:r>
      <w:r>
        <w:t>environmental</w:t>
      </w:r>
      <w:r w:rsidR="006C6F09">
        <w:t xml:space="preserve"> </w:t>
      </w:r>
      <w:r>
        <w:t>assessment</w:t>
      </w:r>
      <w:r w:rsidR="006C6F09">
        <w:t xml:space="preserve"> </w:t>
      </w:r>
      <w:r>
        <w:t>for</w:t>
      </w:r>
      <w:r w:rsidR="006C6F09">
        <w:t xml:space="preserve"> </w:t>
      </w:r>
      <w:r>
        <w:t>a</w:t>
      </w:r>
      <w:r w:rsidR="006C6F09">
        <w:t xml:space="preserve"> </w:t>
      </w:r>
      <w:r>
        <w:t>highway</w:t>
      </w:r>
      <w:r w:rsidR="006C6F09">
        <w:t xml:space="preserve"> </w:t>
      </w:r>
      <w:r>
        <w:t>project.”</w:t>
      </w:r>
      <w:r w:rsidR="00135456">
        <w:t xml:space="preserve"> </w:t>
      </w:r>
      <w:r>
        <w:t>For</w:t>
      </w:r>
      <w:r w:rsidR="006C6F09">
        <w:t xml:space="preserve"> </w:t>
      </w:r>
      <w:r>
        <w:t>TPWD,</w:t>
      </w:r>
      <w:r w:rsidR="006C6F09">
        <w:t xml:space="preserve"> </w:t>
      </w:r>
      <w:r>
        <w:t>see</w:t>
      </w:r>
      <w:r w:rsidR="006C6F09">
        <w:t xml:space="preserve"> </w:t>
      </w:r>
      <w:r>
        <w:t>the</w:t>
      </w:r>
      <w:r w:rsidR="006C6F09">
        <w:t xml:space="preserve"> </w:t>
      </w:r>
      <w:r>
        <w:t>instructions</w:t>
      </w:r>
      <w:r w:rsidR="006C6F09">
        <w:t xml:space="preserve"> </w:t>
      </w:r>
      <w:r>
        <w:t>in</w:t>
      </w:r>
      <w:r w:rsidR="006C6F09">
        <w:t xml:space="preserve"> </w:t>
      </w:r>
      <w:r w:rsidRPr="0029222F">
        <w:rPr>
          <w:b/>
          <w:bCs/>
        </w:rPr>
        <w:t>ENV’s</w:t>
      </w:r>
      <w:r w:rsidR="006C6F09">
        <w:rPr>
          <w:b/>
          <w:bCs/>
        </w:rPr>
        <w:t xml:space="preserve"> </w:t>
      </w:r>
      <w:r w:rsidRPr="0029222F">
        <w:rPr>
          <w:b/>
          <w:bCs/>
        </w:rPr>
        <w:t>Guidance:</w:t>
      </w:r>
      <w:r w:rsidR="006C6F09">
        <w:rPr>
          <w:b/>
          <w:bCs/>
        </w:rPr>
        <w:t xml:space="preserve"> </w:t>
      </w:r>
      <w:r w:rsidRPr="0029222F">
        <w:rPr>
          <w:b/>
          <w:bCs/>
        </w:rPr>
        <w:t>TPWD</w:t>
      </w:r>
      <w:r w:rsidR="006C6F09">
        <w:rPr>
          <w:b/>
          <w:bCs/>
        </w:rPr>
        <w:t xml:space="preserve"> </w:t>
      </w:r>
      <w:r w:rsidRPr="0029222F">
        <w:rPr>
          <w:b/>
          <w:bCs/>
        </w:rPr>
        <w:t>Coordination</w:t>
      </w:r>
      <w:r w:rsidR="006C6F09">
        <w:rPr>
          <w:b/>
          <w:bCs/>
        </w:rPr>
        <w:t xml:space="preserve"> </w:t>
      </w:r>
      <w:r w:rsidRPr="0029222F">
        <w:rPr>
          <w:b/>
          <w:bCs/>
        </w:rPr>
        <w:t>Under</w:t>
      </w:r>
      <w:r w:rsidR="006C6F09">
        <w:rPr>
          <w:b/>
          <w:bCs/>
        </w:rPr>
        <w:t xml:space="preserve"> </w:t>
      </w:r>
      <w:r w:rsidRPr="0029222F">
        <w:rPr>
          <w:b/>
          <w:bCs/>
        </w:rPr>
        <w:t>the</w:t>
      </w:r>
      <w:r w:rsidR="006C6F09">
        <w:rPr>
          <w:b/>
          <w:bCs/>
        </w:rPr>
        <w:t xml:space="preserve"> </w:t>
      </w:r>
      <w:r w:rsidRPr="0029222F">
        <w:rPr>
          <w:b/>
          <w:bCs/>
        </w:rPr>
        <w:t>2021</w:t>
      </w:r>
      <w:r w:rsidR="006C6F09">
        <w:rPr>
          <w:b/>
          <w:bCs/>
        </w:rPr>
        <w:t xml:space="preserve"> </w:t>
      </w:r>
      <w:r w:rsidRPr="0029222F">
        <w:rPr>
          <w:b/>
          <w:bCs/>
        </w:rPr>
        <w:t>Memorandum</w:t>
      </w:r>
      <w:r w:rsidR="006C6F09">
        <w:rPr>
          <w:b/>
          <w:bCs/>
        </w:rPr>
        <w:t xml:space="preserve"> </w:t>
      </w:r>
      <w:r w:rsidRPr="0029222F">
        <w:rPr>
          <w:b/>
          <w:bCs/>
        </w:rPr>
        <w:t>of</w:t>
      </w:r>
      <w:r w:rsidR="006C6F09">
        <w:rPr>
          <w:b/>
          <w:bCs/>
        </w:rPr>
        <w:t xml:space="preserve"> </w:t>
      </w:r>
      <w:r w:rsidRPr="0029222F">
        <w:rPr>
          <w:b/>
          <w:bCs/>
        </w:rPr>
        <w:t>Understanding.</w:t>
      </w:r>
    </w:p>
    <w:p w14:paraId="0E246A84" w14:textId="1EF995E3" w:rsidR="00457754" w:rsidRPr="00786382" w:rsidRDefault="00457754" w:rsidP="00457754">
      <w:pPr>
        <w:pStyle w:val="Heading3"/>
      </w:pPr>
      <w:bookmarkStart w:id="87" w:name="_Ref219790477"/>
      <w:bookmarkStart w:id="88" w:name="_Toc224026227"/>
      <w:r w:rsidRPr="00786382">
        <w:lastRenderedPageBreak/>
        <w:t>9.2</w:t>
      </w:r>
      <w:r w:rsidR="006C6F09" w:rsidRPr="00786382">
        <w:t xml:space="preserve"> </w:t>
      </w:r>
      <w:r w:rsidRPr="00786382">
        <w:t>Final</w:t>
      </w:r>
      <w:r w:rsidR="006C6F09" w:rsidRPr="00786382">
        <w:t xml:space="preserve"> </w:t>
      </w:r>
      <w:r w:rsidRPr="00786382">
        <w:t>EA</w:t>
      </w:r>
      <w:r w:rsidR="006C6F09" w:rsidRPr="00786382">
        <w:t xml:space="preserve"> </w:t>
      </w:r>
      <w:r w:rsidRPr="00786382">
        <w:t>(ONLY</w:t>
      </w:r>
      <w:r w:rsidR="006C6F09" w:rsidRPr="00786382">
        <w:t xml:space="preserve"> </w:t>
      </w:r>
      <w:r w:rsidRPr="00786382">
        <w:t>for</w:t>
      </w:r>
      <w:r w:rsidR="006C6F09" w:rsidRPr="00786382">
        <w:t xml:space="preserve"> </w:t>
      </w:r>
      <w:r w:rsidRPr="00786382">
        <w:t>an</w:t>
      </w:r>
      <w:r w:rsidR="006C6F09" w:rsidRPr="00786382">
        <w:t xml:space="preserve"> </w:t>
      </w:r>
      <w:r w:rsidRPr="00786382">
        <w:t>FHWA</w:t>
      </w:r>
      <w:r w:rsidR="006C6F09" w:rsidRPr="00786382">
        <w:t xml:space="preserve"> </w:t>
      </w:r>
      <w:r w:rsidRPr="00786382">
        <w:t>Project</w:t>
      </w:r>
      <w:r w:rsidR="006C6F09" w:rsidRPr="00786382">
        <w:t xml:space="preserve"> </w:t>
      </w:r>
      <w:r w:rsidRPr="00786382">
        <w:t>that</w:t>
      </w:r>
      <w:r w:rsidR="006C6F09" w:rsidRPr="00786382">
        <w:t xml:space="preserve"> </w:t>
      </w:r>
      <w:r w:rsidRPr="00786382">
        <w:t>Normally</w:t>
      </w:r>
      <w:r w:rsidR="006C6F09" w:rsidRPr="00786382">
        <w:t xml:space="preserve"> </w:t>
      </w:r>
      <w:r w:rsidRPr="00786382">
        <w:t>Requires</w:t>
      </w:r>
      <w:r w:rsidR="006C6F09" w:rsidRPr="00786382">
        <w:t xml:space="preserve"> </w:t>
      </w:r>
      <w:r w:rsidRPr="00786382">
        <w:t>and</w:t>
      </w:r>
      <w:r w:rsidR="006C6F09" w:rsidRPr="00786382">
        <w:t xml:space="preserve"> </w:t>
      </w:r>
      <w:r w:rsidRPr="00786382">
        <w:t>EIS</w:t>
      </w:r>
      <w:r w:rsidR="006C6F09" w:rsidRPr="00786382">
        <w:t xml:space="preserve"> </w:t>
      </w:r>
      <w:r w:rsidRPr="00786382">
        <w:t>per</w:t>
      </w:r>
      <w:r w:rsidR="006C6F09" w:rsidRPr="00786382">
        <w:t xml:space="preserve"> </w:t>
      </w:r>
      <w:r w:rsidRPr="00786382">
        <w:t>23</w:t>
      </w:r>
      <w:r w:rsidR="006C6F09" w:rsidRPr="00786382">
        <w:t xml:space="preserve"> </w:t>
      </w:r>
      <w:r w:rsidRPr="00786382">
        <w:t>CFR</w:t>
      </w:r>
      <w:r w:rsidR="006C6F09" w:rsidRPr="00786382">
        <w:t xml:space="preserve"> </w:t>
      </w:r>
      <w:r w:rsidRPr="00786382">
        <w:t>771.115(a))</w:t>
      </w:r>
      <w:bookmarkEnd w:id="87"/>
      <w:bookmarkEnd w:id="88"/>
      <w:r w:rsidR="006C6F09" w:rsidRPr="00786382">
        <w:t xml:space="preserve"> </w:t>
      </w:r>
    </w:p>
    <w:p w14:paraId="2616EFF2" w14:textId="716D59BA" w:rsidR="00457754" w:rsidRDefault="00457754" w:rsidP="00457754">
      <w:pPr>
        <w:spacing w:after="0"/>
      </w:pPr>
      <w:r>
        <w:t>When</w:t>
      </w:r>
      <w:r w:rsidR="006C6F09">
        <w:t xml:space="preserve"> </w:t>
      </w:r>
      <w:r>
        <w:t>TxDOT</w:t>
      </w:r>
      <w:r w:rsidR="006C6F09">
        <w:t xml:space="preserve"> </w:t>
      </w:r>
      <w:r>
        <w:t>expects</w:t>
      </w:r>
      <w:r w:rsidR="006C6F09">
        <w:t xml:space="preserve"> </w:t>
      </w:r>
      <w:r>
        <w:t>to</w:t>
      </w:r>
      <w:r w:rsidR="006C6F09">
        <w:t xml:space="preserve"> </w:t>
      </w:r>
      <w:r>
        <w:t>issue</w:t>
      </w:r>
      <w:r w:rsidR="006C6F09">
        <w:t xml:space="preserve"> </w:t>
      </w:r>
      <w:r>
        <w:t>a</w:t>
      </w:r>
      <w:r w:rsidR="006C6F09">
        <w:t xml:space="preserve"> </w:t>
      </w:r>
      <w:r>
        <w:t>FONSI</w:t>
      </w:r>
      <w:r w:rsidR="006C6F09">
        <w:t xml:space="preserve"> </w:t>
      </w:r>
      <w:r>
        <w:t>for</w:t>
      </w:r>
      <w:r w:rsidR="006C6F09">
        <w:t xml:space="preserve"> </w:t>
      </w:r>
      <w:r>
        <w:t>an</w:t>
      </w:r>
      <w:r w:rsidR="006C6F09">
        <w:t xml:space="preserve"> </w:t>
      </w:r>
      <w:r>
        <w:t>FHWA</w:t>
      </w:r>
      <w:r w:rsidR="006C6F09">
        <w:t xml:space="preserve"> </w:t>
      </w:r>
      <w:r>
        <w:t>project</w:t>
      </w:r>
      <w:r w:rsidR="006C6F09">
        <w:t xml:space="preserve"> </w:t>
      </w:r>
      <w:r>
        <w:t>that</w:t>
      </w:r>
      <w:r w:rsidR="006C6F09">
        <w:t xml:space="preserve"> </w:t>
      </w:r>
      <w:r>
        <w:t>normally</w:t>
      </w:r>
      <w:r w:rsidR="006C6F09">
        <w:t xml:space="preserve"> </w:t>
      </w:r>
      <w:r>
        <w:t>requires</w:t>
      </w:r>
      <w:r w:rsidR="006C6F09">
        <w:t xml:space="preserve"> </w:t>
      </w:r>
      <w:r>
        <w:t>an</w:t>
      </w:r>
      <w:r w:rsidR="006C6F09">
        <w:t xml:space="preserve"> </w:t>
      </w:r>
      <w:r>
        <w:t>EIS</w:t>
      </w:r>
      <w:r w:rsidR="006C6F09">
        <w:t xml:space="preserve"> </w:t>
      </w:r>
      <w:hyperlink r:id="rId68" w:history="1">
        <w:r w:rsidRPr="00B102C3">
          <w:rPr>
            <w:rStyle w:val="Hyperlink"/>
          </w:rPr>
          <w:t>(Title</w:t>
        </w:r>
        <w:r w:rsidR="006C6F09">
          <w:rPr>
            <w:rStyle w:val="Hyperlink"/>
          </w:rPr>
          <w:t xml:space="preserve"> </w:t>
        </w:r>
        <w:r w:rsidRPr="00B102C3">
          <w:rPr>
            <w:rStyle w:val="Hyperlink"/>
          </w:rPr>
          <w:t>23</w:t>
        </w:r>
        <w:r w:rsidR="006C6F09">
          <w:rPr>
            <w:rStyle w:val="Hyperlink"/>
          </w:rPr>
          <w:t xml:space="preserve"> </w:t>
        </w:r>
        <w:r w:rsidRPr="00B102C3">
          <w:rPr>
            <w:rStyle w:val="Hyperlink"/>
          </w:rPr>
          <w:t>Code</w:t>
        </w:r>
        <w:r w:rsidR="006C6F09">
          <w:rPr>
            <w:rStyle w:val="Hyperlink"/>
          </w:rPr>
          <w:t xml:space="preserve"> </w:t>
        </w:r>
        <w:r w:rsidRPr="00B102C3">
          <w:rPr>
            <w:rStyle w:val="Hyperlink"/>
          </w:rPr>
          <w:t>of</w:t>
        </w:r>
        <w:r w:rsidR="006C6F09">
          <w:rPr>
            <w:rStyle w:val="Hyperlink"/>
          </w:rPr>
          <w:t xml:space="preserve"> </w:t>
        </w:r>
        <w:r w:rsidRPr="00B102C3">
          <w:rPr>
            <w:rStyle w:val="Hyperlink"/>
          </w:rPr>
          <w:t>Federal</w:t>
        </w:r>
        <w:r w:rsidR="006C6F09">
          <w:rPr>
            <w:rStyle w:val="Hyperlink"/>
          </w:rPr>
          <w:t xml:space="preserve"> </w:t>
        </w:r>
        <w:r w:rsidRPr="00B102C3">
          <w:rPr>
            <w:rStyle w:val="Hyperlink"/>
          </w:rPr>
          <w:t>Regulations</w:t>
        </w:r>
        <w:r w:rsidR="006C6F09">
          <w:rPr>
            <w:rStyle w:val="Hyperlink"/>
          </w:rPr>
          <w:t xml:space="preserve"> </w:t>
        </w:r>
        <w:r w:rsidRPr="00B102C3">
          <w:rPr>
            <w:rStyle w:val="Hyperlink"/>
          </w:rPr>
          <w:t>Part</w:t>
        </w:r>
        <w:r w:rsidR="006C6F09">
          <w:rPr>
            <w:rStyle w:val="Hyperlink"/>
          </w:rPr>
          <w:t xml:space="preserve"> </w:t>
        </w:r>
        <w:r w:rsidRPr="00B102C3">
          <w:rPr>
            <w:rStyle w:val="Hyperlink"/>
          </w:rPr>
          <w:t>771.115(a)),</w:t>
        </w:r>
      </w:hyperlink>
      <w:r w:rsidR="006C6F09">
        <w:t xml:space="preserve"> </w:t>
      </w:r>
      <w:r>
        <w:t>the</w:t>
      </w:r>
      <w:r w:rsidR="006C6F09">
        <w:t xml:space="preserve"> </w:t>
      </w:r>
      <w:r>
        <w:t>final</w:t>
      </w:r>
      <w:r w:rsidR="006C6F09">
        <w:t xml:space="preserve"> </w:t>
      </w:r>
      <w:r>
        <w:t>EA</w:t>
      </w:r>
      <w:r w:rsidR="006C6F09">
        <w:t xml:space="preserve"> </w:t>
      </w:r>
      <w:r>
        <w:t>must</w:t>
      </w:r>
      <w:r w:rsidR="006C6F09">
        <w:t xml:space="preserve"> </w:t>
      </w:r>
      <w:r>
        <w:t>be</w:t>
      </w:r>
      <w:r w:rsidR="006C6F09">
        <w:t xml:space="preserve"> </w:t>
      </w:r>
      <w:r>
        <w:t>made</w:t>
      </w:r>
      <w:r w:rsidR="006C6F09">
        <w:t xml:space="preserve"> </w:t>
      </w:r>
      <w:r>
        <w:t>available</w:t>
      </w:r>
      <w:r w:rsidR="006C6F09">
        <w:t xml:space="preserve"> </w:t>
      </w:r>
      <w:r>
        <w:t>for</w:t>
      </w:r>
      <w:r w:rsidR="006C6F09">
        <w:t xml:space="preserve"> </w:t>
      </w:r>
      <w:r>
        <w:t>public</w:t>
      </w:r>
      <w:r w:rsidR="006C6F09">
        <w:t xml:space="preserve"> </w:t>
      </w:r>
      <w:r>
        <w:t>review</w:t>
      </w:r>
      <w:r w:rsidR="006C6F09">
        <w:t xml:space="preserve"> </w:t>
      </w:r>
      <w:r>
        <w:t>for</w:t>
      </w:r>
      <w:r w:rsidR="006C6F09">
        <w:t xml:space="preserve"> </w:t>
      </w:r>
      <w:r>
        <w:t>a</w:t>
      </w:r>
      <w:r w:rsidR="006C6F09">
        <w:t xml:space="preserve"> </w:t>
      </w:r>
      <w:r>
        <w:t>minimum</w:t>
      </w:r>
      <w:r w:rsidR="006C6F09">
        <w:t xml:space="preserve"> </w:t>
      </w:r>
      <w:r>
        <w:t>of</w:t>
      </w:r>
      <w:r w:rsidR="006C6F09">
        <w:t xml:space="preserve"> </w:t>
      </w:r>
      <w:r>
        <w:t>30</w:t>
      </w:r>
      <w:r w:rsidR="006C6F09">
        <w:t xml:space="preserve"> </w:t>
      </w:r>
      <w:r>
        <w:t>calendar</w:t>
      </w:r>
      <w:r w:rsidR="006C6F09">
        <w:t xml:space="preserve"> </w:t>
      </w:r>
      <w:r>
        <w:t>days</w:t>
      </w:r>
      <w:r w:rsidR="006C6F09">
        <w:t xml:space="preserve"> </w:t>
      </w:r>
      <w:r>
        <w:t>before</w:t>
      </w:r>
      <w:r w:rsidR="006C6F09">
        <w:t xml:space="preserve"> </w:t>
      </w:r>
      <w:r>
        <w:t>the</w:t>
      </w:r>
      <w:r w:rsidR="006C6F09">
        <w:t xml:space="preserve"> </w:t>
      </w:r>
      <w:r>
        <w:t>issuance</w:t>
      </w:r>
      <w:r w:rsidR="006C6F09">
        <w:t xml:space="preserve"> </w:t>
      </w:r>
      <w:r>
        <w:t>of</w:t>
      </w:r>
      <w:r w:rsidR="006C6F09">
        <w:t xml:space="preserve"> </w:t>
      </w:r>
      <w:r>
        <w:t>a</w:t>
      </w:r>
      <w:r w:rsidR="006C6F09">
        <w:t xml:space="preserve"> </w:t>
      </w:r>
      <w:r>
        <w:t>FONSI.</w:t>
      </w:r>
      <w:r w:rsidR="006C6F09">
        <w:t xml:space="preserve"> </w:t>
      </w:r>
      <w:r>
        <w:t>(See</w:t>
      </w:r>
      <w:r w:rsidR="006C6F09">
        <w:t xml:space="preserve"> </w:t>
      </w:r>
      <w:hyperlink r:id="rId69" w:anchor="se23.1.771_1119" w:history="1">
        <w:r w:rsidRPr="00C81C52">
          <w:rPr>
            <w:rStyle w:val="Hyperlink"/>
          </w:rPr>
          <w:t>Title</w:t>
        </w:r>
        <w:r w:rsidR="006C6F09">
          <w:rPr>
            <w:rStyle w:val="Hyperlink"/>
          </w:rPr>
          <w:t xml:space="preserve"> </w:t>
        </w:r>
        <w:r w:rsidRPr="00C81C52">
          <w:rPr>
            <w:rStyle w:val="Hyperlink"/>
          </w:rPr>
          <w:t>23</w:t>
        </w:r>
        <w:r w:rsidR="006C6F09">
          <w:rPr>
            <w:rStyle w:val="Hyperlink"/>
          </w:rPr>
          <w:t xml:space="preserve"> </w:t>
        </w:r>
        <w:r w:rsidRPr="00C81C52">
          <w:rPr>
            <w:rStyle w:val="Hyperlink"/>
          </w:rPr>
          <w:t>Code</w:t>
        </w:r>
        <w:r w:rsidR="006C6F09">
          <w:rPr>
            <w:rStyle w:val="Hyperlink"/>
          </w:rPr>
          <w:t xml:space="preserve"> </w:t>
        </w:r>
        <w:r w:rsidRPr="00C81C52">
          <w:rPr>
            <w:rStyle w:val="Hyperlink"/>
          </w:rPr>
          <w:t>of</w:t>
        </w:r>
        <w:r w:rsidR="006C6F09">
          <w:rPr>
            <w:rStyle w:val="Hyperlink"/>
          </w:rPr>
          <w:t xml:space="preserve"> </w:t>
        </w:r>
        <w:r w:rsidRPr="00C81C52">
          <w:rPr>
            <w:rStyle w:val="Hyperlink"/>
          </w:rPr>
          <w:t>Federal</w:t>
        </w:r>
        <w:r w:rsidR="006C6F09">
          <w:rPr>
            <w:rStyle w:val="Hyperlink"/>
          </w:rPr>
          <w:t xml:space="preserve"> </w:t>
        </w:r>
        <w:r w:rsidRPr="00C81C52">
          <w:rPr>
            <w:rStyle w:val="Hyperlink"/>
          </w:rPr>
          <w:t>Regulations</w:t>
        </w:r>
        <w:r w:rsidR="006C6F09">
          <w:rPr>
            <w:rStyle w:val="Hyperlink"/>
          </w:rPr>
          <w:t xml:space="preserve"> </w:t>
        </w:r>
        <w:r w:rsidRPr="00C81C52">
          <w:rPr>
            <w:rStyle w:val="Hyperlink"/>
          </w:rPr>
          <w:t>Part</w:t>
        </w:r>
        <w:r w:rsidR="00135456">
          <w:rPr>
            <w:rStyle w:val="Hyperlink"/>
          </w:rPr>
          <w:t xml:space="preserve"> </w:t>
        </w:r>
        <w:r w:rsidRPr="00C81C52">
          <w:rPr>
            <w:rStyle w:val="Hyperlink"/>
          </w:rPr>
          <w:t>771.119(h)</w:t>
        </w:r>
      </w:hyperlink>
      <w:r w:rsidRPr="00C81C52">
        <w:t>).</w:t>
      </w:r>
      <w:r w:rsidR="00135456">
        <w:t xml:space="preserve"> </w:t>
      </w:r>
      <w:r>
        <w:t>The</w:t>
      </w:r>
      <w:r w:rsidR="006C6F09">
        <w:t xml:space="preserve"> </w:t>
      </w:r>
      <w:r>
        <w:t>four</w:t>
      </w:r>
      <w:r w:rsidR="006C6F09">
        <w:t xml:space="preserve"> </w:t>
      </w:r>
      <w:r>
        <w:t>project</w:t>
      </w:r>
      <w:r w:rsidR="006C6F09">
        <w:t xml:space="preserve"> </w:t>
      </w:r>
      <w:r>
        <w:t>types</w:t>
      </w:r>
      <w:r w:rsidR="006C6F09">
        <w:t xml:space="preserve"> </w:t>
      </w:r>
      <w:r>
        <w:t>listed</w:t>
      </w:r>
      <w:r w:rsidR="006C6F09">
        <w:t xml:space="preserve"> </w:t>
      </w:r>
      <w:r>
        <w:t>as</w:t>
      </w:r>
      <w:r w:rsidR="006C6F09">
        <w:t xml:space="preserve"> </w:t>
      </w:r>
      <w:r>
        <w:t>normally</w:t>
      </w:r>
      <w:r w:rsidR="006C6F09">
        <w:t xml:space="preserve"> </w:t>
      </w:r>
      <w:r>
        <w:t>requiring</w:t>
      </w:r>
      <w:r w:rsidR="006C6F09">
        <w:t xml:space="preserve"> </w:t>
      </w:r>
      <w:r>
        <w:t>an</w:t>
      </w:r>
      <w:r w:rsidR="006C6F09">
        <w:t xml:space="preserve"> </w:t>
      </w:r>
      <w:r>
        <w:t>EIS</w:t>
      </w:r>
      <w:r w:rsidR="006C6F09">
        <w:t xml:space="preserve"> </w:t>
      </w:r>
      <w:r>
        <w:t>at</w:t>
      </w:r>
      <w:r w:rsidR="006C6F09">
        <w:t xml:space="preserve"> </w:t>
      </w:r>
      <w:r w:rsidRPr="00263E76">
        <w:rPr>
          <w:i/>
          <w:iCs/>
        </w:rPr>
        <w:t>23</w:t>
      </w:r>
      <w:r w:rsidR="006C6F09">
        <w:rPr>
          <w:i/>
          <w:iCs/>
        </w:rPr>
        <w:t xml:space="preserve"> </w:t>
      </w:r>
      <w:r w:rsidRPr="00263E76">
        <w:rPr>
          <w:i/>
          <w:iCs/>
        </w:rPr>
        <w:t>CFR</w:t>
      </w:r>
      <w:r w:rsidR="006C6F09">
        <w:rPr>
          <w:i/>
          <w:iCs/>
        </w:rPr>
        <w:t xml:space="preserve"> </w:t>
      </w:r>
      <w:r w:rsidRPr="00263E76">
        <w:rPr>
          <w:i/>
          <w:iCs/>
        </w:rPr>
        <w:t>771</w:t>
      </w:r>
      <w:r>
        <w:t>.115(a),</w:t>
      </w:r>
      <w:r w:rsidR="006C6F09">
        <w:t xml:space="preserve"> </w:t>
      </w:r>
      <w:r>
        <w:t>and</w:t>
      </w:r>
      <w:r w:rsidR="006C6F09">
        <w:t xml:space="preserve"> </w:t>
      </w:r>
      <w:r>
        <w:t>that</w:t>
      </w:r>
      <w:r w:rsidR="006C6F09">
        <w:t xml:space="preserve"> </w:t>
      </w:r>
      <w:r>
        <w:t>are</w:t>
      </w:r>
      <w:r w:rsidR="006C6F09">
        <w:t xml:space="preserve"> </w:t>
      </w:r>
      <w:r>
        <w:t>subject</w:t>
      </w:r>
      <w:r w:rsidR="006C6F09">
        <w:t xml:space="preserve"> </w:t>
      </w:r>
      <w:r>
        <w:t>to</w:t>
      </w:r>
      <w:r w:rsidR="006C6F09">
        <w:t xml:space="preserve"> </w:t>
      </w:r>
      <w:r>
        <w:t>this</w:t>
      </w:r>
      <w:r w:rsidR="006C6F09">
        <w:t xml:space="preserve"> </w:t>
      </w:r>
      <w:r>
        <w:t>extra</w:t>
      </w:r>
      <w:r w:rsidR="006C6F09">
        <w:t xml:space="preserve"> </w:t>
      </w:r>
      <w:r>
        <w:t>requirement,</w:t>
      </w:r>
      <w:r w:rsidR="006C6F09">
        <w:t xml:space="preserve"> </w:t>
      </w:r>
      <w:r>
        <w:t>are</w:t>
      </w:r>
      <w:r w:rsidR="006C6F09">
        <w:t xml:space="preserve"> </w:t>
      </w:r>
      <w:r>
        <w:t>as</w:t>
      </w:r>
      <w:r w:rsidR="006C6F09">
        <w:t xml:space="preserve"> </w:t>
      </w:r>
      <w:r>
        <w:t>follows:</w:t>
      </w:r>
    </w:p>
    <w:p w14:paraId="58FFCDE9" w14:textId="416E9BED" w:rsidR="00457754" w:rsidRPr="000D7118" w:rsidRDefault="00457754" w:rsidP="00457754">
      <w:pPr>
        <w:pStyle w:val="ListBullet"/>
      </w:pPr>
      <w:r w:rsidRPr="000D7118">
        <w:t>a</w:t>
      </w:r>
      <w:r w:rsidR="006C6F09">
        <w:t xml:space="preserve"> </w:t>
      </w:r>
      <w:r w:rsidRPr="000D7118">
        <w:t>new</w:t>
      </w:r>
      <w:r w:rsidR="006C6F09">
        <w:t xml:space="preserve"> </w:t>
      </w:r>
      <w:r w:rsidRPr="000D7118">
        <w:t>controlled</w:t>
      </w:r>
      <w:r w:rsidR="006C6F09">
        <w:t xml:space="preserve"> </w:t>
      </w:r>
      <w:r w:rsidRPr="000D7118">
        <w:t>access</w:t>
      </w:r>
      <w:r w:rsidR="006C6F09">
        <w:t xml:space="preserve"> </w:t>
      </w:r>
      <w:proofErr w:type="gramStart"/>
      <w:r w:rsidRPr="000D7118">
        <w:t>freeway;</w:t>
      </w:r>
      <w:proofErr w:type="gramEnd"/>
    </w:p>
    <w:p w14:paraId="688B49EB" w14:textId="098B46AB" w:rsidR="00457754" w:rsidRPr="000D7118" w:rsidRDefault="00457754" w:rsidP="00457754">
      <w:pPr>
        <w:pStyle w:val="ListBullet"/>
      </w:pPr>
      <w:r w:rsidRPr="000D7118">
        <w:t>a</w:t>
      </w:r>
      <w:r w:rsidR="006C6F09">
        <w:t xml:space="preserve"> </w:t>
      </w:r>
      <w:r w:rsidRPr="000D7118">
        <w:t>highway</w:t>
      </w:r>
      <w:r w:rsidR="006C6F09">
        <w:t xml:space="preserve"> </w:t>
      </w:r>
      <w:r w:rsidRPr="000D7118">
        <w:t>project</w:t>
      </w:r>
      <w:r w:rsidR="006C6F09">
        <w:t xml:space="preserve"> </w:t>
      </w:r>
      <w:r w:rsidRPr="000D7118">
        <w:t>of</w:t>
      </w:r>
      <w:r w:rsidR="006C6F09">
        <w:t xml:space="preserve"> </w:t>
      </w:r>
      <w:r w:rsidRPr="000D7118">
        <w:t>four</w:t>
      </w:r>
      <w:r w:rsidR="006C6F09">
        <w:t xml:space="preserve"> </w:t>
      </w:r>
      <w:r w:rsidRPr="000D7118">
        <w:t>or</w:t>
      </w:r>
      <w:r w:rsidR="006C6F09">
        <w:t xml:space="preserve"> </w:t>
      </w:r>
      <w:r w:rsidRPr="000D7118">
        <w:t>more</w:t>
      </w:r>
      <w:r w:rsidR="006C6F09">
        <w:t xml:space="preserve"> </w:t>
      </w:r>
      <w:r w:rsidRPr="000D7118">
        <w:t>lanes</w:t>
      </w:r>
      <w:r w:rsidR="006C6F09">
        <w:t xml:space="preserve"> </w:t>
      </w:r>
      <w:r w:rsidRPr="000D7118">
        <w:t>on</w:t>
      </w:r>
      <w:r w:rsidR="006C6F09">
        <w:t xml:space="preserve"> </w:t>
      </w:r>
      <w:r w:rsidRPr="000D7118">
        <w:t>a</w:t>
      </w:r>
      <w:r w:rsidR="006C6F09">
        <w:t xml:space="preserve"> </w:t>
      </w:r>
      <w:r w:rsidRPr="000D7118">
        <w:t>new</w:t>
      </w:r>
      <w:r w:rsidR="006C6F09">
        <w:t xml:space="preserve"> </w:t>
      </w:r>
      <w:proofErr w:type="gramStart"/>
      <w:r w:rsidRPr="000D7118">
        <w:t>location;</w:t>
      </w:r>
      <w:proofErr w:type="gramEnd"/>
    </w:p>
    <w:p w14:paraId="429FBA40" w14:textId="364CCDD6" w:rsidR="00457754" w:rsidRPr="000D7118" w:rsidRDefault="00457754" w:rsidP="00457754">
      <w:pPr>
        <w:pStyle w:val="ListBullet"/>
      </w:pPr>
      <w:r w:rsidRPr="000D7118">
        <w:t>construction</w:t>
      </w:r>
      <w:r w:rsidR="006C6F09">
        <w:t xml:space="preserve"> </w:t>
      </w:r>
      <w:r w:rsidRPr="000D7118">
        <w:t>or</w:t>
      </w:r>
      <w:r w:rsidR="006C6F09">
        <w:t xml:space="preserve"> </w:t>
      </w:r>
      <w:r w:rsidRPr="000D7118">
        <w:t>extension</w:t>
      </w:r>
      <w:r w:rsidR="006C6F09">
        <w:t xml:space="preserve"> </w:t>
      </w:r>
      <w:r w:rsidRPr="000D7118">
        <w:t>of</w:t>
      </w:r>
      <w:r w:rsidR="006C6F09">
        <w:t xml:space="preserve"> </w:t>
      </w:r>
      <w:r w:rsidRPr="000D7118">
        <w:t>a</w:t>
      </w:r>
      <w:r w:rsidR="006C6F09">
        <w:t xml:space="preserve"> </w:t>
      </w:r>
      <w:r w:rsidRPr="000D7118">
        <w:t>fixed</w:t>
      </w:r>
      <w:r w:rsidR="006C6F09">
        <w:t xml:space="preserve"> </w:t>
      </w:r>
      <w:r w:rsidRPr="000D7118">
        <w:t>transit</w:t>
      </w:r>
      <w:r w:rsidR="006C6F09">
        <w:t xml:space="preserve"> </w:t>
      </w:r>
      <w:r w:rsidRPr="000D7118">
        <w:t>facility</w:t>
      </w:r>
      <w:r w:rsidR="006C6F09">
        <w:t xml:space="preserve"> </w:t>
      </w:r>
      <w:r w:rsidRPr="000D7118">
        <w:t>(</w:t>
      </w:r>
      <w:r>
        <w:t>for</w:t>
      </w:r>
      <w:r w:rsidR="006C6F09">
        <w:t xml:space="preserve"> </w:t>
      </w:r>
      <w:r>
        <w:t>example,</w:t>
      </w:r>
      <w:r w:rsidR="006C6F09">
        <w:t xml:space="preserve"> </w:t>
      </w:r>
      <w:r w:rsidRPr="000D7118">
        <w:t>rapid</w:t>
      </w:r>
      <w:r w:rsidR="006C6F09">
        <w:t xml:space="preserve"> </w:t>
      </w:r>
      <w:r w:rsidRPr="000D7118">
        <w:t>rail,</w:t>
      </w:r>
      <w:r w:rsidR="006C6F09">
        <w:t xml:space="preserve"> </w:t>
      </w:r>
      <w:r w:rsidRPr="000D7118">
        <w:t>light</w:t>
      </w:r>
      <w:r w:rsidR="006C6F09">
        <w:t xml:space="preserve"> </w:t>
      </w:r>
      <w:r w:rsidRPr="000D7118">
        <w:t>rail,</w:t>
      </w:r>
      <w:r w:rsidR="006C6F09">
        <w:t xml:space="preserve"> </w:t>
      </w:r>
      <w:r w:rsidRPr="000D7118">
        <w:t>commuter</w:t>
      </w:r>
      <w:r w:rsidR="006C6F09">
        <w:t xml:space="preserve"> </w:t>
      </w:r>
      <w:r w:rsidRPr="000D7118">
        <w:t>rail,</w:t>
      </w:r>
      <w:r w:rsidR="006C6F09">
        <w:t xml:space="preserve"> </w:t>
      </w:r>
      <w:r w:rsidRPr="000D7118">
        <w:t>bus</w:t>
      </w:r>
      <w:r w:rsidR="006C6F09">
        <w:t xml:space="preserve"> </w:t>
      </w:r>
      <w:r w:rsidRPr="000D7118">
        <w:t>rapid</w:t>
      </w:r>
      <w:r w:rsidR="006C6F09">
        <w:t xml:space="preserve"> </w:t>
      </w:r>
      <w:r w:rsidRPr="000D7118">
        <w:t>transit)</w:t>
      </w:r>
      <w:r w:rsidR="006C6F09">
        <w:t xml:space="preserve"> </w:t>
      </w:r>
      <w:r w:rsidRPr="000D7118">
        <w:t>that</w:t>
      </w:r>
      <w:r w:rsidR="006C6F09">
        <w:t xml:space="preserve"> </w:t>
      </w:r>
      <w:r w:rsidRPr="000D7118">
        <w:t>will</w:t>
      </w:r>
      <w:r w:rsidR="006C6F09">
        <w:t xml:space="preserve"> </w:t>
      </w:r>
      <w:r w:rsidRPr="000D7118">
        <w:t>not</w:t>
      </w:r>
      <w:r w:rsidR="006C6F09">
        <w:t xml:space="preserve"> </w:t>
      </w:r>
      <w:r w:rsidRPr="000D7118">
        <w:t>be</w:t>
      </w:r>
      <w:r w:rsidR="006C6F09">
        <w:t xml:space="preserve"> </w:t>
      </w:r>
      <w:r w:rsidRPr="000D7118">
        <w:t>located</w:t>
      </w:r>
      <w:r w:rsidR="006C6F09">
        <w:t xml:space="preserve"> </w:t>
      </w:r>
      <w:r w:rsidRPr="000D7118">
        <w:t>within</w:t>
      </w:r>
      <w:r w:rsidR="006C6F09">
        <w:t xml:space="preserve"> </w:t>
      </w:r>
      <w:r w:rsidRPr="000D7118">
        <w:t>an</w:t>
      </w:r>
      <w:r w:rsidR="006C6F09">
        <w:t xml:space="preserve"> </w:t>
      </w:r>
      <w:r w:rsidRPr="000D7118">
        <w:t>existing</w:t>
      </w:r>
      <w:r w:rsidR="006C6F09">
        <w:t xml:space="preserve"> </w:t>
      </w:r>
      <w:r w:rsidRPr="000D7118">
        <w:t>transportation</w:t>
      </w:r>
      <w:r w:rsidR="006C6F09">
        <w:t xml:space="preserve"> </w:t>
      </w:r>
      <w:r w:rsidRPr="000D7118">
        <w:t>right-of-way;</w:t>
      </w:r>
      <w:r w:rsidR="006C6F09">
        <w:t xml:space="preserve"> </w:t>
      </w:r>
      <w:r w:rsidRPr="000D7118">
        <w:t>and</w:t>
      </w:r>
    </w:p>
    <w:p w14:paraId="04B90916" w14:textId="2B42B64B" w:rsidR="00457754" w:rsidRPr="000D7118" w:rsidRDefault="00457754" w:rsidP="00457754">
      <w:pPr>
        <w:pStyle w:val="ListBullet"/>
      </w:pPr>
      <w:r w:rsidRPr="000D7118">
        <w:t>new</w:t>
      </w:r>
      <w:r w:rsidR="006C6F09">
        <w:t xml:space="preserve"> </w:t>
      </w:r>
      <w:r w:rsidRPr="000D7118">
        <w:t>construction</w:t>
      </w:r>
      <w:r w:rsidR="006C6F09">
        <w:t xml:space="preserve"> </w:t>
      </w:r>
      <w:r w:rsidRPr="000D7118">
        <w:t>or</w:t>
      </w:r>
      <w:r w:rsidR="006C6F09">
        <w:t xml:space="preserve"> </w:t>
      </w:r>
      <w:r w:rsidRPr="000D7118">
        <w:t>extension</w:t>
      </w:r>
      <w:r w:rsidR="006C6F09">
        <w:t xml:space="preserve"> </w:t>
      </w:r>
      <w:r w:rsidRPr="000D7118">
        <w:t>of</w:t>
      </w:r>
      <w:r w:rsidR="006C6F09">
        <w:t xml:space="preserve"> </w:t>
      </w:r>
      <w:r w:rsidRPr="000D7118">
        <w:t>a</w:t>
      </w:r>
      <w:r w:rsidR="006C6F09">
        <w:t xml:space="preserve"> </w:t>
      </w:r>
      <w:r w:rsidRPr="000D7118">
        <w:t>separate</w:t>
      </w:r>
      <w:r w:rsidR="006C6F09">
        <w:t xml:space="preserve"> </w:t>
      </w:r>
      <w:r w:rsidRPr="000D7118">
        <w:t>roadway</w:t>
      </w:r>
      <w:r w:rsidR="006C6F09">
        <w:t xml:space="preserve"> </w:t>
      </w:r>
      <w:r w:rsidRPr="000D7118">
        <w:t>for</w:t>
      </w:r>
      <w:r w:rsidR="006C6F09">
        <w:t xml:space="preserve"> </w:t>
      </w:r>
      <w:r w:rsidRPr="000D7118">
        <w:t>buses</w:t>
      </w:r>
      <w:r w:rsidR="006C6F09">
        <w:t xml:space="preserve"> </w:t>
      </w:r>
      <w:r w:rsidRPr="000D7118">
        <w:t>or</w:t>
      </w:r>
      <w:r w:rsidR="006C6F09">
        <w:t xml:space="preserve"> </w:t>
      </w:r>
      <w:r w:rsidRPr="000D7118">
        <w:t>high</w:t>
      </w:r>
      <w:r w:rsidR="006C6F09">
        <w:t xml:space="preserve"> </w:t>
      </w:r>
      <w:r w:rsidRPr="000D7118">
        <w:t>occupancy</w:t>
      </w:r>
      <w:r w:rsidR="006C6F09">
        <w:t xml:space="preserve"> </w:t>
      </w:r>
      <w:r w:rsidRPr="000D7118">
        <w:t>vehicles</w:t>
      </w:r>
      <w:r w:rsidR="006C6F09">
        <w:t xml:space="preserve"> </w:t>
      </w:r>
      <w:r w:rsidRPr="000D7118">
        <w:t>not</w:t>
      </w:r>
      <w:r w:rsidR="006C6F09">
        <w:t xml:space="preserve"> </w:t>
      </w:r>
      <w:r w:rsidRPr="000D7118">
        <w:t>located</w:t>
      </w:r>
      <w:r w:rsidR="006C6F09">
        <w:t xml:space="preserve"> </w:t>
      </w:r>
      <w:r w:rsidRPr="000D7118">
        <w:t>within</w:t>
      </w:r>
      <w:r w:rsidR="006C6F09">
        <w:t xml:space="preserve"> </w:t>
      </w:r>
      <w:r w:rsidRPr="000D7118">
        <w:t>an</w:t>
      </w:r>
      <w:r w:rsidR="006C6F09">
        <w:t xml:space="preserve"> </w:t>
      </w:r>
      <w:r w:rsidRPr="000D7118">
        <w:t>existing</w:t>
      </w:r>
      <w:r w:rsidR="006C6F09">
        <w:t xml:space="preserve"> </w:t>
      </w:r>
      <w:r w:rsidRPr="000D7118">
        <w:t>highway</w:t>
      </w:r>
      <w:r w:rsidR="006C6F09">
        <w:t xml:space="preserve"> </w:t>
      </w:r>
      <w:r w:rsidRPr="000D7118">
        <w:t>facility.</w:t>
      </w:r>
    </w:p>
    <w:p w14:paraId="499E50AE" w14:textId="57D5E54F" w:rsidR="00457754" w:rsidRDefault="00457754" w:rsidP="00457754">
      <w:r>
        <w:t>These</w:t>
      </w:r>
      <w:r w:rsidR="006C6F09">
        <w:t xml:space="preserve"> </w:t>
      </w:r>
      <w:r>
        <w:t>projects</w:t>
      </w:r>
      <w:r w:rsidR="006C6F09">
        <w:t xml:space="preserve"> </w:t>
      </w:r>
      <w:r>
        <w:t>are</w:t>
      </w:r>
      <w:r w:rsidR="006C6F09">
        <w:t xml:space="preserve"> </w:t>
      </w:r>
      <w:r>
        <w:t>readily</w:t>
      </w:r>
      <w:r w:rsidR="006C6F09">
        <w:t xml:space="preserve"> </w:t>
      </w:r>
      <w:r>
        <w:t>identifiable</w:t>
      </w:r>
      <w:r w:rsidR="006C6F09">
        <w:t xml:space="preserve"> </w:t>
      </w:r>
      <w:r>
        <w:t>as</w:t>
      </w:r>
      <w:r w:rsidR="006C6F09">
        <w:t xml:space="preserve"> </w:t>
      </w:r>
      <w:r>
        <w:t>they</w:t>
      </w:r>
      <w:r w:rsidR="006C6F09">
        <w:t xml:space="preserve"> </w:t>
      </w:r>
      <w:r>
        <w:t>require</w:t>
      </w:r>
      <w:r w:rsidR="006C6F09">
        <w:t xml:space="preserve"> </w:t>
      </w:r>
      <w:r>
        <w:t>the</w:t>
      </w:r>
      <w:r w:rsidR="006C6F09">
        <w:t xml:space="preserve"> </w:t>
      </w:r>
      <w:r>
        <w:t>preparation</w:t>
      </w:r>
      <w:r w:rsidR="006C6F09">
        <w:t xml:space="preserve"> </w:t>
      </w:r>
      <w:r>
        <w:t>of</w:t>
      </w:r>
      <w:r w:rsidR="006C6F09">
        <w:t xml:space="preserve"> </w:t>
      </w:r>
      <w:r>
        <w:t>an</w:t>
      </w:r>
      <w:r w:rsidR="006C6F09">
        <w:t xml:space="preserve"> </w:t>
      </w:r>
      <w:r>
        <w:t>EA</w:t>
      </w:r>
      <w:r w:rsidR="006C6F09">
        <w:t xml:space="preserve"> </w:t>
      </w:r>
      <w:r>
        <w:t>classification</w:t>
      </w:r>
      <w:r w:rsidR="006C6F09">
        <w:t xml:space="preserve"> </w:t>
      </w:r>
      <w:r>
        <w:t>letter</w:t>
      </w:r>
      <w:r w:rsidR="006C6F09">
        <w:t xml:space="preserve"> </w:t>
      </w:r>
      <w:r>
        <w:t>by</w:t>
      </w:r>
      <w:r w:rsidR="006C6F09">
        <w:t xml:space="preserve"> </w:t>
      </w:r>
      <w:r>
        <w:t>which</w:t>
      </w:r>
      <w:r w:rsidR="006C6F09">
        <w:t xml:space="preserve"> </w:t>
      </w:r>
      <w:r>
        <w:t>ENV</w:t>
      </w:r>
      <w:r w:rsidR="006C6F09">
        <w:t xml:space="preserve"> </w:t>
      </w:r>
      <w:r>
        <w:t>approves</w:t>
      </w:r>
      <w:r w:rsidR="006C6F09">
        <w:t xml:space="preserve"> </w:t>
      </w:r>
      <w:r>
        <w:t>the</w:t>
      </w:r>
      <w:r w:rsidR="006C6F09">
        <w:t xml:space="preserve"> </w:t>
      </w:r>
      <w:r>
        <w:t>“downgrade”</w:t>
      </w:r>
      <w:r w:rsidR="006C6F09">
        <w:t xml:space="preserve"> </w:t>
      </w:r>
      <w:r>
        <w:t>from</w:t>
      </w:r>
      <w:r w:rsidR="006C6F09">
        <w:t xml:space="preserve"> </w:t>
      </w:r>
      <w:r>
        <w:t>EIS</w:t>
      </w:r>
      <w:r w:rsidR="006C6F09">
        <w:t xml:space="preserve"> </w:t>
      </w:r>
      <w:r>
        <w:t>to</w:t>
      </w:r>
      <w:r w:rsidR="006C6F09">
        <w:t xml:space="preserve"> </w:t>
      </w:r>
      <w:r>
        <w:t>EA.</w:t>
      </w:r>
      <w:r w:rsidR="006C6F09">
        <w:t xml:space="preserve"> </w:t>
      </w:r>
      <w:r>
        <w:t>For</w:t>
      </w:r>
      <w:r w:rsidR="006C6F09">
        <w:t xml:space="preserve"> </w:t>
      </w:r>
      <w:r>
        <w:t>“a</w:t>
      </w:r>
      <w:r w:rsidR="006C6F09">
        <w:t xml:space="preserve"> </w:t>
      </w:r>
      <w:r>
        <w:t>highway</w:t>
      </w:r>
      <w:r w:rsidR="006C6F09">
        <w:t xml:space="preserve"> </w:t>
      </w:r>
      <w:r>
        <w:t>project</w:t>
      </w:r>
      <w:r w:rsidR="006C6F09">
        <w:t xml:space="preserve"> </w:t>
      </w:r>
      <w:r>
        <w:t>of</w:t>
      </w:r>
      <w:r w:rsidR="006C6F09">
        <w:t xml:space="preserve"> </w:t>
      </w:r>
      <w:r>
        <w:t>four</w:t>
      </w:r>
      <w:r w:rsidR="006C6F09">
        <w:t xml:space="preserve"> </w:t>
      </w:r>
      <w:r>
        <w:t>or</w:t>
      </w:r>
      <w:r w:rsidR="006C6F09">
        <w:t xml:space="preserve"> </w:t>
      </w:r>
      <w:r>
        <w:t>more</w:t>
      </w:r>
      <w:r w:rsidR="006C6F09">
        <w:t xml:space="preserve"> </w:t>
      </w:r>
      <w:r>
        <w:t>lanes</w:t>
      </w:r>
      <w:r w:rsidR="006C6F09">
        <w:t xml:space="preserve"> </w:t>
      </w:r>
      <w:r>
        <w:t>on</w:t>
      </w:r>
      <w:r w:rsidR="006C6F09">
        <w:t xml:space="preserve"> </w:t>
      </w:r>
      <w:r>
        <w:t>a</w:t>
      </w:r>
      <w:r w:rsidR="006C6F09">
        <w:t xml:space="preserve"> </w:t>
      </w:r>
      <w:r>
        <w:t>new</w:t>
      </w:r>
      <w:r w:rsidR="006C6F09">
        <w:t xml:space="preserve"> </w:t>
      </w:r>
      <w:r>
        <w:t>location,”</w:t>
      </w:r>
      <w:r w:rsidR="006C6F09">
        <w:t xml:space="preserve"> </w:t>
      </w:r>
      <w:r>
        <w:t>refer</w:t>
      </w:r>
      <w:r w:rsidR="006C6F09">
        <w:t xml:space="preserve"> </w:t>
      </w:r>
      <w:r>
        <w:t>to</w:t>
      </w:r>
      <w:r w:rsidR="006C6F09">
        <w:t xml:space="preserve"> </w:t>
      </w:r>
      <w:r>
        <w:t>the</w:t>
      </w:r>
      <w:r w:rsidR="006C6F09">
        <w:t xml:space="preserve"> </w:t>
      </w:r>
      <w:r>
        <w:t>explanation</w:t>
      </w:r>
      <w:r w:rsidR="006C6F09">
        <w:t xml:space="preserve"> </w:t>
      </w:r>
      <w:r>
        <w:t>of</w:t>
      </w:r>
      <w:r w:rsidR="006C6F09">
        <w:t xml:space="preserve"> </w:t>
      </w:r>
      <w:r>
        <w:t>“highway</w:t>
      </w:r>
      <w:r w:rsidR="006C6F09">
        <w:t xml:space="preserve"> </w:t>
      </w:r>
      <w:r>
        <w:t>at</w:t>
      </w:r>
      <w:r w:rsidR="006C6F09">
        <w:t xml:space="preserve"> </w:t>
      </w:r>
      <w:r>
        <w:t>a</w:t>
      </w:r>
      <w:r w:rsidR="006C6F09">
        <w:t xml:space="preserve"> </w:t>
      </w:r>
      <w:r>
        <w:t>new</w:t>
      </w:r>
      <w:r w:rsidR="006C6F09">
        <w:t xml:space="preserve"> </w:t>
      </w:r>
      <w:r>
        <w:t>location”</w:t>
      </w:r>
      <w:r w:rsidR="006C6F09">
        <w:t xml:space="preserve"> </w:t>
      </w:r>
      <w:r>
        <w:t>in</w:t>
      </w:r>
      <w:r w:rsidR="006C6F09">
        <w:t xml:space="preserve"> </w:t>
      </w:r>
      <w:r>
        <w:t>Section</w:t>
      </w:r>
      <w:r w:rsidR="006C6F09">
        <w:t xml:space="preserve"> </w:t>
      </w:r>
      <w:r w:rsidRPr="00263E76">
        <w:rPr>
          <w:u w:val="single"/>
        </w:rPr>
        <w:fldChar w:fldCharType="begin"/>
      </w:r>
      <w:r w:rsidRPr="00263E76">
        <w:rPr>
          <w:u w:val="single"/>
        </w:rPr>
        <w:instrText xml:space="preserve"> REF _Ref219791827 \h  \* MERGEFORMAT </w:instrText>
      </w:r>
      <w:r w:rsidRPr="00263E76">
        <w:rPr>
          <w:u w:val="single"/>
        </w:rPr>
      </w:r>
      <w:r w:rsidRPr="00263E76">
        <w:rPr>
          <w:u w:val="single"/>
        </w:rPr>
        <w:fldChar w:fldCharType="separate"/>
      </w:r>
      <w:r w:rsidRPr="00263E76">
        <w:rPr>
          <w:color w:val="0056A9"/>
          <w:u w:val="single"/>
        </w:rPr>
        <w:t>3.1</w:t>
      </w:r>
      <w:r w:rsidRPr="00263E76">
        <w:rPr>
          <w:u w:val="single"/>
        </w:rPr>
        <w:fldChar w:fldCharType="end"/>
      </w:r>
      <w:r>
        <w:t>,</w:t>
      </w:r>
      <w:r w:rsidR="006C6F09">
        <w:t xml:space="preserve"> </w:t>
      </w:r>
      <w:r>
        <w:t>above.</w:t>
      </w:r>
      <w:r w:rsidR="006C6F09">
        <w:t xml:space="preserve"> </w:t>
      </w:r>
      <w:r>
        <w:t>To</w:t>
      </w:r>
      <w:r w:rsidR="006C6F09">
        <w:t xml:space="preserve"> </w:t>
      </w:r>
      <w:r>
        <w:t>prepare</w:t>
      </w:r>
      <w:r w:rsidR="006C6F09">
        <w:t xml:space="preserve"> </w:t>
      </w:r>
      <w:r>
        <w:t>an</w:t>
      </w:r>
      <w:r w:rsidR="006C6F09">
        <w:t xml:space="preserve"> </w:t>
      </w:r>
      <w:r>
        <w:t>NOA</w:t>
      </w:r>
      <w:r w:rsidR="006C6F09">
        <w:t xml:space="preserve"> </w:t>
      </w:r>
      <w:r>
        <w:t>for</w:t>
      </w:r>
      <w:r w:rsidR="006C6F09">
        <w:t xml:space="preserve"> </w:t>
      </w:r>
      <w:r>
        <w:t>a</w:t>
      </w:r>
      <w:r w:rsidR="006C6F09">
        <w:t xml:space="preserve"> </w:t>
      </w:r>
      <w:r>
        <w:t>final</w:t>
      </w:r>
      <w:r w:rsidR="006C6F09">
        <w:t xml:space="preserve"> </w:t>
      </w:r>
      <w:r>
        <w:t>EA,</w:t>
      </w:r>
      <w:r w:rsidR="006C6F09">
        <w:t xml:space="preserve"> </w:t>
      </w:r>
      <w:r>
        <w:t>use</w:t>
      </w:r>
      <w:r w:rsidR="006C6F09">
        <w:t xml:space="preserve"> </w:t>
      </w:r>
      <w:r>
        <w:t>ENV’s</w:t>
      </w:r>
      <w:r w:rsidR="006C6F09">
        <w:t xml:space="preserve"> </w:t>
      </w:r>
      <w:r>
        <w:t>Template:</w:t>
      </w:r>
      <w:r w:rsidR="006C6F09">
        <w:t xml:space="preserve"> </w:t>
      </w:r>
      <w:r>
        <w:t>Final</w:t>
      </w:r>
      <w:r w:rsidR="006C6F09">
        <w:t xml:space="preserve"> </w:t>
      </w:r>
      <w:r>
        <w:t>EA</w:t>
      </w:r>
      <w:r w:rsidR="006C6F09">
        <w:t xml:space="preserve"> </w:t>
      </w:r>
      <w:r>
        <w:t>Notice</w:t>
      </w:r>
      <w:r w:rsidR="006C6F09">
        <w:t xml:space="preserve"> </w:t>
      </w:r>
      <w:r>
        <w:t>of</w:t>
      </w:r>
      <w:r w:rsidR="006C6F09">
        <w:t xml:space="preserve"> </w:t>
      </w:r>
      <w:r>
        <w:t>Availability,</w:t>
      </w:r>
      <w:r w:rsidR="006C6F09">
        <w:t xml:space="preserve"> </w:t>
      </w:r>
      <w:r>
        <w:t>which</w:t>
      </w:r>
      <w:r w:rsidR="006C6F09">
        <w:t xml:space="preserve"> </w:t>
      </w:r>
      <w:r>
        <w:t>is</w:t>
      </w:r>
      <w:r w:rsidR="006C6F09">
        <w:t xml:space="preserve"> </w:t>
      </w:r>
      <w:r>
        <w:t>available</w:t>
      </w:r>
      <w:r w:rsidR="006C6F09">
        <w:t xml:space="preserve"> </w:t>
      </w:r>
      <w:r>
        <w:t>on</w:t>
      </w:r>
      <w:r w:rsidR="006C6F09">
        <w:t xml:space="preserve"> </w:t>
      </w:r>
      <w:r>
        <w:t>the</w:t>
      </w:r>
      <w:bookmarkStart w:id="89" w:name="_Hlk216878872"/>
      <w:r w:rsidR="006C6F09">
        <w:t xml:space="preserve"> </w:t>
      </w:r>
      <w:hyperlink r:id="rId70" w:history="1">
        <w:r w:rsidRPr="00190118">
          <w:rPr>
            <w:rStyle w:val="Hyperlink"/>
          </w:rPr>
          <w:t>Public</w:t>
        </w:r>
        <w:r w:rsidR="006C6F09">
          <w:rPr>
            <w:rStyle w:val="Hyperlink"/>
          </w:rPr>
          <w:t xml:space="preserve"> </w:t>
        </w:r>
        <w:r w:rsidRPr="00190118">
          <w:rPr>
            <w:rStyle w:val="Hyperlink"/>
          </w:rPr>
          <w:t>Involvement</w:t>
        </w:r>
        <w:r w:rsidR="006C6F09">
          <w:rPr>
            <w:rStyle w:val="Hyperlink"/>
          </w:rPr>
          <w:t xml:space="preserve"> </w:t>
        </w:r>
        <w:r w:rsidRPr="00190118">
          <w:rPr>
            <w:rStyle w:val="Hyperlink"/>
          </w:rPr>
          <w:t>Toolkit</w:t>
        </w:r>
      </w:hyperlink>
      <w:bookmarkEnd w:id="89"/>
      <w:r w:rsidRPr="00190118">
        <w:t>.</w:t>
      </w:r>
      <w:r w:rsidR="006C6F09">
        <w:t xml:space="preserve"> </w:t>
      </w:r>
      <w:r w:rsidRPr="00190118">
        <w:t>For</w:t>
      </w:r>
      <w:r w:rsidR="006C6F09">
        <w:t xml:space="preserve"> </w:t>
      </w:r>
      <w:r w:rsidRPr="00190118">
        <w:t>such</w:t>
      </w:r>
      <w:r w:rsidR="006C6F09">
        <w:t xml:space="preserve"> </w:t>
      </w:r>
      <w:r w:rsidRPr="00190118">
        <w:t>projects,</w:t>
      </w:r>
      <w:r w:rsidR="006C6F09">
        <w:t xml:space="preserve"> </w:t>
      </w:r>
      <w:r w:rsidRPr="00190118">
        <w:t>the</w:t>
      </w:r>
      <w:r w:rsidR="006C6F09">
        <w:t xml:space="preserve"> </w:t>
      </w:r>
      <w:r w:rsidRPr="00190118">
        <w:t>NOA</w:t>
      </w:r>
      <w:r w:rsidR="006C6F09">
        <w:t xml:space="preserve"> </w:t>
      </w:r>
      <w:r w:rsidRPr="00190118">
        <w:t>of</w:t>
      </w:r>
      <w:r w:rsidR="006C6F09">
        <w:t xml:space="preserve"> </w:t>
      </w:r>
      <w:r w:rsidRPr="00190118">
        <w:t>the</w:t>
      </w:r>
      <w:r w:rsidR="006C6F09">
        <w:t xml:space="preserve"> </w:t>
      </w:r>
      <w:r w:rsidRPr="00190118">
        <w:t>final</w:t>
      </w:r>
      <w:r w:rsidR="006C6F09">
        <w:t xml:space="preserve"> </w:t>
      </w:r>
      <w:r w:rsidRPr="00190118">
        <w:t>EA</w:t>
      </w:r>
      <w:r w:rsidR="006C6F09">
        <w:t xml:space="preserve"> </w:t>
      </w:r>
      <w:r w:rsidRPr="00190118">
        <w:t>must</w:t>
      </w:r>
      <w:r w:rsidR="006C6F09">
        <w:t xml:space="preserve"> </w:t>
      </w:r>
      <w:r w:rsidRPr="00190118">
        <w:t>be</w:t>
      </w:r>
      <w:r w:rsidR="006C6F09">
        <w:t xml:space="preserve"> </w:t>
      </w:r>
      <w:r w:rsidRPr="00190118">
        <w:t>issued</w:t>
      </w:r>
      <w:r w:rsidR="006C6F09">
        <w:t xml:space="preserve"> </w:t>
      </w:r>
      <w:r w:rsidRPr="00190118">
        <w:t>as</w:t>
      </w:r>
      <w:r w:rsidR="006C6F09">
        <w:t xml:space="preserve"> </w:t>
      </w:r>
      <w:r>
        <w:t>described</w:t>
      </w:r>
      <w:r w:rsidR="006C6F09">
        <w:t xml:space="preserve"> </w:t>
      </w:r>
      <w:r>
        <w:t>above</w:t>
      </w:r>
      <w:r w:rsidR="006C6F09">
        <w:t xml:space="preserve"> </w:t>
      </w:r>
      <w:r>
        <w:t>in</w:t>
      </w:r>
      <w:r w:rsidR="006C6F09">
        <w:t xml:space="preserve"> </w:t>
      </w:r>
      <w:r>
        <w:t>Section</w:t>
      </w:r>
      <w:r w:rsidR="006C6F09">
        <w:t xml:space="preserve"> </w:t>
      </w:r>
      <w:r w:rsidRPr="00263E76">
        <w:rPr>
          <w:u w:val="single"/>
        </w:rPr>
        <w:fldChar w:fldCharType="begin"/>
      </w:r>
      <w:r w:rsidRPr="00263E76">
        <w:rPr>
          <w:u w:val="single"/>
        </w:rPr>
        <w:instrText xml:space="preserve"> REF _Ref219791857 \h  \* MERGEFORMAT </w:instrText>
      </w:r>
      <w:r w:rsidRPr="00263E76">
        <w:rPr>
          <w:u w:val="single"/>
        </w:rPr>
      </w:r>
      <w:r w:rsidRPr="00263E76">
        <w:rPr>
          <w:u w:val="single"/>
        </w:rPr>
        <w:fldChar w:fldCharType="separate"/>
      </w:r>
      <w:r w:rsidRPr="00263E76">
        <w:rPr>
          <w:color w:val="0056A9"/>
          <w:u w:val="single"/>
        </w:rPr>
        <w:t>9.0</w:t>
      </w:r>
      <w:r w:rsidRPr="00263E76">
        <w:rPr>
          <w:u w:val="single"/>
        </w:rPr>
        <w:fldChar w:fldCharType="end"/>
      </w:r>
      <w:r w:rsidR="006C6F09">
        <w:t xml:space="preserve"> </w:t>
      </w:r>
      <w:r>
        <w:t>and</w:t>
      </w:r>
      <w:r w:rsidR="006C6F09">
        <w:t xml:space="preserve"> </w:t>
      </w:r>
      <w:r>
        <w:t>published</w:t>
      </w:r>
      <w:r w:rsidR="006C6F09">
        <w:t xml:space="preserve"> </w:t>
      </w:r>
      <w:r>
        <w:t>at</w:t>
      </w:r>
      <w:r w:rsidR="006C6F09">
        <w:t xml:space="preserve"> </w:t>
      </w:r>
      <w:r>
        <w:t>least</w:t>
      </w:r>
      <w:r w:rsidR="006C6F09">
        <w:t xml:space="preserve"> </w:t>
      </w:r>
      <w:r>
        <w:t>once</w:t>
      </w:r>
      <w:r w:rsidR="006C6F09">
        <w:t xml:space="preserve"> </w:t>
      </w:r>
      <w:r>
        <w:t>in</w:t>
      </w:r>
      <w:r w:rsidR="006C6F09">
        <w:t xml:space="preserve"> </w:t>
      </w:r>
      <w:r>
        <w:t>a</w:t>
      </w:r>
      <w:r w:rsidR="006C6F09">
        <w:t xml:space="preserve"> </w:t>
      </w:r>
      <w:r>
        <w:t>local</w:t>
      </w:r>
      <w:r w:rsidR="006C6F09">
        <w:t xml:space="preserve"> </w:t>
      </w:r>
      <w:r>
        <w:t>newspaper</w:t>
      </w:r>
      <w:r w:rsidR="006C6F09">
        <w:t xml:space="preserve"> </w:t>
      </w:r>
      <w:r>
        <w:t>having</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The</w:t>
      </w:r>
      <w:r w:rsidR="006C6F09">
        <w:t xml:space="preserve"> </w:t>
      </w:r>
      <w:r>
        <w:t>NOA</w:t>
      </w:r>
      <w:r w:rsidR="006C6F09">
        <w:t xml:space="preserve"> </w:t>
      </w:r>
      <w:r>
        <w:t>of</w:t>
      </w:r>
      <w:r w:rsidR="006C6F09">
        <w:t xml:space="preserve"> </w:t>
      </w:r>
      <w:r>
        <w:t>the</w:t>
      </w:r>
      <w:r w:rsidR="006C6F09">
        <w:t xml:space="preserve"> </w:t>
      </w:r>
      <w:r>
        <w:t>final</w:t>
      </w:r>
      <w:r w:rsidR="006C6F09">
        <w:t xml:space="preserve"> </w:t>
      </w:r>
      <w:r>
        <w:t>EA</w:t>
      </w:r>
      <w:r w:rsidR="006C6F09">
        <w:t xml:space="preserve"> </w:t>
      </w:r>
      <w:r>
        <w:t>can</w:t>
      </w:r>
      <w:r w:rsidR="006C6F09">
        <w:t xml:space="preserve"> </w:t>
      </w:r>
      <w:r>
        <w:t>be</w:t>
      </w:r>
      <w:r w:rsidR="006C6F09">
        <w:t xml:space="preserve"> </w:t>
      </w:r>
      <w:r>
        <w:t>published</w:t>
      </w:r>
      <w:r w:rsidR="006C6F09">
        <w:t xml:space="preserve"> </w:t>
      </w:r>
      <w:r>
        <w:t>in</w:t>
      </w:r>
      <w:r w:rsidR="006C6F09">
        <w:t xml:space="preserve"> </w:t>
      </w:r>
      <w:r>
        <w:t>any</w:t>
      </w:r>
      <w:r w:rsidR="006C6F09">
        <w:t xml:space="preserve"> </w:t>
      </w:r>
      <w:r>
        <w:t>section</w:t>
      </w:r>
      <w:r w:rsidR="006C6F09">
        <w:t xml:space="preserve"> </w:t>
      </w:r>
      <w:r>
        <w:t>of</w:t>
      </w:r>
      <w:r w:rsidR="006C6F09">
        <w:t xml:space="preserve"> </w:t>
      </w:r>
      <w:r>
        <w:t>the</w:t>
      </w:r>
      <w:r w:rsidR="006C6F09">
        <w:t xml:space="preserve"> </w:t>
      </w:r>
      <w:r>
        <w:t>newspaper</w:t>
      </w:r>
      <w:r w:rsidR="006C6F09">
        <w:t xml:space="preserve"> </w:t>
      </w:r>
      <w:r>
        <w:t>and</w:t>
      </w:r>
      <w:r w:rsidR="006C6F09">
        <w:t xml:space="preserve"> </w:t>
      </w:r>
      <w:r>
        <w:t>in</w:t>
      </w:r>
      <w:r w:rsidR="006C6F09">
        <w:t xml:space="preserve"> </w:t>
      </w:r>
      <w:r>
        <w:t>any</w:t>
      </w:r>
      <w:r w:rsidR="006C6F09">
        <w:t xml:space="preserve"> </w:t>
      </w:r>
      <w:r>
        <w:t>format,</w:t>
      </w:r>
      <w:r w:rsidR="006C6F09">
        <w:t xml:space="preserve"> </w:t>
      </w:r>
      <w:r>
        <w:t>although</w:t>
      </w:r>
      <w:r w:rsidR="006C6F09">
        <w:t xml:space="preserve"> </w:t>
      </w:r>
      <w:r>
        <w:t>it</w:t>
      </w:r>
      <w:r w:rsidR="006C6F09">
        <w:t xml:space="preserve"> </w:t>
      </w:r>
      <w:r>
        <w:t>is</w:t>
      </w:r>
      <w:r w:rsidR="006C6F09">
        <w:t xml:space="preserve"> </w:t>
      </w:r>
      <w:r>
        <w:t>recommended</w:t>
      </w:r>
      <w:r w:rsidR="006C6F09">
        <w:t xml:space="preserve"> </w:t>
      </w:r>
      <w:r>
        <w:t>that</w:t>
      </w:r>
      <w:r w:rsidR="006C6F09">
        <w:t xml:space="preserve"> </w:t>
      </w:r>
      <w:r>
        <w:t>the</w:t>
      </w:r>
      <w:r w:rsidR="006C6F09">
        <w:t xml:space="preserve"> </w:t>
      </w:r>
      <w:r>
        <w:t>notice</w:t>
      </w:r>
      <w:r w:rsidR="006C6F09">
        <w:t xml:space="preserve"> </w:t>
      </w:r>
      <w:r>
        <w:t>not</w:t>
      </w:r>
      <w:r w:rsidR="006C6F09">
        <w:t xml:space="preserve"> </w:t>
      </w:r>
      <w:r>
        <w:t>be</w:t>
      </w:r>
      <w:r w:rsidR="006C6F09">
        <w:t xml:space="preserve"> </w:t>
      </w:r>
      <w:r>
        <w:t>published</w:t>
      </w:r>
      <w:r w:rsidR="006C6F09">
        <w:t xml:space="preserve"> </w:t>
      </w:r>
      <w:r>
        <w:t>in</w:t>
      </w:r>
      <w:r w:rsidR="006C6F09">
        <w:t xml:space="preserve"> </w:t>
      </w:r>
      <w:r>
        <w:t>the</w:t>
      </w:r>
      <w:r w:rsidR="006C6F09">
        <w:t xml:space="preserve"> </w:t>
      </w:r>
      <w:r>
        <w:t>legal</w:t>
      </w:r>
      <w:r w:rsidR="006C6F09">
        <w:t xml:space="preserve"> </w:t>
      </w:r>
      <w:r>
        <w:t>notices</w:t>
      </w:r>
      <w:r w:rsidR="006C6F09">
        <w:t xml:space="preserve"> </w:t>
      </w:r>
      <w:r>
        <w:t>section.</w:t>
      </w:r>
      <w:r w:rsidR="006C6F09">
        <w:t xml:space="preserve"> </w:t>
      </w:r>
      <w:r>
        <w:t>If</w:t>
      </w:r>
      <w:r w:rsidR="006C6F09">
        <w:t xml:space="preserve"> </w:t>
      </w:r>
      <w:r>
        <w:t>there</w:t>
      </w:r>
      <w:r w:rsidR="006C6F09">
        <w:t xml:space="preserve"> </w:t>
      </w:r>
      <w:r>
        <w:t>is</w:t>
      </w:r>
      <w:r w:rsidR="006C6F09">
        <w:t xml:space="preserve"> </w:t>
      </w:r>
      <w:r>
        <w:t>no</w:t>
      </w:r>
      <w:r w:rsidR="006C6F09">
        <w:t xml:space="preserve"> </w:t>
      </w:r>
      <w:r>
        <w:t>local</w:t>
      </w:r>
      <w:r w:rsidR="006C6F09">
        <w:t xml:space="preserve"> </w:t>
      </w:r>
      <w:r>
        <w:t>newspaper</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the</w:t>
      </w:r>
      <w:r w:rsidR="006C6F09">
        <w:t xml:space="preserve"> </w:t>
      </w:r>
      <w:r>
        <w:t>project</w:t>
      </w:r>
      <w:r w:rsidR="006C6F09">
        <w:t xml:space="preserve"> </w:t>
      </w:r>
      <w:r>
        <w:t>sponsor</w:t>
      </w:r>
      <w:r w:rsidR="006C6F09">
        <w:t xml:space="preserve"> </w:t>
      </w:r>
      <w:r>
        <w:t>publishes</w:t>
      </w:r>
      <w:r w:rsidR="006C6F09">
        <w:t xml:space="preserve"> </w:t>
      </w:r>
      <w:r>
        <w:t>the</w:t>
      </w:r>
      <w:r w:rsidR="006C6F09">
        <w:t xml:space="preserve"> </w:t>
      </w:r>
      <w:r>
        <w:t>NOA</w:t>
      </w:r>
      <w:r w:rsidR="006C6F09">
        <w:t xml:space="preserve"> </w:t>
      </w:r>
      <w:r>
        <w:t>of</w:t>
      </w:r>
      <w:r w:rsidR="006C6F09">
        <w:t xml:space="preserve"> </w:t>
      </w:r>
      <w:r>
        <w:t>the</w:t>
      </w:r>
      <w:r w:rsidR="006C6F09">
        <w:t xml:space="preserve"> </w:t>
      </w:r>
      <w:r>
        <w:t>final</w:t>
      </w:r>
      <w:r w:rsidR="006C6F09">
        <w:t xml:space="preserve"> </w:t>
      </w:r>
      <w:r>
        <w:t>EA</w:t>
      </w:r>
      <w:r w:rsidR="006C6F09">
        <w:t xml:space="preserve"> </w:t>
      </w:r>
      <w:r>
        <w:t>in</w:t>
      </w:r>
      <w:r w:rsidR="006C6F09">
        <w:t xml:space="preserve"> </w:t>
      </w:r>
      <w:r>
        <w:t>a</w:t>
      </w:r>
      <w:r w:rsidR="006C6F09">
        <w:t xml:space="preserve"> </w:t>
      </w:r>
      <w:r>
        <w:t>newspaper</w:t>
      </w:r>
      <w:r w:rsidR="006C6F09">
        <w:t xml:space="preserve"> </w:t>
      </w:r>
      <w:r>
        <w:t>having</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in</w:t>
      </w:r>
      <w:r w:rsidR="006C6F09">
        <w:t xml:space="preserve"> </w:t>
      </w:r>
      <w:r>
        <w:t>a</w:t>
      </w:r>
      <w:r w:rsidR="006C6F09">
        <w:t xml:space="preserve"> </w:t>
      </w:r>
      <w:r>
        <w:t>remote</w:t>
      </w:r>
      <w:r w:rsidR="006C6F09">
        <w:t xml:space="preserve"> </w:t>
      </w:r>
      <w:r>
        <w:lastRenderedPageBreak/>
        <w:t>area</w:t>
      </w:r>
      <w:r w:rsidR="006C6F09">
        <w:t xml:space="preserve"> </w:t>
      </w:r>
      <w:r>
        <w:t>with</w:t>
      </w:r>
      <w:r w:rsidR="006C6F09">
        <w:t xml:space="preserve"> </w:t>
      </w:r>
      <w:r>
        <w:t>no</w:t>
      </w:r>
      <w:r w:rsidR="006C6F09">
        <w:t xml:space="preserve"> </w:t>
      </w:r>
      <w:r>
        <w:t>newspapers</w:t>
      </w:r>
      <w:r w:rsidR="006C6F09">
        <w:t xml:space="preserve"> </w:t>
      </w:r>
      <w:r>
        <w:t>in</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or</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in</w:t>
      </w:r>
      <w:r w:rsidR="006C6F09">
        <w:t xml:space="preserve"> </w:t>
      </w:r>
      <w:r>
        <w:t>a</w:t>
      </w:r>
      <w:r w:rsidR="006C6F09">
        <w:t xml:space="preserve"> </w:t>
      </w:r>
      <w:r>
        <w:t>county</w:t>
      </w:r>
      <w:r w:rsidR="006C6F09">
        <w:t xml:space="preserve"> </w:t>
      </w:r>
      <w:r>
        <w:t>with</w:t>
      </w:r>
      <w:r w:rsidR="006C6F09">
        <w:t xml:space="preserve"> </w:t>
      </w:r>
      <w:r>
        <w:t>a</w:t>
      </w:r>
      <w:r w:rsidR="006C6F09">
        <w:t xml:space="preserve"> </w:t>
      </w:r>
      <w:r>
        <w:t>population</w:t>
      </w:r>
      <w:r w:rsidR="006C6F09">
        <w:t xml:space="preserve"> </w:t>
      </w:r>
      <w:r>
        <w:t>of</w:t>
      </w:r>
      <w:r w:rsidR="006C6F09">
        <w:t xml:space="preserve"> </w:t>
      </w:r>
      <w:r>
        <w:t>at</w:t>
      </w:r>
      <w:r w:rsidR="006C6F09">
        <w:t xml:space="preserve"> </w:t>
      </w:r>
      <w:r>
        <w:t>least</w:t>
      </w:r>
      <w:r w:rsidR="006C6F09">
        <w:t xml:space="preserve"> </w:t>
      </w:r>
      <w:r>
        <w:t>30,000</w:t>
      </w:r>
      <w:r w:rsidR="006C6F09">
        <w:t xml:space="preserve"> </w:t>
      </w:r>
      <w:r>
        <w:t>and</w:t>
      </w:r>
      <w:r w:rsidR="006C6F09">
        <w:t xml:space="preserve"> </w:t>
      </w:r>
      <w:r>
        <w:t>not</w:t>
      </w:r>
      <w:r w:rsidR="006C6F09">
        <w:t xml:space="preserve"> </w:t>
      </w:r>
      <w:r>
        <w:t>more</w:t>
      </w:r>
      <w:r w:rsidR="006C6F09">
        <w:t xml:space="preserve"> </w:t>
      </w:r>
      <w:r>
        <w:t>than</w:t>
      </w:r>
      <w:r w:rsidR="006C6F09">
        <w:t xml:space="preserve"> </w:t>
      </w:r>
      <w:r>
        <w:t>42,000</w:t>
      </w:r>
      <w:r w:rsidR="006C6F09">
        <w:t xml:space="preserve"> </w:t>
      </w:r>
      <w:r>
        <w:t>that</w:t>
      </w:r>
      <w:r w:rsidR="006C6F09">
        <w:t xml:space="preserve"> </w:t>
      </w:r>
      <w:r>
        <w:t>borders</w:t>
      </w:r>
      <w:r w:rsidR="006C6F09">
        <w:t xml:space="preserve"> </w:t>
      </w:r>
      <w:r>
        <w:t>the</w:t>
      </w:r>
      <w:r w:rsidR="006C6F09">
        <w:t xml:space="preserve"> </w:t>
      </w:r>
      <w:r>
        <w:t>Red</w:t>
      </w:r>
      <w:r w:rsidR="006C6F09">
        <w:t xml:space="preserve"> </w:t>
      </w:r>
      <w:r>
        <w:t>River</w:t>
      </w:r>
      <w:r w:rsidR="006C6F09">
        <w:t xml:space="preserve"> </w:t>
      </w:r>
      <w:r>
        <w:t>(currently</w:t>
      </w:r>
      <w:r w:rsidR="006C6F09">
        <w:t xml:space="preserve"> </w:t>
      </w:r>
      <w:r>
        <w:t>only</w:t>
      </w:r>
      <w:r w:rsidR="006C6F09">
        <w:t xml:space="preserve"> </w:t>
      </w:r>
      <w:r>
        <w:t>Fannin</w:t>
      </w:r>
      <w:r w:rsidR="006C6F09">
        <w:t xml:space="preserve"> </w:t>
      </w:r>
      <w:r>
        <w:t>County</w:t>
      </w:r>
      <w:r w:rsidR="006C6F09">
        <w:t xml:space="preserve"> </w:t>
      </w:r>
      <w:r>
        <w:t>meets</w:t>
      </w:r>
      <w:r w:rsidR="006C6F09">
        <w:t xml:space="preserve"> </w:t>
      </w:r>
      <w:r>
        <w:t>this</w:t>
      </w:r>
      <w:r w:rsidR="006C6F09">
        <w:t xml:space="preserve"> </w:t>
      </w:r>
      <w:r>
        <w:t>definition),</w:t>
      </w:r>
      <w:r w:rsidR="006C6F09">
        <w:t xml:space="preserve"> </w:t>
      </w:r>
      <w:r>
        <w:t>then</w:t>
      </w:r>
      <w:r w:rsidR="006C6F09">
        <w:t xml:space="preserve"> </w:t>
      </w:r>
      <w:r>
        <w:t>the</w:t>
      </w:r>
      <w:r w:rsidR="006C6F09">
        <w:t xml:space="preserve"> </w:t>
      </w:r>
      <w:r>
        <w:t>notice</w:t>
      </w:r>
      <w:r w:rsidR="006C6F09">
        <w:t xml:space="preserve"> </w:t>
      </w:r>
      <w:r>
        <w:t>may</w:t>
      </w:r>
      <w:r w:rsidR="006C6F09">
        <w:t xml:space="preserve"> </w:t>
      </w:r>
      <w:r>
        <w:t>be</w:t>
      </w:r>
      <w:r w:rsidR="006C6F09">
        <w:t xml:space="preserve"> </w:t>
      </w:r>
      <w:r>
        <w:t>published</w:t>
      </w:r>
      <w:r w:rsidR="006C6F09">
        <w:t xml:space="preserve"> </w:t>
      </w:r>
      <w:r>
        <w:t>in</w:t>
      </w:r>
      <w:r w:rsidR="006C6F09">
        <w:t xml:space="preserve"> </w:t>
      </w:r>
      <w:r>
        <w:t>a</w:t>
      </w:r>
      <w:r w:rsidR="006C6F09">
        <w:t xml:space="preserve"> </w:t>
      </w:r>
      <w:r>
        <w:t>digital</w:t>
      </w:r>
      <w:r w:rsidR="006C6F09">
        <w:t xml:space="preserve"> </w:t>
      </w:r>
      <w:r>
        <w:t>newspaper</w:t>
      </w:r>
      <w:r w:rsidR="006C6F09">
        <w:t xml:space="preserve"> </w:t>
      </w:r>
      <w:r>
        <w:t>that</w:t>
      </w:r>
      <w:r w:rsidR="006C6F09">
        <w:t xml:space="preserve"> </w:t>
      </w:r>
      <w:r>
        <w:t>meets</w:t>
      </w:r>
      <w:r w:rsidR="006C6F09">
        <w:t xml:space="preserve"> </w:t>
      </w:r>
      <w:r>
        <w:t>certain</w:t>
      </w:r>
      <w:r w:rsidR="006C6F09">
        <w:t xml:space="preserve"> </w:t>
      </w:r>
      <w:r>
        <w:t>requirements</w:t>
      </w:r>
      <w:r w:rsidR="006C6F09">
        <w:t xml:space="preserve"> </w:t>
      </w:r>
      <w:r>
        <w:t>–</w:t>
      </w:r>
      <w:r w:rsidR="006C6F09">
        <w:t xml:space="preserve"> </w:t>
      </w:r>
      <w:r>
        <w:t>see</w:t>
      </w:r>
      <w:r w:rsidR="006C6F09">
        <w:t xml:space="preserve"> </w:t>
      </w:r>
      <w:r w:rsidRPr="007F452F">
        <w:t>Texas</w:t>
      </w:r>
      <w:r w:rsidR="006C6F09">
        <w:t xml:space="preserve"> </w:t>
      </w:r>
      <w:r w:rsidRPr="007F452F">
        <w:t>Government</w:t>
      </w:r>
      <w:r w:rsidR="006C6F09">
        <w:t xml:space="preserve"> </w:t>
      </w:r>
      <w:r w:rsidRPr="007F452F">
        <w:t>Code</w:t>
      </w:r>
      <w:r w:rsidR="006C6F09">
        <w:t xml:space="preserve"> </w:t>
      </w:r>
      <w:r>
        <w:t>2051.0441(b-1).</w:t>
      </w:r>
    </w:p>
    <w:p w14:paraId="598A0C2F" w14:textId="44B7FF25" w:rsidR="00457754" w:rsidRDefault="00457754" w:rsidP="00457754">
      <w:r>
        <w:t>Thirty</w:t>
      </w:r>
      <w:r w:rsidR="006C6F09">
        <w:t xml:space="preserve"> </w:t>
      </w:r>
      <w:r>
        <w:t>calendar</w:t>
      </w:r>
      <w:r w:rsidR="006C6F09">
        <w:t xml:space="preserve"> </w:t>
      </w:r>
      <w:r>
        <w:t>days</w:t>
      </w:r>
      <w:r w:rsidR="006C6F09">
        <w:t xml:space="preserve"> </w:t>
      </w:r>
      <w:r>
        <w:t>after</w:t>
      </w:r>
      <w:r w:rsidR="006C6F09">
        <w:t xml:space="preserve"> </w:t>
      </w:r>
      <w:r>
        <w:t>issuance</w:t>
      </w:r>
      <w:r w:rsidR="006C6F09">
        <w:t xml:space="preserve"> </w:t>
      </w:r>
      <w:r>
        <w:t>and</w:t>
      </w:r>
      <w:r w:rsidR="006C6F09">
        <w:t xml:space="preserve"> </w:t>
      </w:r>
      <w:r>
        <w:t>publication</w:t>
      </w:r>
      <w:r w:rsidR="006C6F09">
        <w:t xml:space="preserve"> </w:t>
      </w:r>
      <w:r>
        <w:t>of</w:t>
      </w:r>
      <w:r w:rsidR="006C6F09">
        <w:t xml:space="preserve"> </w:t>
      </w:r>
      <w:r>
        <w:t>this</w:t>
      </w:r>
      <w:r w:rsidR="006C6F09">
        <w:t xml:space="preserve"> </w:t>
      </w:r>
      <w:r>
        <w:t>NOA,</w:t>
      </w:r>
      <w:r w:rsidR="006C6F09">
        <w:t xml:space="preserve"> </w:t>
      </w:r>
      <w:r>
        <w:t>the</w:t>
      </w:r>
      <w:r w:rsidR="006C6F09">
        <w:t xml:space="preserve"> </w:t>
      </w:r>
      <w:r>
        <w:t>FONSI</w:t>
      </w:r>
      <w:r w:rsidR="006C6F09">
        <w:t xml:space="preserve"> </w:t>
      </w:r>
      <w:r>
        <w:t>may</w:t>
      </w:r>
      <w:r w:rsidR="006C6F09">
        <w:t xml:space="preserve"> </w:t>
      </w:r>
      <w:r>
        <w:t>be</w:t>
      </w:r>
      <w:r w:rsidR="006C6F09">
        <w:t xml:space="preserve"> </w:t>
      </w:r>
      <w:r>
        <w:t>signed</w:t>
      </w:r>
      <w:r w:rsidR="006C6F09">
        <w:t xml:space="preserve"> </w:t>
      </w:r>
      <w:r>
        <w:t>and</w:t>
      </w:r>
      <w:r w:rsidR="006C6F09">
        <w:t xml:space="preserve"> </w:t>
      </w:r>
      <w:r>
        <w:t>a</w:t>
      </w:r>
      <w:r w:rsidR="006C6F09">
        <w:t xml:space="preserve"> </w:t>
      </w:r>
      <w:r>
        <w:t>separate</w:t>
      </w:r>
      <w:r w:rsidR="006C6F09">
        <w:t xml:space="preserve"> </w:t>
      </w:r>
      <w:r>
        <w:t>NOA</w:t>
      </w:r>
      <w:r w:rsidR="006C6F09">
        <w:t xml:space="preserve"> </w:t>
      </w:r>
      <w:r>
        <w:t>for</w:t>
      </w:r>
      <w:r w:rsidR="006C6F09">
        <w:t xml:space="preserve"> </w:t>
      </w:r>
      <w:r>
        <w:t>the</w:t>
      </w:r>
      <w:r w:rsidR="006C6F09">
        <w:t xml:space="preserve"> </w:t>
      </w:r>
      <w:r>
        <w:t>FONSI</w:t>
      </w:r>
      <w:r w:rsidR="006C6F09">
        <w:t xml:space="preserve"> </w:t>
      </w:r>
      <w:r>
        <w:t>may</w:t>
      </w:r>
      <w:r w:rsidR="006C6F09">
        <w:t xml:space="preserve"> </w:t>
      </w:r>
      <w:r>
        <w:t>be</w:t>
      </w:r>
      <w:r w:rsidR="006C6F09">
        <w:t xml:space="preserve"> </w:t>
      </w:r>
      <w:r>
        <w:t>issued</w:t>
      </w:r>
      <w:r w:rsidR="006C6F09">
        <w:t xml:space="preserve"> </w:t>
      </w:r>
      <w:r>
        <w:t>(no</w:t>
      </w:r>
      <w:r w:rsidR="006C6F09">
        <w:t xml:space="preserve"> </w:t>
      </w:r>
      <w:r>
        <w:t>newspaper</w:t>
      </w:r>
      <w:r w:rsidR="006C6F09">
        <w:t xml:space="preserve"> </w:t>
      </w:r>
      <w:r>
        <w:t>notice</w:t>
      </w:r>
      <w:r w:rsidR="006C6F09">
        <w:t xml:space="preserve"> </w:t>
      </w:r>
      <w:r>
        <w:t>is</w:t>
      </w:r>
      <w:r w:rsidR="006C6F09">
        <w:t xml:space="preserve"> </w:t>
      </w:r>
      <w:r>
        <w:t>required</w:t>
      </w:r>
      <w:r w:rsidR="006C6F09">
        <w:t xml:space="preserve"> </w:t>
      </w:r>
      <w:r>
        <w:t>for</w:t>
      </w:r>
      <w:r w:rsidR="006C6F09">
        <w:t xml:space="preserve"> </w:t>
      </w:r>
      <w:r>
        <w:t>the</w:t>
      </w:r>
      <w:r w:rsidR="006C6F09">
        <w:t xml:space="preserve"> </w:t>
      </w:r>
      <w:r>
        <w:t>NOA</w:t>
      </w:r>
      <w:r w:rsidR="006C6F09">
        <w:t xml:space="preserve"> </w:t>
      </w:r>
      <w:r>
        <w:t>for</w:t>
      </w:r>
      <w:r w:rsidR="006C6F09">
        <w:t xml:space="preserve"> </w:t>
      </w:r>
      <w:r>
        <w:t>the</w:t>
      </w:r>
      <w:r w:rsidR="006C6F09">
        <w:t xml:space="preserve"> </w:t>
      </w:r>
      <w:r>
        <w:t>FONSI</w:t>
      </w:r>
      <w:r w:rsidR="006C6F09">
        <w:t xml:space="preserve"> </w:t>
      </w:r>
      <w:r>
        <w:t>–</w:t>
      </w:r>
      <w:r w:rsidR="006C6F09">
        <w:t xml:space="preserve"> </w:t>
      </w:r>
      <w:r>
        <w:t>follow</w:t>
      </w:r>
      <w:r w:rsidR="006C6F09">
        <w:t xml:space="preserve"> </w:t>
      </w:r>
      <w:r>
        <w:t>the</w:t>
      </w:r>
      <w:r w:rsidR="006C6F09">
        <w:t xml:space="preserve"> </w:t>
      </w:r>
      <w:r>
        <w:t>publication</w:t>
      </w:r>
      <w:r w:rsidR="006C6F09">
        <w:t xml:space="preserve"> </w:t>
      </w:r>
      <w:r>
        <w:t>or</w:t>
      </w:r>
      <w:r w:rsidR="006C6F09">
        <w:t xml:space="preserve"> </w:t>
      </w:r>
      <w:r>
        <w:t>distribution</w:t>
      </w:r>
      <w:r w:rsidR="006C6F09">
        <w:t xml:space="preserve"> </w:t>
      </w:r>
      <w:r>
        <w:t>requirements</w:t>
      </w:r>
      <w:r w:rsidR="006C6F09">
        <w:t xml:space="preserve"> </w:t>
      </w:r>
      <w:r>
        <w:t>discussed</w:t>
      </w:r>
      <w:r w:rsidR="006C6F09">
        <w:t xml:space="preserve"> </w:t>
      </w:r>
      <w:r>
        <w:t>above</w:t>
      </w:r>
      <w:r w:rsidR="006C6F09">
        <w:t xml:space="preserve"> </w:t>
      </w:r>
      <w:r>
        <w:t>under</w:t>
      </w:r>
      <w:r w:rsidR="006C6F09">
        <w:t xml:space="preserve"> </w:t>
      </w:r>
      <w:r>
        <w:t>Section</w:t>
      </w:r>
      <w:r w:rsidR="006C6F09">
        <w:t xml:space="preserve"> </w:t>
      </w:r>
      <w:r w:rsidRPr="00263E76">
        <w:rPr>
          <w:u w:val="single"/>
        </w:rPr>
        <w:fldChar w:fldCharType="begin"/>
      </w:r>
      <w:r w:rsidRPr="00263E76">
        <w:rPr>
          <w:u w:val="single"/>
        </w:rPr>
        <w:instrText xml:space="preserve"> REF _Ref219791890 \h  \* MERGEFORMAT </w:instrText>
      </w:r>
      <w:r w:rsidRPr="00263E76">
        <w:rPr>
          <w:u w:val="single"/>
        </w:rPr>
      </w:r>
      <w:r w:rsidRPr="00263E76">
        <w:rPr>
          <w:u w:val="single"/>
        </w:rPr>
        <w:fldChar w:fldCharType="separate"/>
      </w:r>
      <w:r w:rsidRPr="00263E76">
        <w:rPr>
          <w:color w:val="0056A9"/>
          <w:u w:val="single"/>
        </w:rPr>
        <w:t>9.0</w:t>
      </w:r>
      <w:r w:rsidRPr="00263E76">
        <w:rPr>
          <w:u w:val="single"/>
        </w:rPr>
        <w:fldChar w:fldCharType="end"/>
      </w:r>
      <w:r w:rsidRPr="007F452F">
        <w:t>)</w:t>
      </w:r>
      <w:r w:rsidR="007F452F">
        <w:t>)</w:t>
      </w:r>
      <w:r>
        <w:t>.</w:t>
      </w:r>
    </w:p>
    <w:p w14:paraId="20025346" w14:textId="3F5946BF" w:rsidR="00457754" w:rsidRPr="00786382" w:rsidRDefault="00457754" w:rsidP="00457754">
      <w:pPr>
        <w:pStyle w:val="Heading3"/>
      </w:pPr>
      <w:bookmarkStart w:id="90" w:name="_Ref219790868"/>
      <w:bookmarkStart w:id="91" w:name="_Toc224026228"/>
      <w:r w:rsidRPr="00786382">
        <w:t>9.3</w:t>
      </w:r>
      <w:r w:rsidR="006C6F09" w:rsidRPr="00786382">
        <w:t xml:space="preserve"> </w:t>
      </w:r>
      <w:r w:rsidRPr="00786382">
        <w:t>Finding</w:t>
      </w:r>
      <w:r w:rsidR="006C6F09" w:rsidRPr="00786382">
        <w:t xml:space="preserve"> </w:t>
      </w:r>
      <w:r w:rsidRPr="00786382">
        <w:t>of</w:t>
      </w:r>
      <w:r w:rsidR="006C6F09" w:rsidRPr="00786382">
        <w:t xml:space="preserve"> </w:t>
      </w:r>
      <w:r w:rsidRPr="00786382">
        <w:t>No</w:t>
      </w:r>
      <w:r w:rsidR="006C6F09" w:rsidRPr="00786382">
        <w:t xml:space="preserve"> </w:t>
      </w:r>
      <w:r w:rsidRPr="00786382">
        <w:t>Significant</w:t>
      </w:r>
      <w:r w:rsidR="006C6F09" w:rsidRPr="00786382">
        <w:t xml:space="preserve"> </w:t>
      </w:r>
      <w:r w:rsidRPr="00786382">
        <w:t>Impact</w:t>
      </w:r>
      <w:r w:rsidR="006C6F09" w:rsidRPr="00786382">
        <w:t xml:space="preserve"> </w:t>
      </w:r>
      <w:r w:rsidRPr="00786382">
        <w:t>(FONSI)</w:t>
      </w:r>
      <w:bookmarkEnd w:id="90"/>
      <w:bookmarkEnd w:id="91"/>
      <w:r w:rsidR="006C6F09" w:rsidRPr="00786382">
        <w:t xml:space="preserve"> </w:t>
      </w:r>
    </w:p>
    <w:p w14:paraId="144162FF" w14:textId="6CA93C05" w:rsidR="00457754" w:rsidRDefault="00457754" w:rsidP="00457754">
      <w:r w:rsidRPr="00190118">
        <w:t>To</w:t>
      </w:r>
      <w:r w:rsidR="006C6F09">
        <w:t xml:space="preserve"> </w:t>
      </w:r>
      <w:r w:rsidRPr="00190118">
        <w:t>prepare</w:t>
      </w:r>
      <w:r w:rsidR="006C6F09">
        <w:t xml:space="preserve"> </w:t>
      </w:r>
      <w:r w:rsidRPr="00190118">
        <w:t>an</w:t>
      </w:r>
      <w:r w:rsidR="006C6F09">
        <w:t xml:space="preserve"> </w:t>
      </w:r>
      <w:r w:rsidRPr="00190118">
        <w:t>NOA</w:t>
      </w:r>
      <w:r w:rsidR="006C6F09">
        <w:t xml:space="preserve"> </w:t>
      </w:r>
      <w:r w:rsidRPr="00190118">
        <w:t>for</w:t>
      </w:r>
      <w:r w:rsidR="006C6F09">
        <w:t xml:space="preserve"> </w:t>
      </w:r>
      <w:r w:rsidRPr="00190118">
        <w:t>a</w:t>
      </w:r>
      <w:r w:rsidR="006C6F09">
        <w:t xml:space="preserve"> </w:t>
      </w:r>
      <w:r w:rsidRPr="00190118">
        <w:t>FONSI,</w:t>
      </w:r>
      <w:r w:rsidR="006C6F09">
        <w:t xml:space="preserve"> </w:t>
      </w:r>
      <w:r w:rsidRPr="00190118">
        <w:t>use</w:t>
      </w:r>
      <w:r w:rsidR="006C6F09">
        <w:t xml:space="preserve"> </w:t>
      </w:r>
      <w:r w:rsidRPr="00190118">
        <w:t>ENV’s</w:t>
      </w:r>
      <w:r w:rsidR="006C6F09">
        <w:t xml:space="preserve"> </w:t>
      </w:r>
      <w:r w:rsidRPr="00190118">
        <w:t>Template:</w:t>
      </w:r>
      <w:r w:rsidR="006C6F09">
        <w:t xml:space="preserve"> </w:t>
      </w:r>
      <w:r w:rsidRPr="00190118">
        <w:t>FONSI</w:t>
      </w:r>
      <w:r w:rsidR="006C6F09">
        <w:t xml:space="preserve"> </w:t>
      </w:r>
      <w:r w:rsidRPr="00190118">
        <w:t>Notice</w:t>
      </w:r>
      <w:r w:rsidR="006C6F09">
        <w:t xml:space="preserve"> </w:t>
      </w:r>
      <w:r w:rsidRPr="00190118">
        <w:t>of</w:t>
      </w:r>
      <w:r w:rsidR="006C6F09">
        <w:t xml:space="preserve"> </w:t>
      </w:r>
      <w:r w:rsidRPr="00190118">
        <w:t>Availability,</w:t>
      </w:r>
      <w:r w:rsidR="006C6F09">
        <w:t xml:space="preserve"> </w:t>
      </w:r>
      <w:r w:rsidRPr="00190118">
        <w:t>which</w:t>
      </w:r>
      <w:r w:rsidR="006C6F09">
        <w:t xml:space="preserve"> </w:t>
      </w:r>
      <w:r w:rsidRPr="00190118">
        <w:t>is</w:t>
      </w:r>
      <w:r w:rsidR="006C6F09">
        <w:t xml:space="preserve"> </w:t>
      </w:r>
      <w:r w:rsidRPr="00190118">
        <w:t>available</w:t>
      </w:r>
      <w:r w:rsidR="006C6F09">
        <w:t xml:space="preserve"> </w:t>
      </w:r>
      <w:r w:rsidRPr="00190118">
        <w:t>on</w:t>
      </w:r>
      <w:r w:rsidR="006C6F09">
        <w:t xml:space="preserve"> </w:t>
      </w:r>
      <w:r w:rsidRPr="00190118">
        <w:t>the</w:t>
      </w:r>
      <w:r w:rsidR="006C6F09">
        <w:t xml:space="preserve"> </w:t>
      </w:r>
      <w:hyperlink r:id="rId71" w:history="1">
        <w:r w:rsidRPr="00190118">
          <w:rPr>
            <w:rStyle w:val="Hyperlink"/>
          </w:rPr>
          <w:t>Public</w:t>
        </w:r>
        <w:r w:rsidR="006C6F09">
          <w:rPr>
            <w:rStyle w:val="Hyperlink"/>
          </w:rPr>
          <w:t xml:space="preserve"> </w:t>
        </w:r>
        <w:r w:rsidRPr="00190118">
          <w:rPr>
            <w:rStyle w:val="Hyperlink"/>
          </w:rPr>
          <w:t>Involvement</w:t>
        </w:r>
        <w:r w:rsidR="006C6F09">
          <w:rPr>
            <w:rStyle w:val="Hyperlink"/>
          </w:rPr>
          <w:t xml:space="preserve"> </w:t>
        </w:r>
        <w:r w:rsidRPr="00190118">
          <w:rPr>
            <w:rStyle w:val="Hyperlink"/>
          </w:rPr>
          <w:t>Toolkit</w:t>
        </w:r>
      </w:hyperlink>
      <w:r w:rsidRPr="00190118">
        <w:t>.</w:t>
      </w:r>
      <w:r w:rsidR="006C6F09">
        <w:t xml:space="preserve"> </w:t>
      </w:r>
      <w:r w:rsidRPr="00190118">
        <w:t>Follow</w:t>
      </w:r>
      <w:r w:rsidR="006C6F09">
        <w:t xml:space="preserve"> </w:t>
      </w:r>
      <w:r w:rsidRPr="00190118">
        <w:t>the</w:t>
      </w:r>
      <w:r w:rsidR="006C6F09">
        <w:t xml:space="preserve"> </w:t>
      </w:r>
      <w:r w:rsidRPr="00190118">
        <w:t>publication</w:t>
      </w:r>
      <w:r w:rsidR="006C6F09">
        <w:t xml:space="preserve"> </w:t>
      </w:r>
      <w:r>
        <w:t>or</w:t>
      </w:r>
      <w:r w:rsidR="006C6F09">
        <w:t xml:space="preserve"> </w:t>
      </w:r>
      <w:r w:rsidRPr="00190118">
        <w:t>distribution</w:t>
      </w:r>
      <w:r w:rsidR="006C6F09">
        <w:t xml:space="preserve"> </w:t>
      </w:r>
      <w:r w:rsidRPr="00190118">
        <w:t>requirements</w:t>
      </w:r>
      <w:r w:rsidR="006C6F09">
        <w:t xml:space="preserve"> </w:t>
      </w:r>
      <w:r w:rsidRPr="00190118">
        <w:t>discussed</w:t>
      </w:r>
      <w:r w:rsidR="006C6F09">
        <w:t xml:space="preserve"> </w:t>
      </w:r>
      <w:r w:rsidRPr="00190118">
        <w:t>above</w:t>
      </w:r>
      <w:r w:rsidR="006C6F09">
        <w:t xml:space="preserve"> </w:t>
      </w:r>
      <w:r w:rsidRPr="00190118">
        <w:t>under</w:t>
      </w:r>
      <w:r w:rsidR="006C6F09">
        <w:t xml:space="preserve"> </w:t>
      </w:r>
      <w:r w:rsidRPr="00190118">
        <w:t>Section</w:t>
      </w:r>
      <w:r w:rsidR="006C6F09">
        <w:t xml:space="preserve"> </w:t>
      </w:r>
      <w:r w:rsidRPr="00263E76">
        <w:rPr>
          <w:u w:val="single"/>
        </w:rPr>
        <w:fldChar w:fldCharType="begin"/>
      </w:r>
      <w:r w:rsidRPr="00263E76">
        <w:rPr>
          <w:u w:val="single"/>
        </w:rPr>
        <w:instrText xml:space="preserve"> REF _Ref219791920 \h  \* MERGEFORMAT </w:instrText>
      </w:r>
      <w:r w:rsidRPr="00263E76">
        <w:rPr>
          <w:u w:val="single"/>
        </w:rPr>
      </w:r>
      <w:r w:rsidRPr="00263E76">
        <w:rPr>
          <w:u w:val="single"/>
        </w:rPr>
        <w:fldChar w:fldCharType="separate"/>
      </w:r>
      <w:r w:rsidRPr="00263E76">
        <w:rPr>
          <w:color w:val="0056A9"/>
          <w:u w:val="single"/>
        </w:rPr>
        <w:t>9.0</w:t>
      </w:r>
      <w:r w:rsidRPr="00263E76">
        <w:rPr>
          <w:u w:val="single"/>
        </w:rPr>
        <w:fldChar w:fldCharType="end"/>
      </w:r>
      <w:r w:rsidRPr="00190118">
        <w:t>.</w:t>
      </w:r>
    </w:p>
    <w:p w14:paraId="2B7F9DD0" w14:textId="7E485672" w:rsidR="00457754" w:rsidRPr="00B22536" w:rsidRDefault="00457754" w:rsidP="00457754">
      <w:pPr>
        <w:pStyle w:val="Heading3"/>
        <w:rPr>
          <w:color w:val="0056A9"/>
        </w:rPr>
      </w:pPr>
      <w:bookmarkStart w:id="92" w:name="_Toc224026229"/>
      <w:r w:rsidRPr="00786382">
        <w:t>9.4</w:t>
      </w:r>
      <w:r w:rsidR="006C6F09" w:rsidRPr="00786382">
        <w:t xml:space="preserve"> </w:t>
      </w:r>
      <w:r w:rsidRPr="00786382">
        <w:t>Draft</w:t>
      </w:r>
      <w:r w:rsidR="006C6F09" w:rsidRPr="00786382">
        <w:t xml:space="preserve"> </w:t>
      </w:r>
      <w:r w:rsidRPr="00786382">
        <w:t>Environmental</w:t>
      </w:r>
      <w:r w:rsidR="006C6F09" w:rsidRPr="00786382">
        <w:t xml:space="preserve"> </w:t>
      </w:r>
      <w:r w:rsidRPr="00786382">
        <w:t>Impact</w:t>
      </w:r>
      <w:r w:rsidR="006C6F09" w:rsidRPr="00786382">
        <w:t xml:space="preserve"> </w:t>
      </w:r>
      <w:r w:rsidRPr="00786382">
        <w:t>Statement</w:t>
      </w:r>
      <w:bookmarkEnd w:id="92"/>
      <w:r w:rsidR="006C6F09" w:rsidRPr="00786382">
        <w:t xml:space="preserve"> </w:t>
      </w:r>
    </w:p>
    <w:p w14:paraId="59D611D9" w14:textId="38E7361C" w:rsidR="00457754" w:rsidRDefault="00457754" w:rsidP="00457754">
      <w:r>
        <w:t>The</w:t>
      </w:r>
      <w:r w:rsidR="006C6F09">
        <w:t xml:space="preserve"> </w:t>
      </w:r>
      <w:r>
        <w:t>NOA</w:t>
      </w:r>
      <w:r w:rsidR="006C6F09">
        <w:t xml:space="preserve"> </w:t>
      </w:r>
      <w:r>
        <w:t>of</w:t>
      </w:r>
      <w:r w:rsidR="006C6F09">
        <w:t xml:space="preserve"> </w:t>
      </w:r>
      <w:r>
        <w:t>the</w:t>
      </w:r>
      <w:r w:rsidR="006C6F09">
        <w:t xml:space="preserve"> </w:t>
      </w:r>
      <w:r>
        <w:t>DEIS</w:t>
      </w:r>
      <w:r w:rsidR="006C6F09">
        <w:t xml:space="preserve"> </w:t>
      </w:r>
      <w:r>
        <w:t>is</w:t>
      </w:r>
      <w:r w:rsidR="006C6F09">
        <w:t xml:space="preserve"> </w:t>
      </w:r>
      <w:r>
        <w:t>combined</w:t>
      </w:r>
      <w:r w:rsidR="006C6F09">
        <w:t xml:space="preserve"> </w:t>
      </w:r>
      <w:r>
        <w:t>with</w:t>
      </w:r>
      <w:r w:rsidR="006C6F09">
        <w:t xml:space="preserve"> </w:t>
      </w:r>
      <w:r>
        <w:t>the</w:t>
      </w:r>
      <w:r w:rsidR="006C6F09">
        <w:t xml:space="preserve"> </w:t>
      </w:r>
      <w:r>
        <w:t>public</w:t>
      </w:r>
      <w:r w:rsidR="006C6F09">
        <w:t xml:space="preserve"> </w:t>
      </w:r>
      <w:r>
        <w:t>hearing</w:t>
      </w:r>
      <w:r w:rsidR="006C6F09">
        <w:t xml:space="preserve"> </w:t>
      </w:r>
      <w:r>
        <w:t>notice.</w:t>
      </w:r>
      <w:r w:rsidR="006C6F09">
        <w:t xml:space="preserve"> </w:t>
      </w:r>
      <w:r>
        <w:t>See</w:t>
      </w:r>
      <w:r w:rsidR="006C6F09">
        <w:t xml:space="preserve"> </w:t>
      </w:r>
      <w:r>
        <w:t>ENV’s</w:t>
      </w:r>
      <w:r w:rsidR="006C6F09">
        <w:t xml:space="preserve"> </w:t>
      </w:r>
      <w:r>
        <w:t>Template:</w:t>
      </w:r>
      <w:r w:rsidR="006C6F09">
        <w:t xml:space="preserve"> </w:t>
      </w:r>
      <w:r>
        <w:t>Draft</w:t>
      </w:r>
      <w:r w:rsidR="006C6F09">
        <w:t xml:space="preserve"> </w:t>
      </w:r>
      <w:r>
        <w:t>EIS</w:t>
      </w:r>
      <w:r w:rsidR="006C6F09">
        <w:t xml:space="preserve"> </w:t>
      </w:r>
      <w:r>
        <w:t>Notice</w:t>
      </w:r>
      <w:r w:rsidR="006C6F09">
        <w:t xml:space="preserve"> </w:t>
      </w:r>
      <w:r>
        <w:t>of</w:t>
      </w:r>
      <w:r w:rsidR="006C6F09">
        <w:t xml:space="preserve"> </w:t>
      </w:r>
      <w:r>
        <w:t>Availability</w:t>
      </w:r>
      <w:r w:rsidR="006C6F09">
        <w:t xml:space="preserve"> </w:t>
      </w:r>
      <w:r>
        <w:t>and</w:t>
      </w:r>
      <w:r w:rsidR="006C6F09">
        <w:t xml:space="preserve"> </w:t>
      </w:r>
      <w:r>
        <w:t>Public</w:t>
      </w:r>
      <w:r w:rsidR="006C6F09">
        <w:t xml:space="preserve"> </w:t>
      </w:r>
      <w:r>
        <w:t>Hearing,</w:t>
      </w:r>
      <w:r w:rsidR="006C6F09">
        <w:t xml:space="preserve"> </w:t>
      </w:r>
      <w:r>
        <w:t>which</w:t>
      </w:r>
      <w:r w:rsidR="006C6F09">
        <w:t xml:space="preserve"> </w:t>
      </w:r>
      <w:r>
        <w:t>is</w:t>
      </w:r>
      <w:r w:rsidR="006C6F09">
        <w:t xml:space="preserve"> </w:t>
      </w:r>
      <w:r>
        <w:t>available</w:t>
      </w:r>
      <w:r w:rsidR="006C6F09">
        <w:t xml:space="preserve"> </w:t>
      </w:r>
      <w:r>
        <w:t>on</w:t>
      </w:r>
      <w:r w:rsidR="006C6F09">
        <w:t xml:space="preserve"> </w:t>
      </w:r>
      <w:r>
        <w:t>the</w:t>
      </w:r>
      <w:bookmarkStart w:id="93" w:name="_Hlk216879983"/>
      <w:r w:rsidR="006C6F09">
        <w:t xml:space="preserve"> </w:t>
      </w:r>
      <w:hyperlink r:id="rId72" w:history="1">
        <w:r w:rsidRPr="00190118">
          <w:rPr>
            <w:rStyle w:val="Hyperlink"/>
          </w:rPr>
          <w:t>Public</w:t>
        </w:r>
        <w:r w:rsidR="006C6F09">
          <w:rPr>
            <w:rStyle w:val="Hyperlink"/>
          </w:rPr>
          <w:t xml:space="preserve"> </w:t>
        </w:r>
        <w:r w:rsidRPr="00190118">
          <w:rPr>
            <w:rStyle w:val="Hyperlink"/>
          </w:rPr>
          <w:t>Involvement</w:t>
        </w:r>
        <w:r w:rsidR="006C6F09">
          <w:rPr>
            <w:rStyle w:val="Hyperlink"/>
          </w:rPr>
          <w:t xml:space="preserve"> </w:t>
        </w:r>
        <w:r w:rsidRPr="00190118">
          <w:rPr>
            <w:rStyle w:val="Hyperlink"/>
          </w:rPr>
          <w:t>Toolkit</w:t>
        </w:r>
      </w:hyperlink>
      <w:bookmarkEnd w:id="93"/>
      <w:r>
        <w:t>.</w:t>
      </w:r>
      <w:r w:rsidR="00135456">
        <w:t xml:space="preserve"> </w:t>
      </w:r>
      <w:r>
        <w:t>The</w:t>
      </w:r>
      <w:r w:rsidR="006C6F09">
        <w:t xml:space="preserve"> </w:t>
      </w:r>
      <w:r>
        <w:t>combined</w:t>
      </w:r>
      <w:r w:rsidR="006C6F09">
        <w:t xml:space="preserve"> </w:t>
      </w:r>
      <w:r>
        <w:t>notice</w:t>
      </w:r>
      <w:r w:rsidR="006C6F09">
        <w:t xml:space="preserve"> </w:t>
      </w:r>
      <w:r>
        <w:t>of</w:t>
      </w:r>
      <w:r w:rsidR="006C6F09">
        <w:t xml:space="preserve"> </w:t>
      </w:r>
      <w:r>
        <w:t>public</w:t>
      </w:r>
      <w:r w:rsidR="006C6F09">
        <w:t xml:space="preserve"> </w:t>
      </w:r>
      <w:r>
        <w:t>hearing</w:t>
      </w:r>
      <w:r w:rsidR="006C6F09">
        <w:t xml:space="preserve"> </w:t>
      </w:r>
      <w:r>
        <w:t>and</w:t>
      </w:r>
      <w:r w:rsidR="006C6F09">
        <w:t xml:space="preserve"> </w:t>
      </w:r>
      <w:r>
        <w:t>NOA,</w:t>
      </w:r>
      <w:r w:rsidR="006C6F09">
        <w:t xml:space="preserve"> </w:t>
      </w:r>
      <w:r>
        <w:t>and</w:t>
      </w:r>
      <w:r w:rsidR="006C6F09">
        <w:t xml:space="preserve"> </w:t>
      </w:r>
      <w:r>
        <w:t>the</w:t>
      </w:r>
      <w:r w:rsidR="006C6F09">
        <w:t xml:space="preserve"> </w:t>
      </w:r>
      <w:r>
        <w:t>notice</w:t>
      </w:r>
      <w:r w:rsidR="006C6F09">
        <w:t xml:space="preserve"> </w:t>
      </w:r>
      <w:r>
        <w:t>that</w:t>
      </w:r>
      <w:r w:rsidR="006C6F09">
        <w:t xml:space="preserve"> </w:t>
      </w:r>
      <w:r>
        <w:t>is</w:t>
      </w:r>
      <w:r w:rsidR="006C6F09">
        <w:t xml:space="preserve"> </w:t>
      </w:r>
      <w:r>
        <w:t>published</w:t>
      </w:r>
      <w:r w:rsidR="006C6F09">
        <w:t xml:space="preserve"> </w:t>
      </w:r>
      <w:r>
        <w:t>in</w:t>
      </w:r>
      <w:r w:rsidR="006C6F09">
        <w:t xml:space="preserve"> </w:t>
      </w:r>
      <w:r>
        <w:t>the</w:t>
      </w:r>
      <w:r w:rsidR="006C6F09">
        <w:t xml:space="preserve"> </w:t>
      </w:r>
      <w:r>
        <w:t>Texas</w:t>
      </w:r>
      <w:r w:rsidR="006C6F09">
        <w:t xml:space="preserve"> </w:t>
      </w:r>
      <w:r>
        <w:t>or</w:t>
      </w:r>
      <w:r w:rsidR="006C6F09">
        <w:t xml:space="preserve"> </w:t>
      </w:r>
      <w:r>
        <w:t>Federal</w:t>
      </w:r>
      <w:r w:rsidR="006C6F09">
        <w:t xml:space="preserve"> </w:t>
      </w:r>
      <w:r>
        <w:t>Register,</w:t>
      </w:r>
      <w:r w:rsidR="006C6F09">
        <w:t xml:space="preserve"> </w:t>
      </w:r>
      <w:r>
        <w:t>must</w:t>
      </w:r>
      <w:r w:rsidR="006C6F09">
        <w:t xml:space="preserve"> </w:t>
      </w:r>
      <w:r>
        <w:t>specify</w:t>
      </w:r>
      <w:r w:rsidR="006C6F09">
        <w:t xml:space="preserve"> </w:t>
      </w:r>
      <w:r>
        <w:t>a</w:t>
      </w:r>
      <w:r w:rsidR="006C6F09">
        <w:t xml:space="preserve"> </w:t>
      </w:r>
      <w:r>
        <w:t>comment</w:t>
      </w:r>
      <w:r w:rsidR="006C6F09">
        <w:t xml:space="preserve"> </w:t>
      </w:r>
      <w:r>
        <w:t>deadline</w:t>
      </w:r>
      <w:r w:rsidR="006C6F09">
        <w:t xml:space="preserve"> </w:t>
      </w:r>
      <w:r>
        <w:t>that</w:t>
      </w:r>
      <w:r w:rsidR="006C6F09">
        <w:t xml:space="preserve"> </w:t>
      </w:r>
      <w:r>
        <w:t>is</w:t>
      </w:r>
      <w:r w:rsidR="006C6F09">
        <w:t xml:space="preserve"> </w:t>
      </w:r>
      <w:r>
        <w:t>both</w:t>
      </w:r>
      <w:r w:rsidR="006C6F09">
        <w:t xml:space="preserve"> </w:t>
      </w:r>
      <w:r>
        <w:t>15</w:t>
      </w:r>
      <w:r w:rsidR="006C6F09">
        <w:t xml:space="preserve"> </w:t>
      </w:r>
      <w:r>
        <w:t>calendar</w:t>
      </w:r>
      <w:r w:rsidR="006C6F09">
        <w:t xml:space="preserve"> </w:t>
      </w:r>
      <w:r>
        <w:t>days</w:t>
      </w:r>
      <w:r w:rsidR="006C6F09">
        <w:t xml:space="preserve"> </w:t>
      </w:r>
      <w:r>
        <w:t>after</w:t>
      </w:r>
      <w:r w:rsidR="006C6F09">
        <w:t xml:space="preserve"> </w:t>
      </w:r>
      <w:r>
        <w:t>the</w:t>
      </w:r>
      <w:r w:rsidR="006C6F09">
        <w:t xml:space="preserve"> </w:t>
      </w:r>
      <w:r>
        <w:t>hearing</w:t>
      </w:r>
      <w:r w:rsidR="006C6F09">
        <w:t xml:space="preserve"> </w:t>
      </w:r>
      <w:r>
        <w:t>and</w:t>
      </w:r>
      <w:r w:rsidR="006C6F09">
        <w:t xml:space="preserve"> </w:t>
      </w:r>
      <w:r>
        <w:t>45</w:t>
      </w:r>
      <w:r w:rsidR="006C6F09">
        <w:t xml:space="preserve"> </w:t>
      </w:r>
      <w:r>
        <w:t>calendar</w:t>
      </w:r>
      <w:r w:rsidR="006C6F09">
        <w:t xml:space="preserve"> </w:t>
      </w:r>
      <w:r>
        <w:t>days</w:t>
      </w:r>
      <w:r w:rsidR="006C6F09">
        <w:t xml:space="preserve"> </w:t>
      </w:r>
      <w:r>
        <w:t>after</w:t>
      </w:r>
      <w:r w:rsidR="006C6F09">
        <w:t xml:space="preserve"> </w:t>
      </w:r>
      <w:r>
        <w:t>publication</w:t>
      </w:r>
      <w:r w:rsidR="006C6F09">
        <w:t xml:space="preserve"> </w:t>
      </w:r>
      <w:r>
        <w:t>of</w:t>
      </w:r>
      <w:r w:rsidR="006C6F09">
        <w:t xml:space="preserve"> </w:t>
      </w:r>
      <w:r>
        <w:t>the</w:t>
      </w:r>
      <w:r w:rsidR="006C6F09">
        <w:t xml:space="preserve"> </w:t>
      </w:r>
      <w:r>
        <w:t>notice</w:t>
      </w:r>
      <w:r w:rsidR="006C6F09">
        <w:t xml:space="preserve"> </w:t>
      </w:r>
      <w:r>
        <w:t>in</w:t>
      </w:r>
      <w:r w:rsidR="006C6F09">
        <w:t xml:space="preserve"> </w:t>
      </w:r>
      <w:r>
        <w:t>the</w:t>
      </w:r>
      <w:r w:rsidR="006C6F09">
        <w:t xml:space="preserve"> </w:t>
      </w:r>
      <w:r>
        <w:t>Texas</w:t>
      </w:r>
      <w:r w:rsidR="006C6F09">
        <w:t xml:space="preserve"> </w:t>
      </w:r>
      <w:r>
        <w:t>or</w:t>
      </w:r>
      <w:r w:rsidR="006C6F09">
        <w:t xml:space="preserve"> </w:t>
      </w:r>
      <w:r>
        <w:t>Federal</w:t>
      </w:r>
      <w:r w:rsidR="006C6F09">
        <w:t xml:space="preserve"> </w:t>
      </w:r>
      <w:r>
        <w:t>Register.</w:t>
      </w:r>
    </w:p>
    <w:p w14:paraId="04779125" w14:textId="2AB387A6" w:rsidR="00457754" w:rsidRDefault="00457754" w:rsidP="00457754">
      <w:r>
        <w:t>In</w:t>
      </w:r>
      <w:r w:rsidR="006C6F09">
        <w:t xml:space="preserve"> </w:t>
      </w:r>
      <w:r>
        <w:t>addition</w:t>
      </w:r>
      <w:r w:rsidR="006C6F09">
        <w:t xml:space="preserve"> </w:t>
      </w:r>
      <w:r>
        <w:t>to</w:t>
      </w:r>
      <w:r w:rsidR="006C6F09">
        <w:t xml:space="preserve"> </w:t>
      </w:r>
      <w:r>
        <w:t>the</w:t>
      </w:r>
      <w:r w:rsidR="006C6F09">
        <w:t xml:space="preserve"> </w:t>
      </w:r>
      <w:r>
        <w:t>publication</w:t>
      </w:r>
      <w:r w:rsidR="006C6F09">
        <w:t xml:space="preserve"> </w:t>
      </w:r>
      <w:r>
        <w:t>or</w:t>
      </w:r>
      <w:r w:rsidR="006C6F09">
        <w:t xml:space="preserve"> </w:t>
      </w:r>
      <w:r>
        <w:t>distribution</w:t>
      </w:r>
      <w:r w:rsidR="006C6F09">
        <w:t xml:space="preserve"> </w:t>
      </w:r>
      <w:r>
        <w:t>requirements</w:t>
      </w:r>
      <w:r w:rsidR="006C6F09">
        <w:t xml:space="preserve"> </w:t>
      </w:r>
      <w:r>
        <w:t>discussed</w:t>
      </w:r>
      <w:r w:rsidR="006C6F09">
        <w:t xml:space="preserve"> </w:t>
      </w:r>
      <w:r>
        <w:t>above</w:t>
      </w:r>
      <w:r w:rsidR="006C6F09">
        <w:t xml:space="preserve"> </w:t>
      </w:r>
      <w:r>
        <w:t>under</w:t>
      </w:r>
      <w:r w:rsidR="006C6F09">
        <w:t xml:space="preserve"> </w:t>
      </w:r>
      <w:r>
        <w:t>Section</w:t>
      </w:r>
      <w:r w:rsidR="006C6F09">
        <w:t xml:space="preserve"> </w:t>
      </w:r>
      <w:r w:rsidRPr="00263E76">
        <w:rPr>
          <w:u w:val="single"/>
        </w:rPr>
        <w:fldChar w:fldCharType="begin"/>
      </w:r>
      <w:r w:rsidRPr="00263E76">
        <w:rPr>
          <w:u w:val="single"/>
        </w:rPr>
        <w:instrText xml:space="preserve"> REF _Ref219791947 \h  \* MERGEFORMAT </w:instrText>
      </w:r>
      <w:r w:rsidRPr="00263E76">
        <w:rPr>
          <w:u w:val="single"/>
        </w:rPr>
      </w:r>
      <w:r w:rsidRPr="00263E76">
        <w:rPr>
          <w:u w:val="single"/>
        </w:rPr>
        <w:fldChar w:fldCharType="separate"/>
      </w:r>
      <w:r w:rsidRPr="00263E76">
        <w:rPr>
          <w:color w:val="0056A9"/>
          <w:u w:val="single"/>
        </w:rPr>
        <w:t>9.0</w:t>
      </w:r>
      <w:r w:rsidRPr="00263E76">
        <w:rPr>
          <w:u w:val="single"/>
        </w:rPr>
        <w:fldChar w:fldCharType="end"/>
      </w:r>
      <w:r>
        <w:t>,</w:t>
      </w:r>
      <w:r w:rsidR="006C6F09">
        <w:t xml:space="preserve"> </w:t>
      </w:r>
      <w:r>
        <w:t>the</w:t>
      </w:r>
      <w:r w:rsidR="006C6F09">
        <w:t xml:space="preserve"> </w:t>
      </w:r>
      <w:r>
        <w:t>department</w:t>
      </w:r>
      <w:r w:rsidR="006C6F09">
        <w:t xml:space="preserve"> </w:t>
      </w:r>
      <w:r>
        <w:t>delegate</w:t>
      </w:r>
      <w:r w:rsidR="006C6F09">
        <w:t xml:space="preserve"> </w:t>
      </w:r>
      <w:r>
        <w:t>reviews</w:t>
      </w:r>
      <w:r w:rsidR="006C6F09">
        <w:t xml:space="preserve"> </w:t>
      </w:r>
      <w:r>
        <w:t>the</w:t>
      </w:r>
      <w:r w:rsidR="006C6F09">
        <w:t xml:space="preserve"> </w:t>
      </w:r>
      <w:r>
        <w:t>combined</w:t>
      </w:r>
      <w:r w:rsidR="006C6F09">
        <w:t xml:space="preserve"> </w:t>
      </w:r>
      <w:r>
        <w:t>NOA</w:t>
      </w:r>
      <w:r w:rsidR="006C6F09">
        <w:t xml:space="preserve"> </w:t>
      </w:r>
      <w:r>
        <w:t>and</w:t>
      </w:r>
      <w:r w:rsidR="006C6F09">
        <w:t xml:space="preserve"> </w:t>
      </w:r>
      <w:r>
        <w:t>public</w:t>
      </w:r>
      <w:r w:rsidR="006C6F09">
        <w:t xml:space="preserve"> </w:t>
      </w:r>
      <w:r>
        <w:t>hearing</w:t>
      </w:r>
      <w:r w:rsidR="006C6F09">
        <w:t xml:space="preserve"> </w:t>
      </w:r>
      <w:r>
        <w:t>notice,</w:t>
      </w:r>
      <w:r w:rsidR="006C6F09">
        <w:t xml:space="preserve"> </w:t>
      </w:r>
      <w:r>
        <w:t>and</w:t>
      </w:r>
      <w:r w:rsidR="006C6F09">
        <w:t xml:space="preserve"> </w:t>
      </w:r>
      <w:r>
        <w:t>submits</w:t>
      </w:r>
      <w:r w:rsidR="006C6F09">
        <w:t xml:space="preserve"> </w:t>
      </w:r>
      <w:r>
        <w:t>it</w:t>
      </w:r>
      <w:r w:rsidR="006C6F09">
        <w:t xml:space="preserve"> </w:t>
      </w:r>
      <w:r>
        <w:t>for</w:t>
      </w:r>
      <w:r w:rsidR="006C6F09">
        <w:t xml:space="preserve"> </w:t>
      </w:r>
      <w:r>
        <w:t>publication</w:t>
      </w:r>
      <w:r w:rsidR="006C6F09">
        <w:t xml:space="preserve"> </w:t>
      </w:r>
      <w:r>
        <w:t>in</w:t>
      </w:r>
      <w:r w:rsidR="006C6F09">
        <w:t xml:space="preserve"> </w:t>
      </w:r>
      <w:r>
        <w:t>the</w:t>
      </w:r>
      <w:r w:rsidR="006C6F09">
        <w:t xml:space="preserve"> </w:t>
      </w:r>
      <w:r>
        <w:t>Texas</w:t>
      </w:r>
      <w:r w:rsidR="006C6F09">
        <w:t xml:space="preserve"> </w:t>
      </w:r>
      <w:r>
        <w:t>Register</w:t>
      </w:r>
      <w:r w:rsidR="006C6F09">
        <w:t xml:space="preserve"> </w:t>
      </w:r>
      <w:r>
        <w:t>for</w:t>
      </w:r>
      <w:r w:rsidR="006C6F09">
        <w:t xml:space="preserve"> </w:t>
      </w:r>
      <w:r>
        <w:t>state</w:t>
      </w:r>
      <w:r w:rsidR="006C6F09">
        <w:t xml:space="preserve"> </w:t>
      </w:r>
      <w:r>
        <w:t>projects</w:t>
      </w:r>
      <w:r w:rsidR="006C6F09">
        <w:t xml:space="preserve"> </w:t>
      </w:r>
      <w:r>
        <w:t>(</w:t>
      </w:r>
      <w:r w:rsidRPr="00D903DC">
        <w:t>43</w:t>
      </w:r>
      <w:r w:rsidR="006C6F09">
        <w:t xml:space="preserve"> </w:t>
      </w:r>
      <w:r w:rsidRPr="00D903DC">
        <w:t>TAC</w:t>
      </w:r>
      <w:r w:rsidR="006C6F09">
        <w:t xml:space="preserve"> </w:t>
      </w:r>
      <w:r w:rsidRPr="00D903DC">
        <w:t>2.108(c)(4))</w:t>
      </w:r>
      <w:r>
        <w:t>,</w:t>
      </w:r>
      <w:r w:rsidR="006C6F09">
        <w:t xml:space="preserve"> </w:t>
      </w:r>
      <w:r>
        <w:t>or</w:t>
      </w:r>
      <w:r w:rsidR="006C6F09">
        <w:t xml:space="preserve"> </w:t>
      </w:r>
      <w:r>
        <w:t>for</w:t>
      </w:r>
      <w:r w:rsidR="006C6F09">
        <w:t xml:space="preserve"> </w:t>
      </w:r>
      <w:r>
        <w:t>an</w:t>
      </w:r>
      <w:r w:rsidR="006C6F09">
        <w:t xml:space="preserve"> </w:t>
      </w:r>
      <w:r>
        <w:t>FHWA</w:t>
      </w:r>
      <w:r w:rsidR="006C6F09">
        <w:t xml:space="preserve"> </w:t>
      </w:r>
      <w:r>
        <w:t>project,</w:t>
      </w:r>
      <w:r w:rsidR="006C6F09">
        <w:t xml:space="preserve"> </w:t>
      </w:r>
      <w:r>
        <w:t>uses</w:t>
      </w:r>
      <w:r w:rsidR="006C6F09">
        <w:t xml:space="preserve"> </w:t>
      </w:r>
      <w:r>
        <w:t>the</w:t>
      </w:r>
      <w:r w:rsidR="006C6F09">
        <w:t xml:space="preserve"> </w:t>
      </w:r>
      <w:r>
        <w:t>e-NEPA</w:t>
      </w:r>
      <w:r w:rsidR="006C6F09">
        <w:t xml:space="preserve"> </w:t>
      </w:r>
      <w:r>
        <w:t>system</w:t>
      </w:r>
      <w:r w:rsidR="006C6F09">
        <w:t xml:space="preserve"> </w:t>
      </w:r>
      <w:r>
        <w:t>to</w:t>
      </w:r>
      <w:r w:rsidR="006C6F09">
        <w:t xml:space="preserve"> </w:t>
      </w:r>
      <w:r>
        <w:t>request</w:t>
      </w:r>
      <w:r w:rsidR="006C6F09">
        <w:t xml:space="preserve"> </w:t>
      </w:r>
      <w:r>
        <w:t>publication</w:t>
      </w:r>
      <w:r w:rsidR="006C6F09">
        <w:t xml:space="preserve"> </w:t>
      </w:r>
      <w:r>
        <w:t>of</w:t>
      </w:r>
      <w:r w:rsidR="006C6F09">
        <w:t xml:space="preserve"> </w:t>
      </w:r>
      <w:r>
        <w:t>a</w:t>
      </w:r>
      <w:r w:rsidR="006C6F09">
        <w:t xml:space="preserve"> </w:t>
      </w:r>
      <w:r>
        <w:t>notice</w:t>
      </w:r>
      <w:r w:rsidR="006C6F09">
        <w:t xml:space="preserve"> </w:t>
      </w:r>
      <w:r>
        <w:t>in</w:t>
      </w:r>
      <w:r w:rsidR="006C6F09">
        <w:t xml:space="preserve"> </w:t>
      </w:r>
      <w:r>
        <w:t>the</w:t>
      </w:r>
      <w:r w:rsidR="006C6F09">
        <w:t xml:space="preserve"> </w:t>
      </w:r>
      <w:r>
        <w:t>Federal</w:t>
      </w:r>
      <w:r w:rsidR="006C6F09">
        <w:t xml:space="preserve"> </w:t>
      </w:r>
      <w:r>
        <w:t>Register.</w:t>
      </w:r>
      <w:r w:rsidR="006C6F09">
        <w:t xml:space="preserve"> </w:t>
      </w:r>
      <w:r>
        <w:t>The</w:t>
      </w:r>
      <w:r w:rsidR="006C6F09">
        <w:t xml:space="preserve"> </w:t>
      </w:r>
      <w:r>
        <w:t>combined</w:t>
      </w:r>
      <w:r w:rsidR="006C6F09">
        <w:t xml:space="preserve"> </w:t>
      </w:r>
      <w:r w:rsidRPr="00523673">
        <w:t>NOA</w:t>
      </w:r>
      <w:r w:rsidR="006C6F09">
        <w:t xml:space="preserve"> </w:t>
      </w:r>
      <w:r w:rsidRPr="00523673">
        <w:t>and</w:t>
      </w:r>
      <w:r w:rsidR="006C6F09">
        <w:t xml:space="preserve"> </w:t>
      </w:r>
      <w:r w:rsidRPr="00523673">
        <w:t>public</w:t>
      </w:r>
      <w:r w:rsidR="006C6F09">
        <w:t xml:space="preserve"> </w:t>
      </w:r>
      <w:r w:rsidRPr="00523673">
        <w:t>hearing</w:t>
      </w:r>
      <w:r w:rsidR="006C6F09">
        <w:t xml:space="preserve"> </w:t>
      </w:r>
      <w:r w:rsidRPr="00523673">
        <w:t>no</w:t>
      </w:r>
      <w:r>
        <w:t>tice</w:t>
      </w:r>
      <w:r w:rsidR="006C6F09">
        <w:t xml:space="preserve"> </w:t>
      </w:r>
      <w:r>
        <w:t>must</w:t>
      </w:r>
      <w:r w:rsidR="006C6F09">
        <w:t xml:space="preserve"> </w:t>
      </w:r>
      <w:r>
        <w:t>indicate</w:t>
      </w:r>
      <w:r w:rsidR="006C6F09">
        <w:t xml:space="preserve"> </w:t>
      </w:r>
      <w:r>
        <w:t>that</w:t>
      </w:r>
      <w:r w:rsidR="006C6F09">
        <w:t xml:space="preserve"> </w:t>
      </w:r>
      <w:r>
        <w:t>a</w:t>
      </w:r>
      <w:r w:rsidR="006C6F09">
        <w:t xml:space="preserve"> </w:t>
      </w:r>
      <w:r>
        <w:t>combined</w:t>
      </w:r>
      <w:r w:rsidR="006C6F09">
        <w:t xml:space="preserve"> </w:t>
      </w:r>
      <w:r>
        <w:t>FEIS</w:t>
      </w:r>
      <w:r w:rsidR="006C6F09">
        <w:t xml:space="preserve"> </w:t>
      </w:r>
      <w:r>
        <w:lastRenderedPageBreak/>
        <w:t>and</w:t>
      </w:r>
      <w:r w:rsidR="006C6F09">
        <w:t xml:space="preserve"> </w:t>
      </w:r>
      <w:r>
        <w:t>ROD</w:t>
      </w:r>
      <w:r w:rsidR="006C6F09">
        <w:t xml:space="preserve"> </w:t>
      </w:r>
      <w:r>
        <w:t>will</w:t>
      </w:r>
      <w:r w:rsidR="006C6F09">
        <w:t xml:space="preserve"> </w:t>
      </w:r>
      <w:r>
        <w:t>be</w:t>
      </w:r>
      <w:r w:rsidR="006C6F09">
        <w:t xml:space="preserve"> </w:t>
      </w:r>
      <w:r>
        <w:t>prepared</w:t>
      </w:r>
      <w:r w:rsidR="006C6F09">
        <w:t xml:space="preserve"> </w:t>
      </w:r>
      <w:r>
        <w:t>(unless</w:t>
      </w:r>
      <w:r w:rsidR="006C6F09">
        <w:t xml:space="preserve"> </w:t>
      </w:r>
      <w:r>
        <w:t>there</w:t>
      </w:r>
      <w:r w:rsidR="006C6F09">
        <w:t xml:space="preserve"> </w:t>
      </w:r>
      <w:r>
        <w:t>is</w:t>
      </w:r>
      <w:r w:rsidR="006C6F09">
        <w:t xml:space="preserve"> </w:t>
      </w:r>
      <w:r>
        <w:t>a</w:t>
      </w:r>
      <w:r w:rsidR="006C6F09">
        <w:t xml:space="preserve"> </w:t>
      </w:r>
      <w:r>
        <w:t>need</w:t>
      </w:r>
      <w:r w:rsidR="006C6F09">
        <w:t xml:space="preserve"> </w:t>
      </w:r>
      <w:r>
        <w:t>to</w:t>
      </w:r>
      <w:r w:rsidR="006C6F09">
        <w:t xml:space="preserve"> </w:t>
      </w:r>
      <w:r>
        <w:t>deviate</w:t>
      </w:r>
      <w:r w:rsidR="006C6F09">
        <w:t xml:space="preserve"> </w:t>
      </w:r>
      <w:r>
        <w:t>from</w:t>
      </w:r>
      <w:r w:rsidR="006C6F09">
        <w:t xml:space="preserve"> </w:t>
      </w:r>
      <w:r>
        <w:t>standard</w:t>
      </w:r>
      <w:r w:rsidR="006C6F09">
        <w:t xml:space="preserve"> </w:t>
      </w:r>
      <w:r>
        <w:t>practice</w:t>
      </w:r>
      <w:r w:rsidR="006C6F09">
        <w:t xml:space="preserve"> </w:t>
      </w:r>
      <w:r>
        <w:t>and</w:t>
      </w:r>
      <w:r w:rsidR="006C6F09">
        <w:t xml:space="preserve"> </w:t>
      </w:r>
      <w:r>
        <w:t>issue</w:t>
      </w:r>
      <w:r w:rsidR="006C6F09">
        <w:t xml:space="preserve"> </w:t>
      </w:r>
      <w:r>
        <w:t>a</w:t>
      </w:r>
      <w:r w:rsidR="006C6F09">
        <w:t xml:space="preserve"> </w:t>
      </w:r>
      <w:r>
        <w:t>separate</w:t>
      </w:r>
      <w:r w:rsidR="006C6F09">
        <w:t xml:space="preserve"> </w:t>
      </w:r>
      <w:r>
        <w:t>FEIS</w:t>
      </w:r>
      <w:r w:rsidR="006C6F09">
        <w:t xml:space="preserve"> </w:t>
      </w:r>
      <w:r>
        <w:t>and</w:t>
      </w:r>
      <w:r w:rsidR="006C6F09">
        <w:t xml:space="preserve"> </w:t>
      </w:r>
      <w:r>
        <w:t>ROD</w:t>
      </w:r>
      <w:r w:rsidR="006C6F09">
        <w:t xml:space="preserve"> </w:t>
      </w:r>
      <w:r>
        <w:t>for</w:t>
      </w:r>
      <w:r w:rsidR="006C6F09">
        <w:t xml:space="preserve"> </w:t>
      </w:r>
      <w:r>
        <w:t>some</w:t>
      </w:r>
      <w:r w:rsidR="006C6F09">
        <w:t xml:space="preserve"> </w:t>
      </w:r>
      <w:r>
        <w:t>reason).</w:t>
      </w:r>
      <w:r w:rsidR="006C6F09">
        <w:t xml:space="preserve"> </w:t>
      </w:r>
      <w:r>
        <w:t>Note</w:t>
      </w:r>
      <w:r w:rsidR="006C6F09">
        <w:t xml:space="preserve"> </w:t>
      </w:r>
      <w:r>
        <w:t>also</w:t>
      </w:r>
      <w:r w:rsidR="006C6F09">
        <w:t xml:space="preserve"> </w:t>
      </w:r>
      <w:r>
        <w:t>that</w:t>
      </w:r>
      <w:r w:rsidR="006C6F09">
        <w:t xml:space="preserve"> </w:t>
      </w:r>
      <w:r>
        <w:t>the</w:t>
      </w:r>
      <w:r w:rsidR="006C6F09">
        <w:t xml:space="preserve"> </w:t>
      </w:r>
      <w:r>
        <w:t>DEIS</w:t>
      </w:r>
      <w:r w:rsidR="006C6F09">
        <w:t xml:space="preserve"> </w:t>
      </w:r>
      <w:r>
        <w:t>must</w:t>
      </w:r>
      <w:r w:rsidR="006C6F09">
        <w:t xml:space="preserve"> </w:t>
      </w:r>
      <w:r>
        <w:t>identify</w:t>
      </w:r>
      <w:r w:rsidR="006C6F09">
        <w:t xml:space="preserve"> </w:t>
      </w:r>
      <w:r>
        <w:t>a</w:t>
      </w:r>
      <w:r w:rsidR="006C6F09">
        <w:t xml:space="preserve"> </w:t>
      </w:r>
      <w:r>
        <w:t>preferred</w:t>
      </w:r>
      <w:r w:rsidR="006C6F09">
        <w:t xml:space="preserve"> </w:t>
      </w:r>
      <w:r>
        <w:t>alternative.</w:t>
      </w:r>
    </w:p>
    <w:p w14:paraId="7A07EDB6" w14:textId="3D9FE77D" w:rsidR="00457754" w:rsidRDefault="00457754" w:rsidP="00457754">
      <w:r>
        <w:t>The</w:t>
      </w:r>
      <w:r w:rsidR="006C6F09">
        <w:t xml:space="preserve"> </w:t>
      </w:r>
      <w:r>
        <w:t>project</w:t>
      </w:r>
      <w:r w:rsidR="006C6F09">
        <w:t xml:space="preserve"> </w:t>
      </w:r>
      <w:r>
        <w:t>sponsor</w:t>
      </w:r>
      <w:r w:rsidR="006C6F09">
        <w:t xml:space="preserve"> </w:t>
      </w:r>
      <w:r>
        <w:t>also</w:t>
      </w:r>
      <w:r w:rsidR="006C6F09">
        <w:t xml:space="preserve"> </w:t>
      </w:r>
      <w:proofErr w:type="gramStart"/>
      <w:r>
        <w:t>publishes</w:t>
      </w:r>
      <w:proofErr w:type="gramEnd"/>
      <w:r w:rsidR="006C6F09">
        <w:t xml:space="preserve"> </w:t>
      </w:r>
      <w:r>
        <w:t>the</w:t>
      </w:r>
      <w:r w:rsidR="006C6F09">
        <w:t xml:space="preserve"> </w:t>
      </w:r>
      <w:r>
        <w:t>combined</w:t>
      </w:r>
      <w:r w:rsidR="006C6F09">
        <w:t xml:space="preserve"> </w:t>
      </w:r>
      <w:r w:rsidRPr="00AD3BCB">
        <w:t>NOA</w:t>
      </w:r>
      <w:r w:rsidR="006C6F09">
        <w:t xml:space="preserve"> </w:t>
      </w:r>
      <w:r w:rsidRPr="00AD3BCB">
        <w:t>and</w:t>
      </w:r>
      <w:r w:rsidR="006C6F09">
        <w:t xml:space="preserve"> </w:t>
      </w:r>
      <w:r w:rsidRPr="00AD3BCB">
        <w:t>public</w:t>
      </w:r>
      <w:r w:rsidR="006C6F09">
        <w:t xml:space="preserve"> </w:t>
      </w:r>
      <w:r w:rsidRPr="00AD3BCB">
        <w:t>hearing</w:t>
      </w:r>
      <w:r w:rsidR="006C6F09">
        <w:t xml:space="preserve"> </w:t>
      </w:r>
      <w:r w:rsidRPr="00AD3BCB">
        <w:t>notice</w:t>
      </w:r>
      <w:r w:rsidR="006C6F09">
        <w:t xml:space="preserve"> </w:t>
      </w:r>
      <w:r w:rsidRPr="00AD3BCB">
        <w:t>i</w:t>
      </w:r>
      <w:r>
        <w:t>n</w:t>
      </w:r>
      <w:r w:rsidR="006C6F09">
        <w:t xml:space="preserve"> </w:t>
      </w:r>
      <w:r>
        <w:t>a</w:t>
      </w:r>
      <w:r w:rsidR="006C6F09">
        <w:t xml:space="preserve"> </w:t>
      </w:r>
      <w:r>
        <w:t>local</w:t>
      </w:r>
      <w:r w:rsidR="006C6F09">
        <w:t xml:space="preserve"> </w:t>
      </w:r>
      <w:r>
        <w:t>newspaper</w:t>
      </w:r>
      <w:r w:rsidR="006C6F09">
        <w:t xml:space="preserve"> </w:t>
      </w:r>
      <w:r>
        <w:t>having</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The</w:t>
      </w:r>
      <w:r w:rsidR="006C6F09">
        <w:t xml:space="preserve"> </w:t>
      </w:r>
      <w:r>
        <w:t>notice</w:t>
      </w:r>
      <w:r w:rsidR="006C6F09">
        <w:t xml:space="preserve"> </w:t>
      </w:r>
      <w:r>
        <w:t>can</w:t>
      </w:r>
      <w:r w:rsidR="006C6F09">
        <w:t xml:space="preserve"> </w:t>
      </w:r>
      <w:r>
        <w:t>be</w:t>
      </w:r>
      <w:r w:rsidR="006C6F09">
        <w:t xml:space="preserve"> </w:t>
      </w:r>
      <w:r>
        <w:t>published</w:t>
      </w:r>
      <w:r w:rsidR="006C6F09">
        <w:t xml:space="preserve"> </w:t>
      </w:r>
      <w:r>
        <w:t>in</w:t>
      </w:r>
      <w:r w:rsidR="006C6F09">
        <w:t xml:space="preserve"> </w:t>
      </w:r>
      <w:r>
        <w:t>any</w:t>
      </w:r>
      <w:r w:rsidR="006C6F09">
        <w:t xml:space="preserve"> </w:t>
      </w:r>
      <w:r>
        <w:t>section</w:t>
      </w:r>
      <w:r w:rsidR="006C6F09">
        <w:t xml:space="preserve"> </w:t>
      </w:r>
      <w:r>
        <w:t>of</w:t>
      </w:r>
      <w:r w:rsidR="006C6F09">
        <w:t xml:space="preserve"> </w:t>
      </w:r>
      <w:r>
        <w:t>the</w:t>
      </w:r>
      <w:r w:rsidR="006C6F09">
        <w:t xml:space="preserve"> </w:t>
      </w:r>
      <w:r>
        <w:t>newspaper,</w:t>
      </w:r>
      <w:r w:rsidR="006C6F09">
        <w:t xml:space="preserve"> </w:t>
      </w:r>
      <w:r>
        <w:t>although</w:t>
      </w:r>
      <w:r w:rsidR="006C6F09">
        <w:t xml:space="preserve"> </w:t>
      </w:r>
      <w:r>
        <w:t>it</w:t>
      </w:r>
      <w:r w:rsidR="006C6F09">
        <w:t xml:space="preserve"> </w:t>
      </w:r>
      <w:r>
        <w:t>is</w:t>
      </w:r>
      <w:r w:rsidR="006C6F09">
        <w:t xml:space="preserve"> </w:t>
      </w:r>
      <w:r>
        <w:t>recommended</w:t>
      </w:r>
      <w:r w:rsidR="006C6F09">
        <w:t xml:space="preserve"> </w:t>
      </w:r>
      <w:r>
        <w:t>that</w:t>
      </w:r>
      <w:r w:rsidR="006C6F09">
        <w:t xml:space="preserve"> </w:t>
      </w:r>
      <w:r>
        <w:t>the</w:t>
      </w:r>
      <w:r w:rsidR="006C6F09">
        <w:t xml:space="preserve"> </w:t>
      </w:r>
      <w:r>
        <w:t>notice</w:t>
      </w:r>
      <w:r w:rsidR="006C6F09">
        <w:t xml:space="preserve"> </w:t>
      </w:r>
      <w:r>
        <w:t>not</w:t>
      </w:r>
      <w:r w:rsidR="006C6F09">
        <w:t xml:space="preserve"> </w:t>
      </w:r>
      <w:r>
        <w:t>be</w:t>
      </w:r>
      <w:r w:rsidR="006C6F09">
        <w:t xml:space="preserve"> </w:t>
      </w:r>
      <w:r>
        <w:t>published</w:t>
      </w:r>
      <w:r w:rsidR="006C6F09">
        <w:t xml:space="preserve"> </w:t>
      </w:r>
      <w:r>
        <w:t>in</w:t>
      </w:r>
      <w:r w:rsidR="006C6F09">
        <w:t xml:space="preserve"> </w:t>
      </w:r>
      <w:r>
        <w:t>the</w:t>
      </w:r>
      <w:r w:rsidR="006C6F09">
        <w:t xml:space="preserve"> </w:t>
      </w:r>
      <w:r>
        <w:t>legal</w:t>
      </w:r>
      <w:r w:rsidR="006C6F09">
        <w:t xml:space="preserve"> </w:t>
      </w:r>
      <w:r>
        <w:t>notices</w:t>
      </w:r>
      <w:r w:rsidR="006C6F09">
        <w:t xml:space="preserve"> </w:t>
      </w:r>
      <w:r>
        <w:t>section.</w:t>
      </w:r>
      <w:r w:rsidR="006C6F09">
        <w:t xml:space="preserve"> </w:t>
      </w:r>
      <w:r>
        <w:t>If</w:t>
      </w:r>
      <w:r w:rsidR="006C6F09">
        <w:t xml:space="preserve"> </w:t>
      </w:r>
      <w:r>
        <w:t>there</w:t>
      </w:r>
      <w:r w:rsidR="006C6F09">
        <w:t xml:space="preserve"> </w:t>
      </w:r>
      <w:r>
        <w:t>is</w:t>
      </w:r>
      <w:r w:rsidR="006C6F09">
        <w:t xml:space="preserve"> </w:t>
      </w:r>
      <w:r>
        <w:t>no</w:t>
      </w:r>
      <w:r w:rsidR="006C6F09">
        <w:t xml:space="preserve"> </w:t>
      </w:r>
      <w:r>
        <w:t>local</w:t>
      </w:r>
      <w:r w:rsidR="006C6F09">
        <w:t xml:space="preserve"> </w:t>
      </w:r>
      <w:r>
        <w:t>newspaper</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the</w:t>
      </w:r>
      <w:r w:rsidR="006C6F09">
        <w:t xml:space="preserve"> </w:t>
      </w:r>
      <w:r>
        <w:t>project</w:t>
      </w:r>
      <w:r w:rsidR="006C6F09">
        <w:t xml:space="preserve"> </w:t>
      </w:r>
      <w:r>
        <w:t>sponsor</w:t>
      </w:r>
      <w:r w:rsidR="006C6F09">
        <w:t xml:space="preserve"> </w:t>
      </w:r>
      <w:r>
        <w:t>publishes</w:t>
      </w:r>
      <w:r w:rsidR="006C6F09">
        <w:t xml:space="preserve"> </w:t>
      </w:r>
      <w:r>
        <w:t>the</w:t>
      </w:r>
      <w:r w:rsidR="006C6F09">
        <w:t xml:space="preserve"> </w:t>
      </w:r>
      <w:r>
        <w:t>combine</w:t>
      </w:r>
      <w:r w:rsidRPr="00AD3BCB">
        <w:t>d</w:t>
      </w:r>
      <w:r w:rsidR="006C6F09">
        <w:t xml:space="preserve"> </w:t>
      </w:r>
      <w:r w:rsidRPr="00AD3BCB">
        <w:t>NOA</w:t>
      </w:r>
      <w:r w:rsidR="006C6F09">
        <w:t xml:space="preserve"> </w:t>
      </w:r>
      <w:r w:rsidRPr="00AD3BCB">
        <w:t>and</w:t>
      </w:r>
      <w:r w:rsidR="006C6F09">
        <w:t xml:space="preserve"> </w:t>
      </w:r>
      <w:r w:rsidRPr="00AD3BCB">
        <w:t>public</w:t>
      </w:r>
      <w:r w:rsidR="006C6F09">
        <w:t xml:space="preserve"> </w:t>
      </w:r>
      <w:r w:rsidRPr="00AD3BCB">
        <w:t>hearing</w:t>
      </w:r>
      <w:r w:rsidR="006C6F09">
        <w:t xml:space="preserve"> </w:t>
      </w:r>
      <w:r w:rsidRPr="00AD3BCB">
        <w:t>notice</w:t>
      </w:r>
      <w:r w:rsidR="006C6F09">
        <w:t xml:space="preserve"> </w:t>
      </w:r>
      <w:r w:rsidRPr="00AD3BCB">
        <w:t>in</w:t>
      </w:r>
      <w:r w:rsidR="006C6F09">
        <w:t xml:space="preserve"> </w:t>
      </w:r>
      <w:r w:rsidRPr="00AD3BCB">
        <w:t>a</w:t>
      </w:r>
      <w:r w:rsidR="006C6F09">
        <w:t xml:space="preserve"> </w:t>
      </w:r>
      <w:r w:rsidRPr="00AD3BCB">
        <w:t>newspaper</w:t>
      </w:r>
      <w:r w:rsidR="006C6F09">
        <w:t xml:space="preserve"> </w:t>
      </w:r>
      <w:r w:rsidRPr="00AD3BCB">
        <w:t>having</w:t>
      </w:r>
      <w:r w:rsidR="006C6F09">
        <w:t xml:space="preserve"> </w:t>
      </w:r>
      <w:r w:rsidRPr="00AD3BCB">
        <w:t>general</w:t>
      </w:r>
      <w:r w:rsidR="006C6F09">
        <w:t xml:space="preserve"> </w:t>
      </w:r>
      <w:r w:rsidRPr="00AD3BCB">
        <w:t>circulation</w:t>
      </w:r>
      <w:r w:rsidR="006C6F09">
        <w:t xml:space="preserve"> </w:t>
      </w:r>
      <w:r w:rsidRPr="00AD3BCB">
        <w:t>in</w:t>
      </w:r>
      <w:r w:rsidR="006C6F09">
        <w:t xml:space="preserve"> </w:t>
      </w:r>
      <w:r w:rsidRPr="00AD3BCB">
        <w:t>the</w:t>
      </w:r>
      <w:r w:rsidR="006C6F09">
        <w:t xml:space="preserve"> </w:t>
      </w:r>
      <w:r w:rsidRPr="00AD3BCB">
        <w:t>area</w:t>
      </w:r>
      <w:r w:rsidR="006C6F09">
        <w:t xml:space="preserve"> </w:t>
      </w:r>
      <w:r w:rsidRPr="00AD3BCB">
        <w:t>affected</w:t>
      </w:r>
      <w:r w:rsidR="006C6F09">
        <w:t xml:space="preserve"> </w:t>
      </w:r>
      <w:r w:rsidRPr="00AD3BCB">
        <w:t>by</w:t>
      </w:r>
      <w:r w:rsidR="006C6F09">
        <w:t xml:space="preserve"> </w:t>
      </w:r>
      <w:r w:rsidRPr="00AD3BCB">
        <w:t>the</w:t>
      </w:r>
      <w:r w:rsidR="006C6F09">
        <w:t xml:space="preserve"> </w:t>
      </w:r>
      <w:r>
        <w:t>project.</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in</w:t>
      </w:r>
      <w:r w:rsidR="006C6F09">
        <w:t xml:space="preserve"> </w:t>
      </w:r>
      <w:r>
        <w:t>a</w:t>
      </w:r>
      <w:r w:rsidR="006C6F09">
        <w:t xml:space="preserve"> </w:t>
      </w:r>
      <w:r>
        <w:t>remote</w:t>
      </w:r>
      <w:r w:rsidR="006C6F09">
        <w:t xml:space="preserve"> </w:t>
      </w:r>
      <w:r>
        <w:t>area</w:t>
      </w:r>
      <w:r w:rsidR="006C6F09">
        <w:t xml:space="preserve"> </w:t>
      </w:r>
      <w:r>
        <w:t>with</w:t>
      </w:r>
      <w:r w:rsidR="006C6F09">
        <w:t xml:space="preserve"> </w:t>
      </w:r>
      <w:r>
        <w:t>no</w:t>
      </w:r>
      <w:r w:rsidR="006C6F09">
        <w:t xml:space="preserve"> </w:t>
      </w:r>
      <w:r>
        <w:t>newspapers</w:t>
      </w:r>
      <w:r w:rsidR="006C6F09">
        <w:t xml:space="preserve"> </w:t>
      </w:r>
      <w:r>
        <w:t>in</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or</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in</w:t>
      </w:r>
      <w:r w:rsidR="006C6F09">
        <w:t xml:space="preserve"> </w:t>
      </w:r>
      <w:r>
        <w:t>a</w:t>
      </w:r>
      <w:r w:rsidR="006C6F09">
        <w:t xml:space="preserve"> </w:t>
      </w:r>
      <w:r>
        <w:t>county</w:t>
      </w:r>
      <w:r w:rsidR="006C6F09">
        <w:t xml:space="preserve"> </w:t>
      </w:r>
      <w:r>
        <w:t>with</w:t>
      </w:r>
      <w:r w:rsidR="006C6F09">
        <w:t xml:space="preserve"> </w:t>
      </w:r>
      <w:r>
        <w:t>a</w:t>
      </w:r>
      <w:r w:rsidR="006C6F09">
        <w:t xml:space="preserve"> </w:t>
      </w:r>
      <w:r>
        <w:t>population</w:t>
      </w:r>
      <w:r w:rsidR="006C6F09">
        <w:t xml:space="preserve"> </w:t>
      </w:r>
      <w:r>
        <w:t>of</w:t>
      </w:r>
      <w:r w:rsidR="006C6F09">
        <w:t xml:space="preserve"> </w:t>
      </w:r>
      <w:r>
        <w:t>at</w:t>
      </w:r>
      <w:r w:rsidR="006C6F09">
        <w:t xml:space="preserve"> </w:t>
      </w:r>
      <w:r>
        <w:t>least</w:t>
      </w:r>
      <w:r w:rsidR="006C6F09">
        <w:t xml:space="preserve"> </w:t>
      </w:r>
      <w:r>
        <w:t>30,000</w:t>
      </w:r>
      <w:r w:rsidR="006C6F09">
        <w:t xml:space="preserve"> </w:t>
      </w:r>
      <w:r>
        <w:t>and</w:t>
      </w:r>
      <w:r w:rsidR="006C6F09">
        <w:t xml:space="preserve"> </w:t>
      </w:r>
      <w:r>
        <w:t>not</w:t>
      </w:r>
      <w:r w:rsidR="006C6F09">
        <w:t xml:space="preserve"> </w:t>
      </w:r>
      <w:r>
        <w:t>more</w:t>
      </w:r>
      <w:r w:rsidR="006C6F09">
        <w:t xml:space="preserve"> </w:t>
      </w:r>
      <w:r>
        <w:t>than</w:t>
      </w:r>
      <w:r w:rsidR="006C6F09">
        <w:t xml:space="preserve"> </w:t>
      </w:r>
      <w:r>
        <w:t>42,000</w:t>
      </w:r>
      <w:r w:rsidR="006C6F09">
        <w:t xml:space="preserve"> </w:t>
      </w:r>
      <w:r>
        <w:t>that</w:t>
      </w:r>
      <w:r w:rsidR="006C6F09">
        <w:t xml:space="preserve"> </w:t>
      </w:r>
      <w:r>
        <w:t>borders</w:t>
      </w:r>
      <w:r w:rsidR="006C6F09">
        <w:t xml:space="preserve"> </w:t>
      </w:r>
      <w:r>
        <w:t>the</w:t>
      </w:r>
      <w:r w:rsidR="006C6F09">
        <w:t xml:space="preserve"> </w:t>
      </w:r>
      <w:r>
        <w:t>Red</w:t>
      </w:r>
      <w:r w:rsidR="006C6F09">
        <w:t xml:space="preserve"> </w:t>
      </w:r>
      <w:r>
        <w:t>River</w:t>
      </w:r>
      <w:r w:rsidR="006C6F09">
        <w:t xml:space="preserve"> </w:t>
      </w:r>
      <w:r>
        <w:t>(currently</w:t>
      </w:r>
      <w:r w:rsidR="006C6F09">
        <w:t xml:space="preserve"> </w:t>
      </w:r>
      <w:r>
        <w:t>only</w:t>
      </w:r>
      <w:r w:rsidR="006C6F09">
        <w:t xml:space="preserve"> </w:t>
      </w:r>
      <w:r>
        <w:t>Fannin</w:t>
      </w:r>
      <w:r w:rsidR="006C6F09">
        <w:t xml:space="preserve"> </w:t>
      </w:r>
      <w:r>
        <w:t>County</w:t>
      </w:r>
      <w:r w:rsidR="006C6F09">
        <w:t xml:space="preserve"> </w:t>
      </w:r>
      <w:r>
        <w:t>meets</w:t>
      </w:r>
      <w:r w:rsidR="006C6F09">
        <w:t xml:space="preserve"> </w:t>
      </w:r>
      <w:r>
        <w:t>this</w:t>
      </w:r>
      <w:r w:rsidR="006C6F09">
        <w:t xml:space="preserve"> </w:t>
      </w:r>
      <w:r>
        <w:t>definition),</w:t>
      </w:r>
      <w:r w:rsidR="006C6F09">
        <w:t xml:space="preserve"> </w:t>
      </w:r>
      <w:r>
        <w:t>then</w:t>
      </w:r>
      <w:r w:rsidR="006C6F09">
        <w:t xml:space="preserve"> </w:t>
      </w:r>
      <w:r>
        <w:t>the</w:t>
      </w:r>
      <w:r w:rsidR="006C6F09">
        <w:t xml:space="preserve"> </w:t>
      </w:r>
      <w:r>
        <w:t>notice</w:t>
      </w:r>
      <w:r w:rsidR="006C6F09">
        <w:t xml:space="preserve"> </w:t>
      </w:r>
      <w:r>
        <w:t>may</w:t>
      </w:r>
      <w:r w:rsidR="006C6F09">
        <w:t xml:space="preserve"> </w:t>
      </w:r>
      <w:r>
        <w:t>be</w:t>
      </w:r>
      <w:r w:rsidR="006C6F09">
        <w:t xml:space="preserve"> </w:t>
      </w:r>
      <w:r>
        <w:t>published</w:t>
      </w:r>
      <w:r w:rsidR="006C6F09">
        <w:t xml:space="preserve"> </w:t>
      </w:r>
      <w:r>
        <w:t>in</w:t>
      </w:r>
      <w:r w:rsidR="006C6F09">
        <w:t xml:space="preserve"> </w:t>
      </w:r>
      <w:r>
        <w:t>a</w:t>
      </w:r>
      <w:r w:rsidR="006C6F09">
        <w:t xml:space="preserve"> </w:t>
      </w:r>
      <w:r>
        <w:t>digital</w:t>
      </w:r>
      <w:r w:rsidR="006C6F09">
        <w:t xml:space="preserve"> </w:t>
      </w:r>
      <w:r>
        <w:t>newspaper</w:t>
      </w:r>
      <w:r w:rsidR="006C6F09">
        <w:t xml:space="preserve"> </w:t>
      </w:r>
      <w:r>
        <w:t>that</w:t>
      </w:r>
      <w:r w:rsidR="006C6F09">
        <w:t xml:space="preserve"> </w:t>
      </w:r>
      <w:r>
        <w:t>meets</w:t>
      </w:r>
      <w:r w:rsidR="006C6F09">
        <w:t xml:space="preserve"> </w:t>
      </w:r>
      <w:r>
        <w:t>certain</w:t>
      </w:r>
      <w:r w:rsidR="006C6F09">
        <w:t xml:space="preserve"> </w:t>
      </w:r>
      <w:r>
        <w:t>requirements</w:t>
      </w:r>
      <w:r w:rsidR="006C6F09">
        <w:t xml:space="preserve"> </w:t>
      </w:r>
      <w:r>
        <w:t>–</w:t>
      </w:r>
      <w:r w:rsidR="006C6F09">
        <w:t xml:space="preserve"> </w:t>
      </w:r>
      <w:r>
        <w:t>see</w:t>
      </w:r>
      <w:r w:rsidR="006C6F09">
        <w:t xml:space="preserve"> </w:t>
      </w:r>
      <w:r w:rsidRPr="00D903DC">
        <w:t>Texas</w:t>
      </w:r>
      <w:r w:rsidR="006C6F09">
        <w:t xml:space="preserve"> </w:t>
      </w:r>
      <w:r w:rsidRPr="00D903DC">
        <w:t>Government</w:t>
      </w:r>
      <w:r w:rsidR="006C6F09">
        <w:t xml:space="preserve"> </w:t>
      </w:r>
      <w:r w:rsidRPr="00D903DC">
        <w:t>Code</w:t>
      </w:r>
      <w:r w:rsidR="006C6F09">
        <w:t xml:space="preserve"> </w:t>
      </w:r>
      <w:r>
        <w:t>2051.0441(b-1).</w:t>
      </w:r>
    </w:p>
    <w:p w14:paraId="1D3764F1" w14:textId="31332B8C" w:rsidR="00457754" w:rsidRDefault="00457754" w:rsidP="00457754">
      <w:pPr>
        <w:spacing w:after="0"/>
      </w:pPr>
      <w:r>
        <w:t>In</w:t>
      </w:r>
      <w:r w:rsidR="006C6F09">
        <w:t xml:space="preserve"> </w:t>
      </w:r>
      <w:r>
        <w:t>accordance</w:t>
      </w:r>
      <w:r w:rsidR="006C6F09">
        <w:t xml:space="preserve"> </w:t>
      </w:r>
      <w:r>
        <w:t>with</w:t>
      </w:r>
      <w:r w:rsidR="006C6F09">
        <w:t xml:space="preserve"> </w:t>
      </w:r>
      <w:r w:rsidRPr="00D903DC">
        <w:t>23</w:t>
      </w:r>
      <w:r w:rsidR="006C6F09">
        <w:t xml:space="preserve"> </w:t>
      </w:r>
      <w:r w:rsidRPr="00D903DC">
        <w:t>CFR</w:t>
      </w:r>
      <w:r w:rsidR="006C6F09">
        <w:t xml:space="preserve"> </w:t>
      </w:r>
      <w:r w:rsidRPr="00D903DC">
        <w:t>771.123</w:t>
      </w:r>
      <w:r>
        <w:t>,</w:t>
      </w:r>
      <w:r w:rsidR="006C6F09">
        <w:t xml:space="preserve"> </w:t>
      </w:r>
      <w:r>
        <w:t>the</w:t>
      </w:r>
      <w:r w:rsidR="006C6F09">
        <w:t xml:space="preserve"> </w:t>
      </w:r>
      <w:r>
        <w:t>combined</w:t>
      </w:r>
      <w:r w:rsidR="006C6F09">
        <w:t xml:space="preserve"> </w:t>
      </w:r>
      <w:r>
        <w:t>NOA</w:t>
      </w:r>
      <w:r w:rsidR="006C6F09">
        <w:t xml:space="preserve"> </w:t>
      </w:r>
      <w:r>
        <w:t>and</w:t>
      </w:r>
      <w:r w:rsidR="006C6F09">
        <w:t xml:space="preserve"> </w:t>
      </w:r>
      <w:r>
        <w:t>public</w:t>
      </w:r>
      <w:r w:rsidR="006C6F09">
        <w:t xml:space="preserve"> </w:t>
      </w:r>
      <w:r>
        <w:t>hearing</w:t>
      </w:r>
      <w:r w:rsidR="006C6F09">
        <w:t xml:space="preserve"> </w:t>
      </w:r>
      <w:r>
        <w:t>notice</w:t>
      </w:r>
      <w:r w:rsidR="006C6F09">
        <w:t xml:space="preserve"> </w:t>
      </w:r>
      <w:r>
        <w:t>shall</w:t>
      </w:r>
      <w:r w:rsidR="006C6F09">
        <w:t xml:space="preserve"> </w:t>
      </w:r>
      <w:r>
        <w:t>be</w:t>
      </w:r>
      <w:r w:rsidR="006C6F09">
        <w:t xml:space="preserve"> </w:t>
      </w:r>
      <w:r>
        <w:t>transmitted</w:t>
      </w:r>
      <w:r w:rsidR="006C6F09">
        <w:t xml:space="preserve"> </w:t>
      </w:r>
      <w:r>
        <w:t>to</w:t>
      </w:r>
      <w:r w:rsidR="006C6F09">
        <w:t xml:space="preserve"> </w:t>
      </w:r>
      <w:r>
        <w:t>the</w:t>
      </w:r>
      <w:r w:rsidR="006C6F09">
        <w:t xml:space="preserve"> </w:t>
      </w:r>
      <w:r>
        <w:t>following</w:t>
      </w:r>
      <w:r w:rsidR="006C6F09">
        <w:t xml:space="preserve"> </w:t>
      </w:r>
      <w:r>
        <w:t>entities:</w:t>
      </w:r>
    </w:p>
    <w:p w14:paraId="712834E9" w14:textId="0ABC9F8C" w:rsidR="00457754" w:rsidRDefault="00457754" w:rsidP="00457754">
      <w:pPr>
        <w:pStyle w:val="ListBullet"/>
      </w:pPr>
      <w:r>
        <w:t>Public</w:t>
      </w:r>
      <w:r w:rsidR="006C6F09">
        <w:t xml:space="preserve"> </w:t>
      </w:r>
      <w:r>
        <w:t>officials,</w:t>
      </w:r>
      <w:r w:rsidR="006C6F09">
        <w:t xml:space="preserve"> </w:t>
      </w:r>
      <w:r>
        <w:t>interest</w:t>
      </w:r>
      <w:r w:rsidR="006C6F09">
        <w:t xml:space="preserve"> </w:t>
      </w:r>
      <w:r>
        <w:t>groups,</w:t>
      </w:r>
      <w:r w:rsidR="006C6F09">
        <w:t xml:space="preserve"> </w:t>
      </w:r>
      <w:r>
        <w:t>and</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known</w:t>
      </w:r>
      <w:r w:rsidR="006C6F09">
        <w:t xml:space="preserve"> </w:t>
      </w:r>
      <w:r>
        <w:t>to</w:t>
      </w:r>
      <w:r w:rsidR="006C6F09">
        <w:t xml:space="preserve"> </w:t>
      </w:r>
      <w:r>
        <w:t>have</w:t>
      </w:r>
      <w:r w:rsidR="006C6F09">
        <w:t xml:space="preserve"> </w:t>
      </w:r>
      <w:r>
        <w:t>an</w:t>
      </w:r>
      <w:r w:rsidR="006C6F09">
        <w:t xml:space="preserve"> </w:t>
      </w:r>
      <w:r>
        <w:t>interest</w:t>
      </w:r>
      <w:r w:rsidR="006C6F09">
        <w:t xml:space="preserve"> </w:t>
      </w:r>
      <w:r>
        <w:t>in</w:t>
      </w:r>
      <w:r w:rsidR="006C6F09">
        <w:t xml:space="preserve"> </w:t>
      </w:r>
      <w:r>
        <w:t>the</w:t>
      </w:r>
      <w:r w:rsidR="006C6F09">
        <w:t xml:space="preserve"> </w:t>
      </w:r>
      <w:r>
        <w:t>proposed</w:t>
      </w:r>
      <w:r w:rsidR="006C6F09">
        <w:t xml:space="preserve"> </w:t>
      </w:r>
      <w:r>
        <w:t>action</w:t>
      </w:r>
      <w:r w:rsidR="006C6F09">
        <w:t xml:space="preserve"> </w:t>
      </w:r>
      <w:r>
        <w:t>or</w:t>
      </w:r>
      <w:r w:rsidR="006C6F09">
        <w:t xml:space="preserve"> </w:t>
      </w:r>
      <w:r>
        <w:t>the</w:t>
      </w:r>
      <w:r w:rsidR="006C6F09">
        <w:t xml:space="preserve"> </w:t>
      </w:r>
      <w:proofErr w:type="gramStart"/>
      <w:r>
        <w:t>DEIS;</w:t>
      </w:r>
      <w:proofErr w:type="gramEnd"/>
      <w:r w:rsidR="006C6F09">
        <w:t xml:space="preserve"> </w:t>
      </w:r>
    </w:p>
    <w:p w14:paraId="2E82B3CD" w14:textId="33A66D3B" w:rsidR="00457754" w:rsidRDefault="00457754" w:rsidP="00457754">
      <w:pPr>
        <w:pStyle w:val="ListBullet"/>
      </w:pPr>
      <w:r>
        <w:t>Appropriate</w:t>
      </w:r>
      <w:r w:rsidR="006C6F09">
        <w:t xml:space="preserve"> </w:t>
      </w:r>
      <w:r>
        <w:t>state</w:t>
      </w:r>
      <w:r w:rsidR="006C6F09">
        <w:t xml:space="preserve"> </w:t>
      </w:r>
      <w:r>
        <w:t>and</w:t>
      </w:r>
      <w:r w:rsidR="006C6F09">
        <w:t xml:space="preserve"> </w:t>
      </w:r>
      <w:r>
        <w:t>local</w:t>
      </w:r>
      <w:r w:rsidR="006C6F09">
        <w:t xml:space="preserve"> </w:t>
      </w:r>
      <w:r>
        <w:t>agencies</w:t>
      </w:r>
      <w:r w:rsidR="006C6F09">
        <w:t xml:space="preserve"> </w:t>
      </w:r>
      <w:r>
        <w:t>and</w:t>
      </w:r>
      <w:r w:rsidR="006C6F09">
        <w:t xml:space="preserve"> </w:t>
      </w:r>
      <w:r>
        <w:t>to</w:t>
      </w:r>
      <w:r w:rsidR="006C6F09">
        <w:t xml:space="preserve"> </w:t>
      </w:r>
      <w:r>
        <w:t>the</w:t>
      </w:r>
      <w:r w:rsidR="006C6F09">
        <w:t xml:space="preserve"> </w:t>
      </w:r>
      <w:r>
        <w:t>state</w:t>
      </w:r>
      <w:r w:rsidR="006C6F09">
        <w:t xml:space="preserve"> </w:t>
      </w:r>
      <w:r>
        <w:t>intergovernmental</w:t>
      </w:r>
      <w:r w:rsidR="006C6F09">
        <w:t xml:space="preserve"> </w:t>
      </w:r>
      <w:r>
        <w:t>review</w:t>
      </w:r>
      <w:r w:rsidR="006C6F09">
        <w:t xml:space="preserve"> </w:t>
      </w:r>
      <w:r>
        <w:t>contacts</w:t>
      </w:r>
      <w:r w:rsidR="006C6F09">
        <w:t xml:space="preserve"> </w:t>
      </w:r>
      <w:r>
        <w:t>established</w:t>
      </w:r>
      <w:r w:rsidR="006C6F09">
        <w:t xml:space="preserve"> </w:t>
      </w:r>
      <w:r>
        <w:t>under</w:t>
      </w:r>
      <w:r w:rsidR="006C6F09">
        <w:t xml:space="preserve"> </w:t>
      </w:r>
      <w:hyperlink r:id="rId73" w:history="1">
        <w:r w:rsidRPr="00C81C52">
          <w:rPr>
            <w:rStyle w:val="Hyperlink"/>
          </w:rPr>
          <w:t>Executive</w:t>
        </w:r>
        <w:r w:rsidR="006C6F09">
          <w:rPr>
            <w:rStyle w:val="Hyperlink"/>
          </w:rPr>
          <w:t xml:space="preserve"> </w:t>
        </w:r>
        <w:r w:rsidRPr="00C81C52">
          <w:rPr>
            <w:rStyle w:val="Hyperlink"/>
          </w:rPr>
          <w:t>Order</w:t>
        </w:r>
        <w:r w:rsidR="006C6F09">
          <w:rPr>
            <w:rStyle w:val="Hyperlink"/>
          </w:rPr>
          <w:t xml:space="preserve"> </w:t>
        </w:r>
        <w:r w:rsidRPr="00C81C52">
          <w:rPr>
            <w:rStyle w:val="Hyperlink"/>
          </w:rPr>
          <w:t>12372:</w:t>
        </w:r>
        <w:r w:rsidR="006C6F09">
          <w:rPr>
            <w:rStyle w:val="Hyperlink"/>
          </w:rPr>
          <w:t xml:space="preserve"> </w:t>
        </w:r>
        <w:r w:rsidRPr="00C81C52">
          <w:rPr>
            <w:rStyle w:val="Hyperlink"/>
          </w:rPr>
          <w:t>Intergovernmental</w:t>
        </w:r>
        <w:r w:rsidR="006C6F09">
          <w:rPr>
            <w:rStyle w:val="Hyperlink"/>
          </w:rPr>
          <w:t xml:space="preserve"> </w:t>
        </w:r>
        <w:r w:rsidRPr="00C81C52">
          <w:rPr>
            <w:rStyle w:val="Hyperlink"/>
          </w:rPr>
          <w:t>Review</w:t>
        </w:r>
        <w:r w:rsidR="006C6F09">
          <w:rPr>
            <w:rStyle w:val="Hyperlink"/>
          </w:rPr>
          <w:t xml:space="preserve"> </w:t>
        </w:r>
        <w:r w:rsidRPr="00C81C52">
          <w:rPr>
            <w:rStyle w:val="Hyperlink"/>
          </w:rPr>
          <w:t>of</w:t>
        </w:r>
        <w:r w:rsidR="006C6F09">
          <w:rPr>
            <w:rStyle w:val="Hyperlink"/>
          </w:rPr>
          <w:t xml:space="preserve"> </w:t>
        </w:r>
        <w:r w:rsidRPr="00C81C52">
          <w:rPr>
            <w:rStyle w:val="Hyperlink"/>
          </w:rPr>
          <w:t>Federal</w:t>
        </w:r>
        <w:r w:rsidR="006C6F09">
          <w:rPr>
            <w:rStyle w:val="Hyperlink"/>
          </w:rPr>
          <w:t xml:space="preserve"> </w:t>
        </w:r>
        <w:r w:rsidRPr="00C81C52">
          <w:rPr>
            <w:rStyle w:val="Hyperlink"/>
          </w:rPr>
          <w:t>Programs</w:t>
        </w:r>
      </w:hyperlink>
      <w:r>
        <w:t>;</w:t>
      </w:r>
      <w:r w:rsidR="006C6F09">
        <w:t xml:space="preserve"> </w:t>
      </w:r>
    </w:p>
    <w:p w14:paraId="67387B57" w14:textId="4ED8437E" w:rsidR="00457754" w:rsidRDefault="00457754" w:rsidP="00457754">
      <w:pPr>
        <w:pStyle w:val="ListBullet"/>
      </w:pPr>
      <w:r>
        <w:t>State</w:t>
      </w:r>
      <w:r w:rsidR="006C6F09">
        <w:t xml:space="preserve"> </w:t>
      </w:r>
      <w:r>
        <w:t>and</w:t>
      </w:r>
      <w:r w:rsidR="006C6F09">
        <w:t xml:space="preserve"> </w:t>
      </w:r>
      <w:r>
        <w:t>federal</w:t>
      </w:r>
      <w:r w:rsidR="006C6F09">
        <w:t xml:space="preserve"> </w:t>
      </w:r>
      <w:r>
        <w:t>land</w:t>
      </w:r>
      <w:r w:rsidR="006C6F09">
        <w:t xml:space="preserve"> </w:t>
      </w:r>
      <w:r>
        <w:t>management</w:t>
      </w:r>
      <w:r w:rsidR="006C6F09">
        <w:t xml:space="preserve"> </w:t>
      </w:r>
      <w:r>
        <w:t>entities</w:t>
      </w:r>
      <w:r w:rsidR="006C6F09">
        <w:t xml:space="preserve"> </w:t>
      </w:r>
      <w:r>
        <w:t>that</w:t>
      </w:r>
      <w:r w:rsidR="006C6F09">
        <w:t xml:space="preserve"> </w:t>
      </w:r>
      <w:r>
        <w:t>may</w:t>
      </w:r>
      <w:r w:rsidR="006C6F09">
        <w:t xml:space="preserve"> </w:t>
      </w:r>
      <w:r>
        <w:t>be</w:t>
      </w:r>
      <w:r w:rsidR="006C6F09">
        <w:t xml:space="preserve"> </w:t>
      </w:r>
      <w:r>
        <w:t>significantly</w:t>
      </w:r>
      <w:r w:rsidR="006C6F09">
        <w:t xml:space="preserve"> </w:t>
      </w:r>
      <w:r>
        <w:t>affected</w:t>
      </w:r>
      <w:r w:rsidR="006C6F09">
        <w:t xml:space="preserve"> </w:t>
      </w:r>
      <w:r>
        <w:t>by</w:t>
      </w:r>
      <w:r w:rsidR="006C6F09">
        <w:t xml:space="preserve"> </w:t>
      </w:r>
      <w:r>
        <w:t>the</w:t>
      </w:r>
      <w:r w:rsidR="006C6F09">
        <w:t xml:space="preserve"> </w:t>
      </w:r>
      <w:r>
        <w:t>proposed</w:t>
      </w:r>
      <w:r w:rsidR="006C6F09">
        <w:t xml:space="preserve"> </w:t>
      </w:r>
      <w:r>
        <w:t>action</w:t>
      </w:r>
      <w:r w:rsidR="006C6F09">
        <w:t xml:space="preserve"> </w:t>
      </w:r>
      <w:r>
        <w:t>or</w:t>
      </w:r>
      <w:r w:rsidR="006C6F09">
        <w:t xml:space="preserve"> </w:t>
      </w:r>
      <w:r>
        <w:t>any</w:t>
      </w:r>
      <w:r w:rsidR="006C6F09">
        <w:t xml:space="preserve"> </w:t>
      </w:r>
      <w:r>
        <w:t>of</w:t>
      </w:r>
      <w:r w:rsidR="006C6F09">
        <w:t xml:space="preserve"> </w:t>
      </w:r>
      <w:r>
        <w:t>the</w:t>
      </w:r>
      <w:r w:rsidR="006C6F09">
        <w:t xml:space="preserve"> </w:t>
      </w:r>
      <w:r>
        <w:t>alternatives.</w:t>
      </w:r>
      <w:r w:rsidR="006C6F09">
        <w:t xml:space="preserve"> </w:t>
      </w:r>
      <w:r>
        <w:t>These</w:t>
      </w:r>
      <w:r w:rsidR="006C6F09">
        <w:t xml:space="preserve"> </w:t>
      </w:r>
      <w:r>
        <w:t>copies</w:t>
      </w:r>
      <w:r w:rsidR="006C6F09">
        <w:t xml:space="preserve"> </w:t>
      </w:r>
      <w:r>
        <w:t>shall</w:t>
      </w:r>
      <w:r w:rsidR="006C6F09">
        <w:t xml:space="preserve"> </w:t>
      </w:r>
      <w:r>
        <w:t>be</w:t>
      </w:r>
      <w:r w:rsidR="006C6F09">
        <w:t xml:space="preserve"> </w:t>
      </w:r>
      <w:r>
        <w:t>accompanied</w:t>
      </w:r>
      <w:r w:rsidR="006C6F09">
        <w:t xml:space="preserve"> </w:t>
      </w:r>
      <w:r>
        <w:t>by</w:t>
      </w:r>
      <w:r w:rsidR="006C6F09">
        <w:t xml:space="preserve"> </w:t>
      </w:r>
      <w:r>
        <w:t>a</w:t>
      </w:r>
      <w:r w:rsidR="006C6F09">
        <w:t xml:space="preserve"> </w:t>
      </w:r>
      <w:r>
        <w:t>request</w:t>
      </w:r>
      <w:r w:rsidR="006C6F09">
        <w:t xml:space="preserve"> </w:t>
      </w:r>
      <w:r>
        <w:t>that</w:t>
      </w:r>
      <w:r w:rsidR="006C6F09">
        <w:t xml:space="preserve"> </w:t>
      </w:r>
      <w:r>
        <w:t>such</w:t>
      </w:r>
      <w:r w:rsidR="006C6F09">
        <w:t xml:space="preserve"> </w:t>
      </w:r>
      <w:r>
        <w:t>a</w:t>
      </w:r>
      <w:r w:rsidR="006C6F09">
        <w:t xml:space="preserve"> </w:t>
      </w:r>
      <w:r>
        <w:t>state</w:t>
      </w:r>
      <w:r w:rsidR="006C6F09">
        <w:t xml:space="preserve"> </w:t>
      </w:r>
      <w:r>
        <w:t>or</w:t>
      </w:r>
      <w:r w:rsidR="006C6F09">
        <w:t xml:space="preserve"> </w:t>
      </w:r>
      <w:r>
        <w:t>entity</w:t>
      </w:r>
      <w:r w:rsidR="006C6F09">
        <w:t xml:space="preserve"> </w:t>
      </w:r>
      <w:r>
        <w:t>advise</w:t>
      </w:r>
      <w:r w:rsidR="006C6F09">
        <w:t xml:space="preserve"> </w:t>
      </w:r>
      <w:r>
        <w:t>TxDOT</w:t>
      </w:r>
      <w:r w:rsidR="006C6F09">
        <w:t xml:space="preserve"> </w:t>
      </w:r>
      <w:r>
        <w:t>in</w:t>
      </w:r>
      <w:r w:rsidR="006C6F09">
        <w:t xml:space="preserve"> </w:t>
      </w:r>
      <w:r>
        <w:t>writing</w:t>
      </w:r>
      <w:r w:rsidR="006C6F09">
        <w:t xml:space="preserve"> </w:t>
      </w:r>
      <w:r>
        <w:t>of</w:t>
      </w:r>
      <w:r w:rsidR="006C6F09">
        <w:t xml:space="preserve"> </w:t>
      </w:r>
      <w:r>
        <w:t>any</w:t>
      </w:r>
      <w:r w:rsidR="006C6F09">
        <w:t xml:space="preserve"> </w:t>
      </w:r>
      <w:r>
        <w:t>disagreement</w:t>
      </w:r>
      <w:r w:rsidR="006C6F09">
        <w:t xml:space="preserve"> </w:t>
      </w:r>
      <w:r>
        <w:t>with</w:t>
      </w:r>
      <w:r w:rsidR="006C6F09">
        <w:t xml:space="preserve"> </w:t>
      </w:r>
      <w:r>
        <w:t>the</w:t>
      </w:r>
      <w:r w:rsidR="006C6F09">
        <w:t xml:space="preserve"> </w:t>
      </w:r>
      <w:r>
        <w:t>evaluation</w:t>
      </w:r>
      <w:r w:rsidR="006C6F09">
        <w:t xml:space="preserve"> </w:t>
      </w:r>
      <w:r>
        <w:t>of</w:t>
      </w:r>
      <w:r w:rsidR="006C6F09">
        <w:t xml:space="preserve"> </w:t>
      </w:r>
      <w:r>
        <w:t>impacts</w:t>
      </w:r>
      <w:r w:rsidR="006C6F09">
        <w:t xml:space="preserve"> </w:t>
      </w:r>
      <w:r>
        <w:t>in</w:t>
      </w:r>
      <w:r w:rsidR="006C6F09">
        <w:t xml:space="preserve"> </w:t>
      </w:r>
      <w:r>
        <w:t>the</w:t>
      </w:r>
      <w:r w:rsidR="006C6F09">
        <w:t xml:space="preserve"> </w:t>
      </w:r>
      <w:r>
        <w:t>statement.</w:t>
      </w:r>
      <w:r w:rsidR="006C6F09">
        <w:t xml:space="preserve"> </w:t>
      </w:r>
    </w:p>
    <w:p w14:paraId="7CE09776" w14:textId="6C63F3F5" w:rsidR="00457754" w:rsidRDefault="00457754" w:rsidP="00457754">
      <w:r>
        <w:lastRenderedPageBreak/>
        <w:t>The</w:t>
      </w:r>
      <w:r w:rsidR="006C6F09">
        <w:t xml:space="preserve"> </w:t>
      </w:r>
      <w:r>
        <w:t>combined</w:t>
      </w:r>
      <w:r w:rsidR="006C6F09">
        <w:t xml:space="preserve"> </w:t>
      </w:r>
      <w:r>
        <w:t>NOA</w:t>
      </w:r>
      <w:r w:rsidR="006C6F09">
        <w:t xml:space="preserve"> </w:t>
      </w:r>
      <w:r>
        <w:t>and</w:t>
      </w:r>
      <w:r w:rsidR="006C6F09">
        <w:t xml:space="preserve"> </w:t>
      </w:r>
      <w:r>
        <w:t>public</w:t>
      </w:r>
      <w:r w:rsidR="006C6F09">
        <w:t xml:space="preserve"> </w:t>
      </w:r>
      <w:r>
        <w:t>hearing</w:t>
      </w:r>
      <w:r w:rsidR="006C6F09">
        <w:t xml:space="preserve"> </w:t>
      </w:r>
      <w:r>
        <w:t>notice</w:t>
      </w:r>
      <w:r w:rsidR="006C6F09">
        <w:t xml:space="preserve"> </w:t>
      </w:r>
      <w:r>
        <w:t>shall</w:t>
      </w:r>
      <w:r w:rsidR="006C6F09">
        <w:t xml:space="preserve"> </w:t>
      </w:r>
      <w:r>
        <w:t>also</w:t>
      </w:r>
      <w:r w:rsidR="006C6F09">
        <w:t xml:space="preserve"> </w:t>
      </w:r>
      <w:r>
        <w:t>be</w:t>
      </w:r>
      <w:r w:rsidR="006C6F09">
        <w:t xml:space="preserve"> </w:t>
      </w:r>
      <w:r>
        <w:t>transmitted</w:t>
      </w:r>
      <w:r w:rsidR="006C6F09">
        <w:t xml:space="preserve"> </w:t>
      </w:r>
      <w:r>
        <w:t>to</w:t>
      </w:r>
      <w:r w:rsidR="006C6F09">
        <w:t xml:space="preserve"> </w:t>
      </w:r>
      <w:r>
        <w:t>any</w:t>
      </w:r>
      <w:r w:rsidR="006C6F09">
        <w:t xml:space="preserve"> </w:t>
      </w:r>
      <w:r>
        <w:t>tribal</w:t>
      </w:r>
      <w:r w:rsidR="006C6F09">
        <w:t xml:space="preserve"> </w:t>
      </w:r>
      <w:r>
        <w:t>agencies</w:t>
      </w:r>
      <w:r w:rsidR="006C6F09">
        <w:t xml:space="preserve"> </w:t>
      </w:r>
      <w:r>
        <w:t>that</w:t>
      </w:r>
      <w:r w:rsidR="006C6F09">
        <w:t xml:space="preserve"> </w:t>
      </w:r>
      <w:r>
        <w:t>are</w:t>
      </w:r>
      <w:r w:rsidR="006C6F09">
        <w:t xml:space="preserve"> </w:t>
      </w:r>
      <w:r>
        <w:t>known</w:t>
      </w:r>
      <w:r w:rsidR="006C6F09">
        <w:t xml:space="preserve"> </w:t>
      </w:r>
      <w:r>
        <w:t>to</w:t>
      </w:r>
      <w:r w:rsidR="006C6F09">
        <w:t xml:space="preserve"> </w:t>
      </w:r>
      <w:r>
        <w:t>have</w:t>
      </w:r>
      <w:r w:rsidR="006C6F09">
        <w:t xml:space="preserve"> </w:t>
      </w:r>
      <w:r>
        <w:t>interest</w:t>
      </w:r>
      <w:r w:rsidR="006C6F09">
        <w:t xml:space="preserve"> </w:t>
      </w:r>
      <w:r>
        <w:t>in</w:t>
      </w:r>
      <w:r w:rsidR="006C6F09">
        <w:t xml:space="preserve"> </w:t>
      </w:r>
      <w:r>
        <w:t>the</w:t>
      </w:r>
      <w:r w:rsidR="006C6F09">
        <w:t xml:space="preserve"> </w:t>
      </w:r>
      <w:r>
        <w:t>project.</w:t>
      </w:r>
    </w:p>
    <w:p w14:paraId="4F1F886C" w14:textId="239019C7" w:rsidR="00457754" w:rsidRDefault="00457754" w:rsidP="00457754">
      <w:r>
        <w:t>Also,</w:t>
      </w:r>
      <w:r w:rsidR="006C6F09">
        <w:t xml:space="preserve"> </w:t>
      </w:r>
      <w:r>
        <w:t>as</w:t>
      </w:r>
      <w:r w:rsidR="006C6F09">
        <w:t xml:space="preserve"> </w:t>
      </w:r>
      <w:r>
        <w:t>instructed</w:t>
      </w:r>
      <w:r w:rsidR="006C6F09">
        <w:t xml:space="preserve"> </w:t>
      </w:r>
      <w:r>
        <w:t>by</w:t>
      </w:r>
      <w:r w:rsidR="006C6F09">
        <w:t xml:space="preserve"> </w:t>
      </w:r>
      <w:r>
        <w:t>EPA’s</w:t>
      </w:r>
      <w:r w:rsidR="006C6F09">
        <w:t xml:space="preserve"> </w:t>
      </w:r>
      <w:r w:rsidR="00C74C2D">
        <w:t>(</w:t>
      </w:r>
      <w:r w:rsidR="004C6422">
        <w:t>Environmental</w:t>
      </w:r>
      <w:r w:rsidR="006C6F09">
        <w:t xml:space="preserve"> </w:t>
      </w:r>
      <w:r w:rsidR="004C6422">
        <w:t>Protection</w:t>
      </w:r>
      <w:r w:rsidR="006C6F09">
        <w:t xml:space="preserve"> </w:t>
      </w:r>
      <w:r w:rsidR="004C6422">
        <w:t>Agency)</w:t>
      </w:r>
      <w:r w:rsidR="006C6F09">
        <w:t xml:space="preserve"> </w:t>
      </w:r>
      <w:r>
        <w:t>e-NEPA</w:t>
      </w:r>
      <w:r w:rsidR="006C6F09">
        <w:t xml:space="preserve"> </w:t>
      </w:r>
      <w:r>
        <w:t>website,</w:t>
      </w:r>
      <w:r w:rsidR="006C6F09">
        <w:t xml:space="preserve"> </w:t>
      </w:r>
      <w:r>
        <w:t>for</w:t>
      </w:r>
      <w:r w:rsidR="006C6F09">
        <w:t xml:space="preserve"> </w:t>
      </w:r>
      <w:r>
        <w:t>an</w:t>
      </w:r>
      <w:r w:rsidR="006C6F09">
        <w:t xml:space="preserve"> </w:t>
      </w:r>
      <w:r>
        <w:t>FHWA</w:t>
      </w:r>
      <w:r w:rsidR="006C6F09">
        <w:t xml:space="preserve"> </w:t>
      </w:r>
      <w:r>
        <w:t>project,</w:t>
      </w:r>
      <w:r w:rsidR="006C6F09">
        <w:t xml:space="preserve"> </w:t>
      </w:r>
      <w:r>
        <w:t>an</w:t>
      </w:r>
      <w:r w:rsidR="006C6F09">
        <w:t xml:space="preserve"> </w:t>
      </w:r>
      <w:r>
        <w:t>electronic</w:t>
      </w:r>
      <w:r w:rsidR="006C6F09">
        <w:t xml:space="preserve"> </w:t>
      </w:r>
      <w:r>
        <w:t>copy</w:t>
      </w:r>
      <w:r w:rsidR="006C6F09">
        <w:t xml:space="preserve"> </w:t>
      </w:r>
      <w:r>
        <w:t>of</w:t>
      </w:r>
      <w:r w:rsidR="006C6F09">
        <w:t xml:space="preserve"> </w:t>
      </w:r>
      <w:r>
        <w:t>the</w:t>
      </w:r>
      <w:r w:rsidR="006C6F09">
        <w:t xml:space="preserve"> </w:t>
      </w:r>
      <w:r>
        <w:t>DEIS</w:t>
      </w:r>
      <w:r w:rsidR="006C6F09">
        <w:t xml:space="preserve"> </w:t>
      </w:r>
      <w:r>
        <w:t>must</w:t>
      </w:r>
      <w:r w:rsidR="006C6F09">
        <w:t xml:space="preserve"> </w:t>
      </w:r>
      <w:r>
        <w:t>be</w:t>
      </w:r>
      <w:r w:rsidR="006C6F09">
        <w:t xml:space="preserve"> </w:t>
      </w:r>
      <w:r>
        <w:t>provided</w:t>
      </w:r>
      <w:r w:rsidR="006C6F09">
        <w:t xml:space="preserve"> </w:t>
      </w:r>
      <w:r>
        <w:t>to</w:t>
      </w:r>
      <w:r w:rsidR="006C6F09">
        <w:t xml:space="preserve"> </w:t>
      </w:r>
      <w:r>
        <w:t>Office</w:t>
      </w:r>
      <w:r w:rsidR="006C6F09">
        <w:t xml:space="preserve"> </w:t>
      </w:r>
      <w:r>
        <w:t>of</w:t>
      </w:r>
      <w:r w:rsidR="006C6F09">
        <w:t xml:space="preserve"> </w:t>
      </w:r>
      <w:r>
        <w:t>Communities,</w:t>
      </w:r>
      <w:r w:rsidR="006C6F09">
        <w:t xml:space="preserve"> </w:t>
      </w:r>
      <w:r>
        <w:t>Tribes</w:t>
      </w:r>
      <w:r w:rsidR="006C6F09">
        <w:t xml:space="preserve"> </w:t>
      </w:r>
      <w:r>
        <w:t>and</w:t>
      </w:r>
      <w:r w:rsidR="006C6F09">
        <w:t xml:space="preserve"> </w:t>
      </w:r>
      <w:r>
        <w:t>Environmental</w:t>
      </w:r>
      <w:r w:rsidR="006C6F09">
        <w:t xml:space="preserve"> </w:t>
      </w:r>
      <w:r>
        <w:t>Assessment,</w:t>
      </w:r>
      <w:r w:rsidR="006C6F09">
        <w:t xml:space="preserve"> </w:t>
      </w:r>
      <w:r>
        <w:t>US</w:t>
      </w:r>
      <w:r w:rsidR="006C6F09">
        <w:t xml:space="preserve"> </w:t>
      </w:r>
      <w:r>
        <w:t>EPA</w:t>
      </w:r>
      <w:r w:rsidR="006C6F09">
        <w:t xml:space="preserve"> </w:t>
      </w:r>
      <w:r>
        <w:t>Region</w:t>
      </w:r>
      <w:r w:rsidR="006C6F09">
        <w:t xml:space="preserve"> </w:t>
      </w:r>
      <w:r>
        <w:t>6,</w:t>
      </w:r>
      <w:r w:rsidR="006C6F09">
        <w:t xml:space="preserve"> </w:t>
      </w:r>
      <w:r>
        <w:t>1201</w:t>
      </w:r>
      <w:r w:rsidR="006C6F09">
        <w:t xml:space="preserve"> </w:t>
      </w:r>
      <w:r>
        <w:t>Elm</w:t>
      </w:r>
      <w:r w:rsidR="006C6F09">
        <w:t xml:space="preserve"> </w:t>
      </w:r>
      <w:r>
        <w:t>Street,</w:t>
      </w:r>
      <w:r w:rsidR="006C6F09">
        <w:t xml:space="preserve"> </w:t>
      </w:r>
      <w:r>
        <w:t>Suite</w:t>
      </w:r>
      <w:r w:rsidR="006C6F09">
        <w:t xml:space="preserve"> </w:t>
      </w:r>
      <w:r>
        <w:t>500,</w:t>
      </w:r>
      <w:r w:rsidR="006C6F09">
        <w:t xml:space="preserve"> </w:t>
      </w:r>
      <w:r>
        <w:t>Mail</w:t>
      </w:r>
      <w:r w:rsidR="006C6F09">
        <w:t xml:space="preserve"> </w:t>
      </w:r>
      <w:r>
        <w:t>Code:</w:t>
      </w:r>
      <w:r w:rsidR="006C6F09">
        <w:t xml:space="preserve"> </w:t>
      </w:r>
      <w:r>
        <w:t>ORACN,</w:t>
      </w:r>
      <w:r w:rsidR="006C6F09">
        <w:t xml:space="preserve"> </w:t>
      </w:r>
      <w:r>
        <w:t>Dallas,</w:t>
      </w:r>
      <w:r w:rsidR="006C6F09">
        <w:t xml:space="preserve"> </w:t>
      </w:r>
      <w:r>
        <w:t>TX</w:t>
      </w:r>
      <w:r w:rsidR="006C6F09">
        <w:t xml:space="preserve"> </w:t>
      </w:r>
      <w:r>
        <w:t>75270-2102.</w:t>
      </w:r>
      <w:r w:rsidR="006C6F09">
        <w:t xml:space="preserve"> </w:t>
      </w:r>
      <w:r>
        <w:t>Email</w:t>
      </w:r>
      <w:r w:rsidR="006C6F09">
        <w:t xml:space="preserve"> </w:t>
      </w:r>
      <w:hyperlink r:id="rId74" w:history="1">
        <w:r w:rsidR="00FD1EA5">
          <w:rPr>
            <w:rStyle w:val="Hyperlink"/>
          </w:rPr>
          <w:t>Robert</w:t>
        </w:r>
        <w:r w:rsidR="006C6F09">
          <w:rPr>
            <w:rStyle w:val="Hyperlink"/>
          </w:rPr>
          <w:t xml:space="preserve"> </w:t>
        </w:r>
        <w:r w:rsidR="00FD1EA5">
          <w:rPr>
            <w:rStyle w:val="Hyperlink"/>
          </w:rPr>
          <w:t>Houston</w:t>
        </w:r>
      </w:hyperlink>
      <w:r>
        <w:t>,</w:t>
      </w:r>
      <w:r w:rsidR="006C6F09">
        <w:t xml:space="preserve"> </w:t>
      </w:r>
      <w:r>
        <w:t>Staff</w:t>
      </w:r>
      <w:r w:rsidR="006C6F09">
        <w:t xml:space="preserve"> </w:t>
      </w:r>
      <w:r>
        <w:t>Director,</w:t>
      </w:r>
      <w:r w:rsidR="006C6F09">
        <w:t xml:space="preserve"> </w:t>
      </w:r>
      <w:r>
        <w:t>Communities,</w:t>
      </w:r>
      <w:r w:rsidR="006C6F09">
        <w:t xml:space="preserve"> </w:t>
      </w:r>
      <w:r>
        <w:t>Tribes</w:t>
      </w:r>
      <w:r w:rsidR="006C6F09">
        <w:t xml:space="preserve"> </w:t>
      </w:r>
      <w:r>
        <w:t>and</w:t>
      </w:r>
      <w:r w:rsidR="006C6F09">
        <w:t xml:space="preserve"> </w:t>
      </w:r>
      <w:r>
        <w:t>Environmental</w:t>
      </w:r>
      <w:r w:rsidR="006C6F09">
        <w:t xml:space="preserve"> </w:t>
      </w:r>
      <w:r>
        <w:t>Assessment</w:t>
      </w:r>
      <w:r w:rsidR="006C6F09">
        <w:t xml:space="preserve"> </w:t>
      </w:r>
      <w:r>
        <w:t>to</w:t>
      </w:r>
      <w:r w:rsidR="006C6F09">
        <w:t xml:space="preserve"> </w:t>
      </w:r>
      <w:r>
        <w:t>confirm</w:t>
      </w:r>
      <w:r w:rsidR="006C6F09">
        <w:t xml:space="preserve"> </w:t>
      </w:r>
      <w:r>
        <w:t>the</w:t>
      </w:r>
      <w:r w:rsidR="006C6F09">
        <w:t xml:space="preserve"> </w:t>
      </w:r>
      <w:r>
        <w:t>preferred</w:t>
      </w:r>
      <w:r w:rsidR="006C6F09">
        <w:t xml:space="preserve"> </w:t>
      </w:r>
      <w:r>
        <w:t>method</w:t>
      </w:r>
      <w:r w:rsidR="006C6F09">
        <w:t xml:space="preserve"> </w:t>
      </w:r>
      <w:r>
        <w:t>of</w:t>
      </w:r>
      <w:r w:rsidR="006C6F09">
        <w:t xml:space="preserve"> </w:t>
      </w:r>
      <w:r>
        <w:t>transmission,</w:t>
      </w:r>
      <w:r w:rsidR="006C6F09">
        <w:t xml:space="preserve"> </w:t>
      </w:r>
      <w:r>
        <w:t>and</w:t>
      </w:r>
      <w:r w:rsidR="006C6F09">
        <w:t xml:space="preserve"> </w:t>
      </w:r>
      <w:r>
        <w:t>check</w:t>
      </w:r>
      <w:r w:rsidR="006C6F09">
        <w:t xml:space="preserve"> </w:t>
      </w:r>
      <w:r>
        <w:t>EPA’s</w:t>
      </w:r>
      <w:r w:rsidR="006C6F09">
        <w:t xml:space="preserve"> </w:t>
      </w:r>
      <w:r>
        <w:t>website</w:t>
      </w:r>
      <w:r w:rsidR="006C6F09">
        <w:t xml:space="preserve"> </w:t>
      </w:r>
      <w:r>
        <w:t>to</w:t>
      </w:r>
      <w:r w:rsidR="006C6F09">
        <w:t xml:space="preserve"> </w:t>
      </w:r>
      <w:r>
        <w:t>make</w:t>
      </w:r>
      <w:r w:rsidR="006C6F09">
        <w:t xml:space="preserve"> </w:t>
      </w:r>
      <w:r>
        <w:t>sure</w:t>
      </w:r>
      <w:r w:rsidR="006C6F09">
        <w:t xml:space="preserve"> </w:t>
      </w:r>
      <w:r>
        <w:t>this</w:t>
      </w:r>
      <w:r w:rsidR="006C6F09">
        <w:t xml:space="preserve"> </w:t>
      </w:r>
      <w:r>
        <w:t>address</w:t>
      </w:r>
      <w:r w:rsidR="006C6F09">
        <w:t xml:space="preserve"> </w:t>
      </w:r>
      <w:r>
        <w:t>is</w:t>
      </w:r>
      <w:r w:rsidR="006C6F09">
        <w:t xml:space="preserve"> </w:t>
      </w:r>
      <w:r>
        <w:t>still</w:t>
      </w:r>
      <w:r w:rsidR="006C6F09">
        <w:t xml:space="preserve"> </w:t>
      </w:r>
      <w:r>
        <w:t>correct.</w:t>
      </w:r>
    </w:p>
    <w:p w14:paraId="07C16922" w14:textId="233FDD53" w:rsidR="00457754" w:rsidRPr="003349EA" w:rsidRDefault="00457754" w:rsidP="00457754">
      <w:r>
        <w:t>Also,</w:t>
      </w:r>
      <w:r w:rsidR="006C6F09">
        <w:t xml:space="preserve"> </w:t>
      </w:r>
      <w:r>
        <w:t>the</w:t>
      </w:r>
      <w:r w:rsidR="006C6F09">
        <w:t xml:space="preserve"> </w:t>
      </w:r>
      <w:r>
        <w:t>district</w:t>
      </w:r>
      <w:r w:rsidR="006C6F09">
        <w:t xml:space="preserve"> </w:t>
      </w:r>
      <w:r>
        <w:t>will</w:t>
      </w:r>
      <w:r w:rsidR="006C6F09">
        <w:t xml:space="preserve"> </w:t>
      </w:r>
      <w:r>
        <w:t>email</w:t>
      </w:r>
      <w:r w:rsidR="006C6F09">
        <w:t xml:space="preserve"> </w:t>
      </w:r>
      <w:r>
        <w:t>the</w:t>
      </w:r>
      <w:r w:rsidR="006C6F09">
        <w:t xml:space="preserve"> </w:t>
      </w:r>
      <w:r>
        <w:t>combined</w:t>
      </w:r>
      <w:r w:rsidR="006C6F09">
        <w:t xml:space="preserve"> </w:t>
      </w:r>
      <w:r>
        <w:t>NOA</w:t>
      </w:r>
      <w:r w:rsidR="006C6F09">
        <w:t xml:space="preserve"> </w:t>
      </w:r>
      <w:r>
        <w:t>of</w:t>
      </w:r>
      <w:r w:rsidR="006C6F09">
        <w:t xml:space="preserve"> </w:t>
      </w:r>
      <w:r>
        <w:t>draft</w:t>
      </w:r>
      <w:r w:rsidR="006C6F09">
        <w:t xml:space="preserve"> </w:t>
      </w:r>
      <w:r>
        <w:t>EIS</w:t>
      </w:r>
      <w:r w:rsidR="006C6F09">
        <w:t xml:space="preserve"> </w:t>
      </w:r>
      <w:r>
        <w:t>and</w:t>
      </w:r>
      <w:r w:rsidR="006C6F09">
        <w:t xml:space="preserve"> </w:t>
      </w:r>
      <w:r>
        <w:t>notice</w:t>
      </w:r>
      <w:r w:rsidR="006C6F09">
        <w:t xml:space="preserve"> </w:t>
      </w:r>
      <w:r>
        <w:t>of</w:t>
      </w:r>
      <w:r w:rsidR="006C6F09">
        <w:t xml:space="preserve"> </w:t>
      </w:r>
      <w:r>
        <w:t>public</w:t>
      </w:r>
      <w:r w:rsidR="006C6F09">
        <w:t xml:space="preserve"> </w:t>
      </w:r>
      <w:r>
        <w:t>hearing</w:t>
      </w:r>
      <w:r w:rsidR="006C6F09">
        <w:t xml:space="preserve"> </w:t>
      </w:r>
      <w:r>
        <w:t>to</w:t>
      </w:r>
      <w:r w:rsidR="006C6F09">
        <w:t xml:space="preserve"> </w:t>
      </w:r>
      <w:r>
        <w:t>the</w:t>
      </w:r>
      <w:r w:rsidR="006C6F09">
        <w:t xml:space="preserve"> </w:t>
      </w:r>
      <w:r>
        <w:t>Texas</w:t>
      </w:r>
      <w:r w:rsidR="006C6F09">
        <w:t xml:space="preserve"> </w:t>
      </w:r>
      <w:r>
        <w:t>Commission</w:t>
      </w:r>
      <w:r w:rsidR="006C6F09">
        <w:t xml:space="preserve"> </w:t>
      </w:r>
      <w:r>
        <w:t>on</w:t>
      </w:r>
      <w:r w:rsidR="006C6F09">
        <w:t xml:space="preserve"> </w:t>
      </w:r>
      <w:r>
        <w:t>Environmental</w:t>
      </w:r>
      <w:r w:rsidR="006C6F09">
        <w:t xml:space="preserve"> </w:t>
      </w:r>
      <w:r>
        <w:t>Quality</w:t>
      </w:r>
      <w:r w:rsidR="006C6F09">
        <w:t xml:space="preserve"> </w:t>
      </w:r>
      <w:r>
        <w:t>and</w:t>
      </w:r>
      <w:r w:rsidR="006C6F09">
        <w:t xml:space="preserve"> </w:t>
      </w:r>
      <w:r>
        <w:t>Texas</w:t>
      </w:r>
      <w:r w:rsidR="006C6F09">
        <w:t xml:space="preserve"> </w:t>
      </w:r>
      <w:r>
        <w:t>Parks</w:t>
      </w:r>
      <w:r w:rsidR="006C6F09">
        <w:t xml:space="preserve"> </w:t>
      </w:r>
      <w:r>
        <w:t>and</w:t>
      </w:r>
      <w:r w:rsidR="006C6F09">
        <w:t xml:space="preserve"> </w:t>
      </w:r>
      <w:r>
        <w:t>Wildlife</w:t>
      </w:r>
      <w:r w:rsidR="006C6F09">
        <w:t xml:space="preserve"> </w:t>
      </w:r>
      <w:r>
        <w:t>Department.</w:t>
      </w:r>
      <w:r w:rsidR="006C6F09">
        <w:t xml:space="preserve"> </w:t>
      </w:r>
      <w:r>
        <w:t>For</w:t>
      </w:r>
      <w:r w:rsidR="006C6F09">
        <w:t xml:space="preserve"> </w:t>
      </w:r>
      <w:r>
        <w:t>TCEQ,</w:t>
      </w:r>
      <w:r w:rsidR="006C6F09">
        <w:t xml:space="preserve"> </w:t>
      </w:r>
      <w:r>
        <w:t>email</w:t>
      </w:r>
      <w:r w:rsidR="006C6F09">
        <w:t xml:space="preserve"> </w:t>
      </w:r>
      <w:r>
        <w:t>the</w:t>
      </w:r>
      <w:r w:rsidR="006C6F09">
        <w:t xml:space="preserve"> </w:t>
      </w:r>
      <w:r>
        <w:t>NOA</w:t>
      </w:r>
      <w:r w:rsidR="006C6F09">
        <w:t xml:space="preserve"> </w:t>
      </w:r>
      <w:r>
        <w:t>to</w:t>
      </w:r>
      <w:r w:rsidR="006C6F09">
        <w:t xml:space="preserve"> </w:t>
      </w:r>
      <w:r w:rsidR="003D6C1E">
        <w:t>the</w:t>
      </w:r>
      <w:r w:rsidR="006C6F09">
        <w:t xml:space="preserve"> </w:t>
      </w:r>
      <w:hyperlink r:id="rId75" w:history="1">
        <w:r w:rsidR="003D6C1E">
          <w:rPr>
            <w:rStyle w:val="Hyperlink"/>
          </w:rPr>
          <w:t>TCEQ</w:t>
        </w:r>
        <w:r w:rsidR="006C6F09">
          <w:rPr>
            <w:rStyle w:val="Hyperlink"/>
          </w:rPr>
          <w:t xml:space="preserve"> </w:t>
        </w:r>
        <w:r w:rsidR="003D6C1E">
          <w:rPr>
            <w:rStyle w:val="Hyperlink"/>
          </w:rPr>
          <w:t>NEPA</w:t>
        </w:r>
        <w:r w:rsidR="006C6F09">
          <w:rPr>
            <w:rStyle w:val="Hyperlink"/>
          </w:rPr>
          <w:t xml:space="preserve"> </w:t>
        </w:r>
        <w:r w:rsidR="003D6C1E">
          <w:rPr>
            <w:rStyle w:val="Hyperlink"/>
          </w:rPr>
          <w:t>Team</w:t>
        </w:r>
      </w:hyperlink>
      <w:r w:rsidR="00D247B2">
        <w:t>,</w:t>
      </w:r>
      <w:r w:rsidR="006C6F09">
        <w:t xml:space="preserve"> </w:t>
      </w:r>
      <w:r>
        <w:t>subject</w:t>
      </w:r>
      <w:r w:rsidR="006C6F09">
        <w:t xml:space="preserve"> </w:t>
      </w:r>
      <w:r>
        <w:t>line:</w:t>
      </w:r>
      <w:r w:rsidR="006C6F09">
        <w:t xml:space="preserve"> </w:t>
      </w:r>
      <w:r>
        <w:t>“Draft</w:t>
      </w:r>
      <w:r w:rsidR="006C6F09">
        <w:t xml:space="preserve"> </w:t>
      </w:r>
      <w:r>
        <w:t>environmental</w:t>
      </w:r>
      <w:r w:rsidR="006C6F09">
        <w:t xml:space="preserve"> </w:t>
      </w:r>
      <w:r>
        <w:t>assessment</w:t>
      </w:r>
      <w:r w:rsidR="006C6F09">
        <w:t xml:space="preserve"> </w:t>
      </w:r>
      <w:r>
        <w:t>for</w:t>
      </w:r>
      <w:r w:rsidR="006C6F09">
        <w:t xml:space="preserve"> </w:t>
      </w:r>
      <w:r>
        <w:t>a</w:t>
      </w:r>
      <w:r w:rsidR="006C6F09">
        <w:t xml:space="preserve"> </w:t>
      </w:r>
      <w:r>
        <w:t>highway</w:t>
      </w:r>
      <w:r w:rsidR="006C6F09">
        <w:t xml:space="preserve"> </w:t>
      </w:r>
      <w:r>
        <w:t>project”,</w:t>
      </w:r>
      <w:r w:rsidR="006C6F09">
        <w:t xml:space="preserve"> </w:t>
      </w:r>
      <w:r>
        <w:t>body</w:t>
      </w:r>
      <w:r w:rsidR="006C6F09">
        <w:t xml:space="preserve"> </w:t>
      </w:r>
      <w:r>
        <w:t>of</w:t>
      </w:r>
      <w:r w:rsidR="006C6F09">
        <w:t xml:space="preserve"> </w:t>
      </w:r>
      <w:r>
        <w:t>email:</w:t>
      </w:r>
      <w:r w:rsidR="006C6F09">
        <w:t xml:space="preserve"> </w:t>
      </w:r>
      <w:r>
        <w:t>“Attached</w:t>
      </w:r>
      <w:r w:rsidR="006C6F09">
        <w:t xml:space="preserve"> </w:t>
      </w:r>
      <w:r>
        <w:t>please</w:t>
      </w:r>
      <w:r w:rsidR="006C6F09">
        <w:t xml:space="preserve"> </w:t>
      </w:r>
      <w:r>
        <w:t>find</w:t>
      </w:r>
      <w:r w:rsidR="006C6F09">
        <w:t xml:space="preserve"> </w:t>
      </w:r>
      <w:r>
        <w:t>a</w:t>
      </w:r>
      <w:r w:rsidR="006C6F09">
        <w:t xml:space="preserve"> </w:t>
      </w:r>
      <w:r>
        <w:t>Notice</w:t>
      </w:r>
      <w:r w:rsidR="006C6F09">
        <w:t xml:space="preserve"> </w:t>
      </w:r>
      <w:r>
        <w:t>of</w:t>
      </w:r>
      <w:r w:rsidR="006C6F09">
        <w:t xml:space="preserve"> </w:t>
      </w:r>
      <w:r>
        <w:t>Availability</w:t>
      </w:r>
      <w:r w:rsidR="006C6F09">
        <w:t xml:space="preserve"> </w:t>
      </w:r>
      <w:r>
        <w:t>of</w:t>
      </w:r>
      <w:r w:rsidR="006C6F09">
        <w:t xml:space="preserve"> </w:t>
      </w:r>
      <w:r>
        <w:t>a</w:t>
      </w:r>
      <w:r w:rsidR="006C6F09">
        <w:t xml:space="preserve"> </w:t>
      </w:r>
      <w:r>
        <w:t>DRAFT</w:t>
      </w:r>
      <w:r w:rsidR="006C6F09">
        <w:t xml:space="preserve"> </w:t>
      </w:r>
      <w:r>
        <w:t>environmental</w:t>
      </w:r>
      <w:r w:rsidR="006C6F09">
        <w:t xml:space="preserve"> </w:t>
      </w:r>
      <w:r>
        <w:t>assessment</w:t>
      </w:r>
      <w:r w:rsidR="006C6F09">
        <w:t xml:space="preserve"> </w:t>
      </w:r>
      <w:r>
        <w:t>for</w:t>
      </w:r>
      <w:r w:rsidR="006C6F09">
        <w:t xml:space="preserve"> </w:t>
      </w:r>
      <w:r>
        <w:t>a</w:t>
      </w:r>
      <w:r w:rsidR="006C6F09">
        <w:t xml:space="preserve"> </w:t>
      </w:r>
      <w:r>
        <w:t>highway</w:t>
      </w:r>
      <w:r w:rsidR="006C6F09">
        <w:t xml:space="preserve"> </w:t>
      </w:r>
      <w:r>
        <w:t>project.”</w:t>
      </w:r>
      <w:r w:rsidR="00135456">
        <w:t xml:space="preserve"> </w:t>
      </w:r>
      <w:r>
        <w:t>For</w:t>
      </w:r>
      <w:r w:rsidR="006C6F09">
        <w:t xml:space="preserve"> </w:t>
      </w:r>
      <w:r>
        <w:t>TPWD,</w:t>
      </w:r>
      <w:r w:rsidR="006C6F09">
        <w:t xml:space="preserve"> </w:t>
      </w:r>
      <w:r>
        <w:t>see</w:t>
      </w:r>
      <w:r w:rsidR="006C6F09">
        <w:t xml:space="preserve"> </w:t>
      </w:r>
      <w:r>
        <w:t>the</w:t>
      </w:r>
      <w:r w:rsidR="006C6F09">
        <w:t xml:space="preserve"> </w:t>
      </w:r>
      <w:r>
        <w:t>instructions</w:t>
      </w:r>
      <w:r w:rsidR="006C6F09">
        <w:t xml:space="preserve"> </w:t>
      </w:r>
      <w:r>
        <w:t>in</w:t>
      </w:r>
      <w:r w:rsidR="006C6F09">
        <w:t xml:space="preserve"> </w:t>
      </w:r>
      <w:r w:rsidRPr="00585C67">
        <w:rPr>
          <w:b/>
          <w:bCs/>
        </w:rPr>
        <w:t>ENV’s</w:t>
      </w:r>
      <w:r w:rsidR="006C6F09">
        <w:rPr>
          <w:b/>
          <w:bCs/>
        </w:rPr>
        <w:t xml:space="preserve"> </w:t>
      </w:r>
      <w:r w:rsidRPr="00585C67">
        <w:rPr>
          <w:b/>
          <w:bCs/>
        </w:rPr>
        <w:t>Guidance:</w:t>
      </w:r>
      <w:r w:rsidR="006C6F09">
        <w:rPr>
          <w:b/>
          <w:bCs/>
        </w:rPr>
        <w:t xml:space="preserve"> </w:t>
      </w:r>
      <w:r w:rsidRPr="00585C67">
        <w:rPr>
          <w:b/>
          <w:bCs/>
        </w:rPr>
        <w:t>TPWD</w:t>
      </w:r>
      <w:r w:rsidR="006C6F09">
        <w:rPr>
          <w:b/>
          <w:bCs/>
        </w:rPr>
        <w:t xml:space="preserve"> </w:t>
      </w:r>
      <w:r w:rsidRPr="00585C67">
        <w:rPr>
          <w:b/>
          <w:bCs/>
        </w:rPr>
        <w:t>Coordination</w:t>
      </w:r>
      <w:r w:rsidR="006C6F09">
        <w:rPr>
          <w:b/>
          <w:bCs/>
        </w:rPr>
        <w:t xml:space="preserve"> </w:t>
      </w:r>
      <w:r w:rsidRPr="00585C67">
        <w:rPr>
          <w:b/>
          <w:bCs/>
        </w:rPr>
        <w:t>Under</w:t>
      </w:r>
      <w:r w:rsidR="006C6F09">
        <w:rPr>
          <w:b/>
          <w:bCs/>
        </w:rPr>
        <w:t xml:space="preserve"> </w:t>
      </w:r>
      <w:r w:rsidRPr="00585C67">
        <w:rPr>
          <w:b/>
          <w:bCs/>
        </w:rPr>
        <w:t>the</w:t>
      </w:r>
      <w:r w:rsidR="006C6F09">
        <w:rPr>
          <w:b/>
          <w:bCs/>
        </w:rPr>
        <w:t xml:space="preserve"> </w:t>
      </w:r>
      <w:r w:rsidRPr="00585C67">
        <w:rPr>
          <w:b/>
          <w:bCs/>
        </w:rPr>
        <w:t>2021</w:t>
      </w:r>
      <w:r w:rsidR="006C6F09">
        <w:rPr>
          <w:b/>
          <w:bCs/>
        </w:rPr>
        <w:t xml:space="preserve"> </w:t>
      </w:r>
      <w:r w:rsidRPr="00585C67">
        <w:rPr>
          <w:b/>
          <w:bCs/>
        </w:rPr>
        <w:t>Memorandum</w:t>
      </w:r>
      <w:r w:rsidR="006C6F09">
        <w:rPr>
          <w:b/>
          <w:bCs/>
        </w:rPr>
        <w:t xml:space="preserve"> </w:t>
      </w:r>
      <w:r w:rsidRPr="00585C67">
        <w:rPr>
          <w:b/>
          <w:bCs/>
        </w:rPr>
        <w:t>of</w:t>
      </w:r>
      <w:r w:rsidR="006C6F09">
        <w:rPr>
          <w:b/>
          <w:bCs/>
        </w:rPr>
        <w:t xml:space="preserve"> </w:t>
      </w:r>
      <w:r w:rsidRPr="00585C67">
        <w:rPr>
          <w:b/>
          <w:bCs/>
        </w:rPr>
        <w:t>Understanding</w:t>
      </w:r>
      <w:r>
        <w:t>.</w:t>
      </w:r>
    </w:p>
    <w:p w14:paraId="21EB0549" w14:textId="1D53B791" w:rsidR="00457754" w:rsidRPr="00786382" w:rsidRDefault="00457754" w:rsidP="00457754">
      <w:pPr>
        <w:pStyle w:val="Heading3"/>
      </w:pPr>
      <w:bookmarkStart w:id="94" w:name="_Ref219791714"/>
      <w:bookmarkStart w:id="95" w:name="_Ref219792061"/>
      <w:bookmarkStart w:id="96" w:name="_Toc224026230"/>
      <w:r w:rsidRPr="00786382">
        <w:t>9.5</w:t>
      </w:r>
      <w:r w:rsidR="006C6F09" w:rsidRPr="00786382">
        <w:t xml:space="preserve"> </w:t>
      </w:r>
      <w:r w:rsidRPr="00786382">
        <w:t>Final</w:t>
      </w:r>
      <w:r w:rsidR="006C6F09" w:rsidRPr="00786382">
        <w:t xml:space="preserve"> </w:t>
      </w:r>
      <w:r w:rsidRPr="00786382">
        <w:t>Environmental</w:t>
      </w:r>
      <w:r w:rsidR="006C6F09" w:rsidRPr="00786382">
        <w:t xml:space="preserve"> </w:t>
      </w:r>
      <w:r w:rsidRPr="00786382">
        <w:t>Impact</w:t>
      </w:r>
      <w:r w:rsidR="006C6F09" w:rsidRPr="00786382">
        <w:t xml:space="preserve"> </w:t>
      </w:r>
      <w:r w:rsidRPr="00786382">
        <w:t>Statement</w:t>
      </w:r>
      <w:r w:rsidR="006C6F09" w:rsidRPr="00786382">
        <w:t xml:space="preserve"> </w:t>
      </w:r>
      <w:r w:rsidRPr="00786382">
        <w:t>(FEIS)</w:t>
      </w:r>
      <w:bookmarkEnd w:id="94"/>
      <w:bookmarkEnd w:id="95"/>
      <w:bookmarkEnd w:id="96"/>
      <w:r w:rsidR="006C6F09" w:rsidRPr="00786382">
        <w:t xml:space="preserve"> </w:t>
      </w:r>
    </w:p>
    <w:p w14:paraId="50368361" w14:textId="21774D32" w:rsidR="00457754" w:rsidRDefault="00457754" w:rsidP="00457754">
      <w:r>
        <w:t>The</w:t>
      </w:r>
      <w:r w:rsidR="006C6F09">
        <w:t xml:space="preserve"> </w:t>
      </w:r>
      <w:r>
        <w:t>FEIS</w:t>
      </w:r>
      <w:r w:rsidR="006C6F09">
        <w:t xml:space="preserve"> </w:t>
      </w:r>
      <w:r>
        <w:t>and</w:t>
      </w:r>
      <w:r w:rsidR="006C6F09">
        <w:t xml:space="preserve"> </w:t>
      </w:r>
      <w:r>
        <w:t>ROD</w:t>
      </w:r>
      <w:r w:rsidR="006C6F09">
        <w:t xml:space="preserve"> </w:t>
      </w:r>
      <w:r>
        <w:t>will</w:t>
      </w:r>
      <w:r w:rsidR="006C6F09">
        <w:t xml:space="preserve"> </w:t>
      </w:r>
      <w:r>
        <w:t>normally</w:t>
      </w:r>
      <w:r w:rsidR="006C6F09">
        <w:t xml:space="preserve"> </w:t>
      </w:r>
      <w:r>
        <w:t>be</w:t>
      </w:r>
      <w:r w:rsidR="006C6F09">
        <w:t xml:space="preserve"> </w:t>
      </w:r>
      <w:r>
        <w:t>combined</w:t>
      </w:r>
      <w:r w:rsidR="006C6F09">
        <w:t xml:space="preserve"> </w:t>
      </w:r>
      <w:r>
        <w:t>into</w:t>
      </w:r>
      <w:r w:rsidR="006C6F09">
        <w:t xml:space="preserve"> </w:t>
      </w:r>
      <w:r>
        <w:t>a</w:t>
      </w:r>
      <w:r w:rsidR="006C6F09">
        <w:t xml:space="preserve"> </w:t>
      </w:r>
      <w:r>
        <w:t>single</w:t>
      </w:r>
      <w:r w:rsidR="006C6F09">
        <w:t xml:space="preserve"> </w:t>
      </w:r>
      <w:r>
        <w:t>document</w:t>
      </w:r>
      <w:r w:rsidR="006C6F09">
        <w:t xml:space="preserve"> </w:t>
      </w:r>
      <w:r>
        <w:t>(unless</w:t>
      </w:r>
      <w:r w:rsidR="006C6F09">
        <w:t xml:space="preserve"> </w:t>
      </w:r>
      <w:r>
        <w:t>a</w:t>
      </w:r>
      <w:r w:rsidR="006C6F09">
        <w:t xml:space="preserve"> </w:t>
      </w:r>
      <w:r>
        <w:t>separate</w:t>
      </w:r>
      <w:r w:rsidR="006C6F09">
        <w:t xml:space="preserve"> </w:t>
      </w:r>
      <w:r>
        <w:t>FEIS</w:t>
      </w:r>
      <w:r w:rsidR="006C6F09">
        <w:t xml:space="preserve"> </w:t>
      </w:r>
      <w:r>
        <w:t>and</w:t>
      </w:r>
      <w:r w:rsidR="006C6F09">
        <w:t xml:space="preserve"> </w:t>
      </w:r>
      <w:r>
        <w:t>ROD</w:t>
      </w:r>
      <w:r w:rsidR="006C6F09">
        <w:t xml:space="preserve"> </w:t>
      </w:r>
      <w:r>
        <w:t>are</w:t>
      </w:r>
      <w:r w:rsidR="006C6F09">
        <w:t xml:space="preserve"> </w:t>
      </w:r>
      <w:r>
        <w:t>required</w:t>
      </w:r>
      <w:r w:rsidR="006C6F09">
        <w:t xml:space="preserve"> </w:t>
      </w:r>
      <w:r>
        <w:t>under</w:t>
      </w:r>
      <w:r w:rsidR="006C6F09">
        <w:t xml:space="preserve"> </w:t>
      </w:r>
      <w:r w:rsidRPr="00D903DC">
        <w:t>23</w:t>
      </w:r>
      <w:r w:rsidR="006C6F09">
        <w:t xml:space="preserve"> </w:t>
      </w:r>
      <w:r w:rsidRPr="00D903DC">
        <w:t>CFR</w:t>
      </w:r>
      <w:r w:rsidR="006C6F09">
        <w:t xml:space="preserve"> </w:t>
      </w:r>
      <w:r w:rsidRPr="00D903DC">
        <w:t>771.124(a)(1))</w:t>
      </w:r>
      <w:r>
        <w:t>.</w:t>
      </w:r>
      <w:r w:rsidR="006C6F09">
        <w:t xml:space="preserve"> </w:t>
      </w:r>
      <w:r>
        <w:t>In</w:t>
      </w:r>
      <w:r w:rsidR="006C6F09">
        <w:t xml:space="preserve"> </w:t>
      </w:r>
      <w:r>
        <w:t>addition</w:t>
      </w:r>
      <w:r w:rsidR="006C6F09">
        <w:t xml:space="preserve"> </w:t>
      </w:r>
      <w:r>
        <w:t>to</w:t>
      </w:r>
      <w:r w:rsidR="006C6F09">
        <w:t xml:space="preserve"> </w:t>
      </w:r>
      <w:r>
        <w:t>the</w:t>
      </w:r>
      <w:r w:rsidR="006C6F09">
        <w:t xml:space="preserve"> </w:t>
      </w:r>
      <w:r>
        <w:t>publication</w:t>
      </w:r>
      <w:r w:rsidR="006C6F09">
        <w:t xml:space="preserve"> </w:t>
      </w:r>
      <w:r>
        <w:t>and</w:t>
      </w:r>
      <w:r w:rsidR="006C6F09">
        <w:t xml:space="preserve"> </w:t>
      </w:r>
      <w:r>
        <w:t>distribution</w:t>
      </w:r>
      <w:r w:rsidR="006C6F09">
        <w:t xml:space="preserve"> </w:t>
      </w:r>
      <w:r>
        <w:t>requirements</w:t>
      </w:r>
      <w:r w:rsidR="006C6F09">
        <w:t xml:space="preserve"> </w:t>
      </w:r>
      <w:r>
        <w:t>discussed</w:t>
      </w:r>
      <w:r w:rsidR="006C6F09">
        <w:t xml:space="preserve"> </w:t>
      </w:r>
      <w:r>
        <w:t>above</w:t>
      </w:r>
      <w:r w:rsidR="006C6F09">
        <w:t xml:space="preserve"> </w:t>
      </w:r>
      <w:r>
        <w:t>under</w:t>
      </w:r>
      <w:r w:rsidR="006C6F09">
        <w:t xml:space="preserve"> </w:t>
      </w:r>
      <w:r>
        <w:t>Section</w:t>
      </w:r>
      <w:r w:rsidR="006C6F09">
        <w:t xml:space="preserve"> </w:t>
      </w:r>
      <w:r w:rsidRPr="00263E76">
        <w:rPr>
          <w:u w:val="single"/>
        </w:rPr>
        <w:fldChar w:fldCharType="begin"/>
      </w:r>
      <w:r w:rsidRPr="00263E76">
        <w:rPr>
          <w:u w:val="single"/>
        </w:rPr>
        <w:instrText xml:space="preserve"> REF _Ref219791990 \h  \* MERGEFORMAT </w:instrText>
      </w:r>
      <w:r w:rsidRPr="00263E76">
        <w:rPr>
          <w:u w:val="single"/>
        </w:rPr>
      </w:r>
      <w:r w:rsidRPr="00263E76">
        <w:rPr>
          <w:u w:val="single"/>
        </w:rPr>
        <w:fldChar w:fldCharType="separate"/>
      </w:r>
      <w:r w:rsidRPr="00263E76">
        <w:rPr>
          <w:color w:val="0056A9"/>
          <w:u w:val="single"/>
        </w:rPr>
        <w:t>9.0</w:t>
      </w:r>
      <w:r w:rsidRPr="00263E76">
        <w:rPr>
          <w:u w:val="single"/>
        </w:rPr>
        <w:fldChar w:fldCharType="end"/>
      </w:r>
      <w:r>
        <w:t>,</w:t>
      </w:r>
      <w:r w:rsidR="006C6F09">
        <w:t xml:space="preserve"> </w:t>
      </w:r>
      <w:r>
        <w:t>the</w:t>
      </w:r>
      <w:r w:rsidR="006C6F09">
        <w:t xml:space="preserve"> </w:t>
      </w:r>
      <w:r>
        <w:t>requirements</w:t>
      </w:r>
      <w:r w:rsidR="006C6F09">
        <w:t xml:space="preserve"> </w:t>
      </w:r>
      <w:r>
        <w:t>below</w:t>
      </w:r>
      <w:r w:rsidR="006C6F09">
        <w:t xml:space="preserve"> </w:t>
      </w:r>
      <w:r>
        <w:t>apply</w:t>
      </w:r>
      <w:r w:rsidR="006C6F09">
        <w:t xml:space="preserve"> </w:t>
      </w:r>
      <w:r>
        <w:t>equally</w:t>
      </w:r>
      <w:r w:rsidR="006C6F09">
        <w:t xml:space="preserve"> </w:t>
      </w:r>
      <w:r>
        <w:t>to</w:t>
      </w:r>
      <w:r w:rsidR="006C6F09">
        <w:t xml:space="preserve"> </w:t>
      </w:r>
      <w:r>
        <w:t>an</w:t>
      </w:r>
      <w:r w:rsidR="006C6F09">
        <w:t xml:space="preserve"> </w:t>
      </w:r>
      <w:r>
        <w:t>NOA</w:t>
      </w:r>
      <w:r w:rsidR="006C6F09">
        <w:t xml:space="preserve"> </w:t>
      </w:r>
      <w:r>
        <w:t>of</w:t>
      </w:r>
      <w:r w:rsidR="006C6F09">
        <w:t xml:space="preserve"> </w:t>
      </w:r>
      <w:proofErr w:type="gramStart"/>
      <w:r>
        <w:t>an</w:t>
      </w:r>
      <w:proofErr w:type="gramEnd"/>
      <w:r w:rsidR="006C6F09">
        <w:t xml:space="preserve"> </w:t>
      </w:r>
      <w:r>
        <w:t>FEIS</w:t>
      </w:r>
      <w:r w:rsidR="006C6F09">
        <w:t xml:space="preserve"> </w:t>
      </w:r>
      <w:r>
        <w:t>or</w:t>
      </w:r>
      <w:r w:rsidR="006C6F09">
        <w:t xml:space="preserve"> </w:t>
      </w:r>
      <w:r>
        <w:t>a</w:t>
      </w:r>
      <w:r w:rsidR="006C6F09">
        <w:t xml:space="preserve"> </w:t>
      </w:r>
      <w:r>
        <w:t>combined</w:t>
      </w:r>
      <w:r w:rsidR="006C6F09">
        <w:t xml:space="preserve"> </w:t>
      </w:r>
      <w:r>
        <w:t>FEIS</w:t>
      </w:r>
      <w:r w:rsidR="006C6F09">
        <w:t xml:space="preserve"> </w:t>
      </w:r>
      <w:r>
        <w:t>and</w:t>
      </w:r>
      <w:r w:rsidR="006C6F09">
        <w:t xml:space="preserve"> </w:t>
      </w:r>
      <w:r>
        <w:t>ROD.</w:t>
      </w:r>
    </w:p>
    <w:p w14:paraId="565B137A" w14:textId="5CC369CF" w:rsidR="00457754" w:rsidRPr="00F316CC" w:rsidRDefault="00457754" w:rsidP="00457754">
      <w:pPr>
        <w:pStyle w:val="ListBullet"/>
      </w:pPr>
      <w:r w:rsidRPr="00F316CC">
        <w:t>The</w:t>
      </w:r>
      <w:r w:rsidR="006C6F09">
        <w:t xml:space="preserve"> </w:t>
      </w:r>
      <w:r w:rsidRPr="00F316CC">
        <w:t>department</w:t>
      </w:r>
      <w:r w:rsidR="006C6F09">
        <w:t xml:space="preserve"> </w:t>
      </w:r>
      <w:r w:rsidRPr="00F316CC">
        <w:t>delegate</w:t>
      </w:r>
      <w:r w:rsidR="006C6F09">
        <w:t xml:space="preserve"> </w:t>
      </w:r>
      <w:r w:rsidRPr="00F316CC">
        <w:t>reviews</w:t>
      </w:r>
      <w:r w:rsidR="006C6F09">
        <w:t xml:space="preserve"> </w:t>
      </w:r>
      <w:r w:rsidRPr="00F316CC">
        <w:t>the</w:t>
      </w:r>
      <w:r w:rsidR="006C6F09">
        <w:t xml:space="preserve"> </w:t>
      </w:r>
      <w:r w:rsidRPr="00F316CC">
        <w:t>NOA</w:t>
      </w:r>
      <w:r w:rsidR="006C6F09">
        <w:t xml:space="preserve"> </w:t>
      </w:r>
      <w:r w:rsidRPr="00F316CC">
        <w:t>and</w:t>
      </w:r>
      <w:r w:rsidR="006C6F09">
        <w:t xml:space="preserve"> </w:t>
      </w:r>
      <w:r w:rsidRPr="00F316CC">
        <w:t>submits</w:t>
      </w:r>
      <w:r w:rsidR="006C6F09">
        <w:t xml:space="preserve"> </w:t>
      </w:r>
      <w:r w:rsidRPr="00F316CC">
        <w:t>it</w:t>
      </w:r>
      <w:r w:rsidR="006C6F09">
        <w:t xml:space="preserve"> </w:t>
      </w:r>
      <w:r w:rsidRPr="00F316CC">
        <w:t>for</w:t>
      </w:r>
      <w:r w:rsidR="006C6F09">
        <w:t xml:space="preserve"> </w:t>
      </w:r>
      <w:r w:rsidRPr="00F316CC">
        <w:t>publication</w:t>
      </w:r>
      <w:r w:rsidR="006C6F09">
        <w:t xml:space="preserve"> </w:t>
      </w:r>
      <w:r w:rsidRPr="00F316CC">
        <w:t>in</w:t>
      </w:r>
      <w:r w:rsidR="006C6F09">
        <w:t xml:space="preserve"> </w:t>
      </w:r>
      <w:r w:rsidRPr="00F316CC">
        <w:t>the</w:t>
      </w:r>
      <w:r w:rsidR="006C6F09">
        <w:t xml:space="preserve"> </w:t>
      </w:r>
      <w:r w:rsidRPr="00F316CC">
        <w:t>Texas</w:t>
      </w:r>
      <w:r w:rsidR="006C6F09">
        <w:t xml:space="preserve"> </w:t>
      </w:r>
      <w:r w:rsidRPr="00F316CC">
        <w:t>Register</w:t>
      </w:r>
      <w:r w:rsidR="006C6F09">
        <w:t xml:space="preserve"> </w:t>
      </w:r>
      <w:r w:rsidRPr="00F316CC">
        <w:t>for</w:t>
      </w:r>
      <w:r w:rsidR="006C6F09">
        <w:t xml:space="preserve"> </w:t>
      </w:r>
      <w:r w:rsidRPr="00F316CC">
        <w:t>state</w:t>
      </w:r>
      <w:r w:rsidR="006C6F09">
        <w:t xml:space="preserve"> </w:t>
      </w:r>
      <w:r w:rsidRPr="00F316CC">
        <w:t>projects</w:t>
      </w:r>
      <w:r w:rsidR="006C6F09">
        <w:t xml:space="preserve"> </w:t>
      </w:r>
      <w:r w:rsidRPr="00F316CC">
        <w:t>or</w:t>
      </w:r>
      <w:r w:rsidR="006C6F09">
        <w:t xml:space="preserve"> </w:t>
      </w:r>
      <w:r w:rsidRPr="00F316CC">
        <w:t>the</w:t>
      </w:r>
      <w:r w:rsidR="006C6F09">
        <w:t xml:space="preserve"> </w:t>
      </w:r>
      <w:r w:rsidRPr="00F316CC">
        <w:t>Federal</w:t>
      </w:r>
      <w:r w:rsidR="006C6F09">
        <w:t xml:space="preserve"> </w:t>
      </w:r>
      <w:r w:rsidRPr="00F316CC">
        <w:t>Register</w:t>
      </w:r>
      <w:r w:rsidR="006C6F09">
        <w:t xml:space="preserve"> </w:t>
      </w:r>
      <w:r w:rsidRPr="00F316CC">
        <w:t>for</w:t>
      </w:r>
      <w:r w:rsidR="006C6F09">
        <w:t xml:space="preserve"> </w:t>
      </w:r>
      <w:r w:rsidRPr="00F316CC">
        <w:t>federally</w:t>
      </w:r>
      <w:r w:rsidR="006C6F09">
        <w:t xml:space="preserve"> </w:t>
      </w:r>
      <w:r w:rsidRPr="00F316CC">
        <w:t>assigned</w:t>
      </w:r>
      <w:r w:rsidR="006C6F09">
        <w:t xml:space="preserve"> </w:t>
      </w:r>
      <w:r w:rsidRPr="00F316CC">
        <w:t>projects.</w:t>
      </w:r>
      <w:r w:rsidR="006C6F09">
        <w:t xml:space="preserve"> </w:t>
      </w:r>
      <w:r w:rsidRPr="00F316CC">
        <w:t>For</w:t>
      </w:r>
      <w:r w:rsidR="006C6F09">
        <w:t xml:space="preserve"> </w:t>
      </w:r>
      <w:r w:rsidRPr="00F316CC">
        <w:t>federally</w:t>
      </w:r>
      <w:r w:rsidR="006C6F09">
        <w:t xml:space="preserve"> </w:t>
      </w:r>
      <w:r w:rsidRPr="00F316CC">
        <w:t>assigned</w:t>
      </w:r>
      <w:r w:rsidR="006C6F09">
        <w:t xml:space="preserve"> </w:t>
      </w:r>
      <w:r w:rsidRPr="00F316CC">
        <w:t>projects,</w:t>
      </w:r>
      <w:r w:rsidR="006C6F09">
        <w:t xml:space="preserve"> </w:t>
      </w:r>
      <w:r w:rsidRPr="00F316CC">
        <w:t>the</w:t>
      </w:r>
      <w:r w:rsidR="006C6F09">
        <w:t xml:space="preserve"> </w:t>
      </w:r>
      <w:r w:rsidRPr="00F316CC">
        <w:t>department</w:t>
      </w:r>
      <w:r w:rsidR="006C6F09">
        <w:t xml:space="preserve"> </w:t>
      </w:r>
      <w:r w:rsidRPr="00F316CC">
        <w:t>delegate</w:t>
      </w:r>
      <w:r w:rsidR="006C6F09">
        <w:t xml:space="preserve"> </w:t>
      </w:r>
      <w:r w:rsidRPr="00F316CC">
        <w:t>uses</w:t>
      </w:r>
      <w:r w:rsidR="006C6F09">
        <w:t xml:space="preserve"> </w:t>
      </w:r>
      <w:r w:rsidRPr="00F316CC">
        <w:t>e-NEPA</w:t>
      </w:r>
      <w:r w:rsidR="006C6F09">
        <w:t xml:space="preserve"> </w:t>
      </w:r>
      <w:r w:rsidRPr="00F316CC">
        <w:t>to</w:t>
      </w:r>
      <w:r w:rsidR="006C6F09">
        <w:t xml:space="preserve"> </w:t>
      </w:r>
      <w:r w:rsidRPr="00F316CC">
        <w:t>publish</w:t>
      </w:r>
      <w:r w:rsidR="006C6F09">
        <w:t xml:space="preserve"> </w:t>
      </w:r>
      <w:r w:rsidRPr="00F316CC">
        <w:t>in</w:t>
      </w:r>
      <w:r w:rsidR="006C6F09">
        <w:t xml:space="preserve"> </w:t>
      </w:r>
      <w:r w:rsidRPr="00F316CC">
        <w:t>the</w:t>
      </w:r>
      <w:r w:rsidR="006C6F09">
        <w:t xml:space="preserve"> </w:t>
      </w:r>
      <w:r w:rsidRPr="00F316CC">
        <w:t>Federal</w:t>
      </w:r>
      <w:r w:rsidR="006C6F09">
        <w:t xml:space="preserve"> </w:t>
      </w:r>
      <w:r w:rsidRPr="00F316CC">
        <w:t>Register.</w:t>
      </w:r>
      <w:r w:rsidR="006C6F09">
        <w:t xml:space="preserve"> </w:t>
      </w:r>
    </w:p>
    <w:p w14:paraId="7F071718" w14:textId="510650D0" w:rsidR="00457754" w:rsidRPr="00F316CC" w:rsidRDefault="00457754" w:rsidP="00457754">
      <w:pPr>
        <w:pStyle w:val="ListBullet"/>
      </w:pPr>
      <w:r w:rsidRPr="00F316CC">
        <w:lastRenderedPageBreak/>
        <w:t>The</w:t>
      </w:r>
      <w:r w:rsidR="006C6F09">
        <w:t xml:space="preserve"> </w:t>
      </w:r>
      <w:r w:rsidRPr="00F316CC">
        <w:t>NOA</w:t>
      </w:r>
      <w:r w:rsidR="006C6F09">
        <w:t xml:space="preserve"> </w:t>
      </w:r>
      <w:r w:rsidRPr="00F316CC">
        <w:t>must</w:t>
      </w:r>
      <w:r w:rsidR="006C6F09">
        <w:t xml:space="preserve"> </w:t>
      </w:r>
      <w:r w:rsidRPr="00F316CC">
        <w:t>indicate</w:t>
      </w:r>
      <w:r w:rsidR="006C6F09">
        <w:t xml:space="preserve"> </w:t>
      </w:r>
      <w:r w:rsidRPr="00F316CC">
        <w:t>that</w:t>
      </w:r>
      <w:r w:rsidR="006C6F09">
        <w:t xml:space="preserve"> </w:t>
      </w:r>
      <w:r w:rsidRPr="00F316CC">
        <w:t>a</w:t>
      </w:r>
      <w:r w:rsidR="006C6F09">
        <w:t xml:space="preserve"> </w:t>
      </w:r>
      <w:r w:rsidRPr="00F316CC">
        <w:t>combined</w:t>
      </w:r>
      <w:r w:rsidR="006C6F09">
        <w:t xml:space="preserve"> </w:t>
      </w:r>
      <w:r w:rsidRPr="00F316CC">
        <w:t>FEIS</w:t>
      </w:r>
      <w:r w:rsidR="006C6F09">
        <w:t xml:space="preserve"> </w:t>
      </w:r>
      <w:r>
        <w:t>and</w:t>
      </w:r>
      <w:r w:rsidR="006C6F09">
        <w:t xml:space="preserve"> </w:t>
      </w:r>
      <w:r w:rsidRPr="00F316CC">
        <w:t>ROD</w:t>
      </w:r>
      <w:r w:rsidR="006C6F09">
        <w:t xml:space="preserve"> </w:t>
      </w:r>
      <w:proofErr w:type="gramStart"/>
      <w:r w:rsidRPr="00F316CC">
        <w:t>has</w:t>
      </w:r>
      <w:proofErr w:type="gramEnd"/>
      <w:r w:rsidR="006C6F09">
        <w:t xml:space="preserve"> </w:t>
      </w:r>
      <w:r w:rsidRPr="00F316CC">
        <w:t>been</w:t>
      </w:r>
      <w:r w:rsidR="006C6F09">
        <w:t xml:space="preserve"> </w:t>
      </w:r>
      <w:r w:rsidRPr="00F316CC">
        <w:t>prepared</w:t>
      </w:r>
      <w:r w:rsidR="006C6F09">
        <w:t xml:space="preserve"> </w:t>
      </w:r>
      <w:r w:rsidRPr="00F316CC">
        <w:t>(unless</w:t>
      </w:r>
      <w:r w:rsidR="006C6F09">
        <w:t xml:space="preserve"> </w:t>
      </w:r>
      <w:r w:rsidRPr="00F316CC">
        <w:t>there</w:t>
      </w:r>
      <w:r w:rsidR="006C6F09">
        <w:t xml:space="preserve"> </w:t>
      </w:r>
      <w:r w:rsidRPr="00F316CC">
        <w:t>is</w:t>
      </w:r>
      <w:r w:rsidR="006C6F09">
        <w:t xml:space="preserve"> </w:t>
      </w:r>
      <w:r w:rsidRPr="00F316CC">
        <w:t>a</w:t>
      </w:r>
      <w:r w:rsidR="006C6F09">
        <w:t xml:space="preserve"> </w:t>
      </w:r>
      <w:r w:rsidRPr="00F316CC">
        <w:t>need</w:t>
      </w:r>
      <w:r w:rsidR="006C6F09">
        <w:t xml:space="preserve"> </w:t>
      </w:r>
      <w:r w:rsidRPr="00F316CC">
        <w:t>to</w:t>
      </w:r>
      <w:r w:rsidR="006C6F09">
        <w:t xml:space="preserve"> </w:t>
      </w:r>
      <w:r w:rsidRPr="00F316CC">
        <w:t>deviate</w:t>
      </w:r>
      <w:r w:rsidR="006C6F09">
        <w:t xml:space="preserve"> </w:t>
      </w:r>
      <w:r w:rsidRPr="00F316CC">
        <w:t>from</w:t>
      </w:r>
      <w:r w:rsidR="006C6F09">
        <w:t xml:space="preserve"> </w:t>
      </w:r>
      <w:r w:rsidRPr="00F316CC">
        <w:t>standard</w:t>
      </w:r>
      <w:r w:rsidR="006C6F09">
        <w:t xml:space="preserve"> </w:t>
      </w:r>
      <w:r w:rsidRPr="00F316CC">
        <w:t>practice</w:t>
      </w:r>
      <w:r w:rsidR="006C6F09">
        <w:t xml:space="preserve"> </w:t>
      </w:r>
      <w:r w:rsidRPr="00F316CC">
        <w:t>and</w:t>
      </w:r>
      <w:r w:rsidR="006C6F09">
        <w:t xml:space="preserve"> </w:t>
      </w:r>
      <w:r w:rsidRPr="00F316CC">
        <w:t>issue</w:t>
      </w:r>
      <w:r w:rsidR="006C6F09">
        <w:t xml:space="preserve"> </w:t>
      </w:r>
      <w:r w:rsidRPr="00F316CC">
        <w:t>a</w:t>
      </w:r>
      <w:r w:rsidR="006C6F09">
        <w:t xml:space="preserve"> </w:t>
      </w:r>
      <w:r w:rsidRPr="00F316CC">
        <w:t>separate</w:t>
      </w:r>
      <w:r w:rsidR="006C6F09">
        <w:t xml:space="preserve"> </w:t>
      </w:r>
      <w:r w:rsidRPr="00F316CC">
        <w:t>FEIS</w:t>
      </w:r>
      <w:r w:rsidR="006C6F09">
        <w:t xml:space="preserve"> </w:t>
      </w:r>
      <w:r w:rsidRPr="00F316CC">
        <w:t>and</w:t>
      </w:r>
      <w:r w:rsidR="006C6F09">
        <w:t xml:space="preserve"> </w:t>
      </w:r>
      <w:r w:rsidRPr="00F316CC">
        <w:t>ROD</w:t>
      </w:r>
      <w:r w:rsidR="006C6F09">
        <w:t xml:space="preserve"> </w:t>
      </w:r>
      <w:r w:rsidRPr="00F316CC">
        <w:t>for</w:t>
      </w:r>
      <w:r w:rsidR="006C6F09">
        <w:t xml:space="preserve"> </w:t>
      </w:r>
      <w:r w:rsidRPr="00F316CC">
        <w:t>some</w:t>
      </w:r>
      <w:r w:rsidR="006C6F09">
        <w:t xml:space="preserve"> </w:t>
      </w:r>
      <w:r w:rsidRPr="00F316CC">
        <w:t>reason).</w:t>
      </w:r>
    </w:p>
    <w:p w14:paraId="4E0DE383" w14:textId="65EF17A4" w:rsidR="00457754" w:rsidRDefault="00457754" w:rsidP="00457754">
      <w:pPr>
        <w:pStyle w:val="ListBullet"/>
      </w:pPr>
      <w:r w:rsidRPr="00F316CC">
        <w:t>The</w:t>
      </w:r>
      <w:r w:rsidR="006C6F09">
        <w:t xml:space="preserve"> </w:t>
      </w:r>
      <w:r w:rsidRPr="00F316CC">
        <w:t>project</w:t>
      </w:r>
      <w:r w:rsidR="006C6F09">
        <w:t xml:space="preserve"> </w:t>
      </w:r>
      <w:r w:rsidRPr="00F316CC">
        <w:t>sponsor</w:t>
      </w:r>
      <w:r w:rsidR="006C6F09">
        <w:t xml:space="preserve"> </w:t>
      </w:r>
      <w:r w:rsidRPr="00F316CC">
        <w:t>publishes</w:t>
      </w:r>
      <w:r w:rsidR="006C6F09">
        <w:t xml:space="preserve"> </w:t>
      </w:r>
      <w:r w:rsidRPr="00F316CC">
        <w:t>the</w:t>
      </w:r>
      <w:r w:rsidR="006C6F09">
        <w:t xml:space="preserve"> </w:t>
      </w:r>
      <w:r w:rsidRPr="00F316CC">
        <w:t>NOA</w:t>
      </w:r>
      <w:r w:rsidR="006C6F09">
        <w:t xml:space="preserve"> </w:t>
      </w:r>
      <w:r w:rsidRPr="00F316CC">
        <w:t>in</w:t>
      </w:r>
      <w:r w:rsidR="006C6F09">
        <w:t xml:space="preserve"> </w:t>
      </w:r>
      <w:r w:rsidRPr="00F316CC">
        <w:t>a</w:t>
      </w:r>
      <w:r w:rsidR="006C6F09">
        <w:t xml:space="preserve"> </w:t>
      </w:r>
      <w:r w:rsidRPr="00F316CC">
        <w:t>local</w:t>
      </w:r>
      <w:r w:rsidR="006C6F09">
        <w:t xml:space="preserve"> </w:t>
      </w:r>
      <w:r w:rsidRPr="00F316CC">
        <w:t>newspaper</w:t>
      </w:r>
      <w:r w:rsidR="006C6F09">
        <w:t xml:space="preserve"> </w:t>
      </w:r>
      <w:r w:rsidRPr="00F316CC">
        <w:t>having</w:t>
      </w:r>
      <w:r w:rsidR="006C6F09">
        <w:t xml:space="preserve"> </w:t>
      </w:r>
      <w:r w:rsidRPr="00F316CC">
        <w:t>general</w:t>
      </w:r>
      <w:r w:rsidR="006C6F09">
        <w:t xml:space="preserve"> </w:t>
      </w:r>
      <w:r w:rsidRPr="00F316CC">
        <w:t>circulation</w:t>
      </w:r>
      <w:r w:rsidR="006C6F09">
        <w:t xml:space="preserve"> </w:t>
      </w:r>
      <w:r w:rsidRPr="00F316CC">
        <w:t>in</w:t>
      </w:r>
      <w:r w:rsidR="006C6F09">
        <w:t xml:space="preserve"> </w:t>
      </w:r>
      <w:r w:rsidRPr="00F316CC">
        <w:t>the</w:t>
      </w:r>
      <w:r w:rsidR="006C6F09">
        <w:t xml:space="preserve"> </w:t>
      </w:r>
      <w:r w:rsidRPr="00F316CC">
        <w:t>are</w:t>
      </w:r>
      <w:r>
        <w:t>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The</w:t>
      </w:r>
      <w:r w:rsidR="006C6F09">
        <w:t xml:space="preserve"> </w:t>
      </w:r>
      <w:r>
        <w:t>notice</w:t>
      </w:r>
      <w:r w:rsidR="006C6F09">
        <w:t xml:space="preserve"> </w:t>
      </w:r>
      <w:r>
        <w:t>can</w:t>
      </w:r>
      <w:r w:rsidR="006C6F09">
        <w:t xml:space="preserve"> </w:t>
      </w:r>
      <w:r>
        <w:t>be</w:t>
      </w:r>
      <w:r w:rsidR="006C6F09">
        <w:t xml:space="preserve"> </w:t>
      </w:r>
      <w:r>
        <w:t>published</w:t>
      </w:r>
      <w:r w:rsidR="006C6F09">
        <w:t xml:space="preserve"> </w:t>
      </w:r>
      <w:r>
        <w:t>in</w:t>
      </w:r>
      <w:r w:rsidR="006C6F09">
        <w:t xml:space="preserve"> </w:t>
      </w:r>
      <w:r>
        <w:t>any</w:t>
      </w:r>
      <w:r w:rsidR="006C6F09">
        <w:t xml:space="preserve"> </w:t>
      </w:r>
      <w:r>
        <w:t>section</w:t>
      </w:r>
      <w:r w:rsidR="006C6F09">
        <w:t xml:space="preserve"> </w:t>
      </w:r>
      <w:r>
        <w:t>of</w:t>
      </w:r>
      <w:r w:rsidR="006C6F09">
        <w:t xml:space="preserve"> </w:t>
      </w:r>
      <w:r>
        <w:t>the</w:t>
      </w:r>
      <w:r w:rsidR="006C6F09">
        <w:t xml:space="preserve"> </w:t>
      </w:r>
      <w:r>
        <w:t>newspaper,</w:t>
      </w:r>
      <w:r w:rsidR="006C6F09">
        <w:t xml:space="preserve"> </w:t>
      </w:r>
      <w:r>
        <w:t>although</w:t>
      </w:r>
      <w:r w:rsidR="006C6F09">
        <w:t xml:space="preserve"> </w:t>
      </w:r>
      <w:r>
        <w:t>it</w:t>
      </w:r>
      <w:r w:rsidR="006C6F09">
        <w:t xml:space="preserve"> </w:t>
      </w:r>
      <w:r>
        <w:t>is</w:t>
      </w:r>
      <w:r w:rsidR="006C6F09">
        <w:t xml:space="preserve"> </w:t>
      </w:r>
      <w:r>
        <w:t>recommended</w:t>
      </w:r>
      <w:r w:rsidR="006C6F09">
        <w:t xml:space="preserve"> </w:t>
      </w:r>
      <w:r>
        <w:t>that</w:t>
      </w:r>
      <w:r w:rsidR="006C6F09">
        <w:t xml:space="preserve"> </w:t>
      </w:r>
      <w:r>
        <w:t>the</w:t>
      </w:r>
      <w:r w:rsidR="006C6F09">
        <w:t xml:space="preserve"> </w:t>
      </w:r>
      <w:r>
        <w:t>notice</w:t>
      </w:r>
      <w:r w:rsidR="006C6F09">
        <w:t xml:space="preserve"> </w:t>
      </w:r>
      <w:r>
        <w:t>not</w:t>
      </w:r>
      <w:r w:rsidR="006C6F09">
        <w:t xml:space="preserve"> </w:t>
      </w:r>
      <w:r>
        <w:t>be</w:t>
      </w:r>
      <w:r w:rsidR="006C6F09">
        <w:t xml:space="preserve"> </w:t>
      </w:r>
      <w:r>
        <w:t>published</w:t>
      </w:r>
      <w:r w:rsidR="006C6F09">
        <w:t xml:space="preserve"> </w:t>
      </w:r>
      <w:r>
        <w:t>in</w:t>
      </w:r>
      <w:r w:rsidR="006C6F09">
        <w:t xml:space="preserve"> </w:t>
      </w:r>
      <w:r>
        <w:t>the</w:t>
      </w:r>
      <w:r w:rsidR="006C6F09">
        <w:t xml:space="preserve"> </w:t>
      </w:r>
      <w:r>
        <w:t>legal</w:t>
      </w:r>
      <w:r w:rsidR="006C6F09">
        <w:t xml:space="preserve"> </w:t>
      </w:r>
      <w:r>
        <w:t>notices</w:t>
      </w:r>
      <w:r w:rsidR="006C6F09">
        <w:t xml:space="preserve"> </w:t>
      </w:r>
      <w:r>
        <w:t>section.</w:t>
      </w:r>
      <w:r w:rsidR="006C6F09">
        <w:t xml:space="preserve"> </w:t>
      </w:r>
      <w:r>
        <w:t>If</w:t>
      </w:r>
      <w:r w:rsidR="006C6F09">
        <w:t xml:space="preserve"> </w:t>
      </w:r>
      <w:r>
        <w:t>there</w:t>
      </w:r>
      <w:r w:rsidR="006C6F09">
        <w:t xml:space="preserve"> </w:t>
      </w:r>
      <w:r>
        <w:t>is</w:t>
      </w:r>
      <w:r w:rsidR="006C6F09">
        <w:t xml:space="preserve"> </w:t>
      </w:r>
      <w:r>
        <w:t>no</w:t>
      </w:r>
      <w:r w:rsidR="006C6F09">
        <w:t xml:space="preserve"> </w:t>
      </w:r>
      <w:r>
        <w:t>local</w:t>
      </w:r>
      <w:r w:rsidR="006C6F09">
        <w:t xml:space="preserve"> </w:t>
      </w:r>
      <w:r>
        <w:t>newspaper</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the</w:t>
      </w:r>
      <w:r w:rsidR="006C6F09">
        <w:t xml:space="preserve"> </w:t>
      </w:r>
      <w:r>
        <w:t>project</w:t>
      </w:r>
      <w:r w:rsidR="006C6F09">
        <w:t xml:space="preserve"> </w:t>
      </w:r>
      <w:r>
        <w:t>sponsor</w:t>
      </w:r>
      <w:r w:rsidR="006C6F09">
        <w:t xml:space="preserve"> </w:t>
      </w:r>
      <w:r>
        <w:t>publishes</w:t>
      </w:r>
      <w:r w:rsidR="006C6F09">
        <w:t xml:space="preserve"> </w:t>
      </w:r>
      <w:r>
        <w:t>the</w:t>
      </w:r>
      <w:r w:rsidR="006C6F09">
        <w:t xml:space="preserve"> </w:t>
      </w:r>
      <w:r>
        <w:t>NOA</w:t>
      </w:r>
      <w:r w:rsidR="006C6F09">
        <w:t xml:space="preserve"> </w:t>
      </w:r>
      <w:r>
        <w:t>in</w:t>
      </w:r>
      <w:r w:rsidR="006C6F09">
        <w:t xml:space="preserve"> </w:t>
      </w:r>
      <w:r>
        <w:t>a</w:t>
      </w:r>
      <w:r w:rsidR="006C6F09">
        <w:t xml:space="preserve"> </w:t>
      </w:r>
      <w:r>
        <w:t>newspaper</w:t>
      </w:r>
      <w:r w:rsidR="006C6F09">
        <w:t xml:space="preserve"> </w:t>
      </w:r>
      <w:r>
        <w:t>having</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in</w:t>
      </w:r>
      <w:r w:rsidR="006C6F09">
        <w:t xml:space="preserve"> </w:t>
      </w:r>
      <w:r>
        <w:t>a</w:t>
      </w:r>
      <w:r w:rsidR="006C6F09">
        <w:t xml:space="preserve"> </w:t>
      </w:r>
      <w:r>
        <w:t>remote</w:t>
      </w:r>
      <w:r w:rsidR="006C6F09">
        <w:t xml:space="preserve"> </w:t>
      </w:r>
      <w:r>
        <w:t>area</w:t>
      </w:r>
      <w:r w:rsidR="006C6F09">
        <w:t xml:space="preserve"> </w:t>
      </w:r>
      <w:r>
        <w:t>with</w:t>
      </w:r>
      <w:r w:rsidR="006C6F09">
        <w:t xml:space="preserve"> </w:t>
      </w:r>
      <w:r>
        <w:t>no</w:t>
      </w:r>
      <w:r w:rsidR="006C6F09">
        <w:t xml:space="preserve"> </w:t>
      </w:r>
      <w:r>
        <w:t>newspapers</w:t>
      </w:r>
      <w:r w:rsidR="006C6F09">
        <w:t xml:space="preserve"> </w:t>
      </w:r>
      <w:r>
        <w:t>in</w:t>
      </w:r>
      <w:r w:rsidR="006C6F09">
        <w:t xml:space="preserve"> </w:t>
      </w:r>
      <w:r>
        <w:t>general</w:t>
      </w:r>
      <w:r w:rsidR="006C6F09">
        <w:t xml:space="preserve"> </w:t>
      </w:r>
      <w:r>
        <w:t>circulation</w:t>
      </w:r>
      <w:r w:rsidR="006C6F09">
        <w:t xml:space="preserve"> </w:t>
      </w:r>
      <w:r>
        <w:t>in</w:t>
      </w:r>
      <w:r w:rsidR="006C6F09">
        <w:t xml:space="preserve"> </w:t>
      </w:r>
      <w:r>
        <w:t>the</w:t>
      </w:r>
      <w:r w:rsidR="006C6F09">
        <w:t xml:space="preserve"> </w:t>
      </w:r>
      <w:r>
        <w:t>area</w:t>
      </w:r>
      <w:r w:rsidR="006C6F09">
        <w:t xml:space="preserve"> </w:t>
      </w:r>
      <w:r>
        <w:t>affected</w:t>
      </w:r>
      <w:r w:rsidR="006C6F09">
        <w:t xml:space="preserve"> </w:t>
      </w:r>
      <w:r>
        <w:t>by</w:t>
      </w:r>
      <w:r w:rsidR="006C6F09">
        <w:t xml:space="preserve"> </w:t>
      </w:r>
      <w:r>
        <w:t>the</w:t>
      </w:r>
      <w:r w:rsidR="006C6F09">
        <w:t xml:space="preserve"> </w:t>
      </w:r>
      <w:r>
        <w:t>project,</w:t>
      </w:r>
      <w:r w:rsidR="006C6F09">
        <w:t xml:space="preserve"> </w:t>
      </w:r>
      <w:r>
        <w:t>or</w:t>
      </w:r>
      <w:r w:rsidR="006C6F09">
        <w:t xml:space="preserve"> </w:t>
      </w:r>
      <w:r>
        <w:t>if</w:t>
      </w:r>
      <w:r w:rsidR="006C6F09">
        <w:t xml:space="preserve"> </w:t>
      </w:r>
      <w:r>
        <w:t>the</w:t>
      </w:r>
      <w:r w:rsidR="006C6F09">
        <w:t xml:space="preserve"> </w:t>
      </w:r>
      <w:r>
        <w:t>project</w:t>
      </w:r>
      <w:r w:rsidR="006C6F09">
        <w:t xml:space="preserve"> </w:t>
      </w:r>
      <w:r>
        <w:t>is</w:t>
      </w:r>
      <w:r w:rsidR="006C6F09">
        <w:t xml:space="preserve"> </w:t>
      </w:r>
      <w:r>
        <w:t>in</w:t>
      </w:r>
      <w:r w:rsidR="006C6F09">
        <w:t xml:space="preserve"> </w:t>
      </w:r>
      <w:r>
        <w:t>a</w:t>
      </w:r>
      <w:r w:rsidR="006C6F09">
        <w:t xml:space="preserve"> </w:t>
      </w:r>
      <w:r>
        <w:t>county</w:t>
      </w:r>
      <w:r w:rsidR="006C6F09">
        <w:t xml:space="preserve"> </w:t>
      </w:r>
      <w:r>
        <w:t>with</w:t>
      </w:r>
      <w:r w:rsidR="006C6F09">
        <w:t xml:space="preserve"> </w:t>
      </w:r>
      <w:r>
        <w:t>a</w:t>
      </w:r>
      <w:r w:rsidR="006C6F09">
        <w:t xml:space="preserve"> </w:t>
      </w:r>
      <w:r>
        <w:t>population</w:t>
      </w:r>
      <w:r w:rsidR="006C6F09">
        <w:t xml:space="preserve"> </w:t>
      </w:r>
      <w:r>
        <w:t>of</w:t>
      </w:r>
      <w:r w:rsidR="006C6F09">
        <w:t xml:space="preserve"> </w:t>
      </w:r>
      <w:r>
        <w:t>at</w:t>
      </w:r>
      <w:r w:rsidR="006C6F09">
        <w:t xml:space="preserve"> </w:t>
      </w:r>
      <w:r>
        <w:t>least</w:t>
      </w:r>
      <w:r w:rsidR="006C6F09">
        <w:t xml:space="preserve"> </w:t>
      </w:r>
      <w:r>
        <w:t>30,000</w:t>
      </w:r>
      <w:r w:rsidR="006C6F09">
        <w:t xml:space="preserve"> </w:t>
      </w:r>
      <w:r>
        <w:t>and</w:t>
      </w:r>
      <w:r w:rsidR="006C6F09">
        <w:t xml:space="preserve"> </w:t>
      </w:r>
      <w:r>
        <w:t>not</w:t>
      </w:r>
      <w:r w:rsidR="006C6F09">
        <w:t xml:space="preserve"> </w:t>
      </w:r>
      <w:r>
        <w:t>more</w:t>
      </w:r>
      <w:r w:rsidR="006C6F09">
        <w:t xml:space="preserve"> </w:t>
      </w:r>
      <w:r>
        <w:t>than</w:t>
      </w:r>
      <w:r w:rsidR="006C6F09">
        <w:t xml:space="preserve"> </w:t>
      </w:r>
      <w:r>
        <w:t>42,000</w:t>
      </w:r>
      <w:r w:rsidR="006C6F09">
        <w:t xml:space="preserve"> </w:t>
      </w:r>
      <w:r>
        <w:t>that</w:t>
      </w:r>
      <w:r w:rsidR="006C6F09">
        <w:t xml:space="preserve"> </w:t>
      </w:r>
      <w:r>
        <w:t>borders</w:t>
      </w:r>
      <w:r w:rsidR="006C6F09">
        <w:t xml:space="preserve"> </w:t>
      </w:r>
      <w:r>
        <w:t>the</w:t>
      </w:r>
      <w:r w:rsidR="006C6F09">
        <w:t xml:space="preserve"> </w:t>
      </w:r>
      <w:r>
        <w:t>Red</w:t>
      </w:r>
      <w:r w:rsidR="006C6F09">
        <w:t xml:space="preserve"> </w:t>
      </w:r>
      <w:r>
        <w:t>River</w:t>
      </w:r>
      <w:r w:rsidR="006C6F09">
        <w:t xml:space="preserve"> </w:t>
      </w:r>
      <w:r>
        <w:t>(currently</w:t>
      </w:r>
      <w:r w:rsidR="006C6F09">
        <w:t xml:space="preserve"> </w:t>
      </w:r>
      <w:r>
        <w:t>only</w:t>
      </w:r>
      <w:r w:rsidR="006C6F09">
        <w:t xml:space="preserve"> </w:t>
      </w:r>
      <w:r>
        <w:t>Fannin</w:t>
      </w:r>
      <w:r w:rsidR="006C6F09">
        <w:t xml:space="preserve"> </w:t>
      </w:r>
      <w:r>
        <w:t>County</w:t>
      </w:r>
      <w:r w:rsidR="006C6F09">
        <w:t xml:space="preserve"> </w:t>
      </w:r>
      <w:r>
        <w:t>meets</w:t>
      </w:r>
      <w:r w:rsidR="006C6F09">
        <w:t xml:space="preserve"> </w:t>
      </w:r>
      <w:r>
        <w:t>this</w:t>
      </w:r>
      <w:r w:rsidR="006C6F09">
        <w:t xml:space="preserve"> </w:t>
      </w:r>
      <w:r>
        <w:t>definition),</w:t>
      </w:r>
      <w:r w:rsidR="006C6F09">
        <w:t xml:space="preserve"> </w:t>
      </w:r>
      <w:r>
        <w:t>then</w:t>
      </w:r>
      <w:r w:rsidR="006C6F09">
        <w:t xml:space="preserve"> </w:t>
      </w:r>
      <w:r>
        <w:t>the</w:t>
      </w:r>
      <w:r w:rsidR="006C6F09">
        <w:t xml:space="preserve"> </w:t>
      </w:r>
      <w:r>
        <w:t>notice</w:t>
      </w:r>
      <w:r w:rsidR="006C6F09">
        <w:t xml:space="preserve"> </w:t>
      </w:r>
      <w:r>
        <w:t>may</w:t>
      </w:r>
      <w:r w:rsidR="006C6F09">
        <w:t xml:space="preserve"> </w:t>
      </w:r>
      <w:r>
        <w:t>be</w:t>
      </w:r>
      <w:r w:rsidR="006C6F09">
        <w:t xml:space="preserve"> </w:t>
      </w:r>
      <w:r>
        <w:t>published</w:t>
      </w:r>
      <w:r w:rsidR="006C6F09">
        <w:t xml:space="preserve"> </w:t>
      </w:r>
      <w:r>
        <w:t>in</w:t>
      </w:r>
      <w:r w:rsidR="006C6F09">
        <w:t xml:space="preserve"> </w:t>
      </w:r>
      <w:r>
        <w:t>a</w:t>
      </w:r>
      <w:r w:rsidR="006C6F09">
        <w:t xml:space="preserve"> </w:t>
      </w:r>
      <w:r>
        <w:t>digital</w:t>
      </w:r>
      <w:r w:rsidR="006C6F09">
        <w:t xml:space="preserve"> </w:t>
      </w:r>
      <w:r>
        <w:t>newspaper</w:t>
      </w:r>
      <w:r w:rsidR="006C6F09">
        <w:t xml:space="preserve"> </w:t>
      </w:r>
      <w:r>
        <w:t>that</w:t>
      </w:r>
      <w:r w:rsidR="006C6F09">
        <w:t xml:space="preserve"> </w:t>
      </w:r>
      <w:r>
        <w:t>meets</w:t>
      </w:r>
      <w:r w:rsidR="006C6F09">
        <w:t xml:space="preserve"> </w:t>
      </w:r>
      <w:r>
        <w:t>certain</w:t>
      </w:r>
      <w:r w:rsidR="006C6F09">
        <w:t xml:space="preserve"> </w:t>
      </w:r>
      <w:r>
        <w:t>requirements</w:t>
      </w:r>
      <w:r w:rsidR="006C6F09">
        <w:t xml:space="preserve"> </w:t>
      </w:r>
      <w:r>
        <w:t>–</w:t>
      </w:r>
      <w:r w:rsidR="006C6F09">
        <w:t xml:space="preserve"> </w:t>
      </w:r>
      <w:r>
        <w:t>see</w:t>
      </w:r>
      <w:r w:rsidR="006C6F09">
        <w:t xml:space="preserve"> </w:t>
      </w:r>
      <w:r w:rsidRPr="00703CD5">
        <w:t>Texas</w:t>
      </w:r>
      <w:r w:rsidR="006C6F09">
        <w:t xml:space="preserve"> </w:t>
      </w:r>
      <w:r w:rsidRPr="00703CD5">
        <w:t>Government</w:t>
      </w:r>
      <w:r w:rsidR="006C6F09">
        <w:t xml:space="preserve"> </w:t>
      </w:r>
      <w:r w:rsidRPr="00703CD5">
        <w:t>Code</w:t>
      </w:r>
      <w:r w:rsidR="006C6F09">
        <w:t xml:space="preserve"> </w:t>
      </w:r>
      <w:r>
        <w:t>2051.0441(b-1).</w:t>
      </w:r>
    </w:p>
    <w:p w14:paraId="05DDF2BC" w14:textId="42EA71C9" w:rsidR="00457754" w:rsidRPr="00703CD5" w:rsidRDefault="00457754" w:rsidP="00457754">
      <w:pPr>
        <w:pStyle w:val="ListBullet"/>
      </w:pPr>
      <w:r w:rsidRPr="00F316CC">
        <w:t>Copies</w:t>
      </w:r>
      <w:r w:rsidR="006C6F09">
        <w:t xml:space="preserve"> </w:t>
      </w:r>
      <w:r w:rsidRPr="00F316CC">
        <w:t>of</w:t>
      </w:r>
      <w:r w:rsidR="006C6F09">
        <w:t xml:space="preserve"> </w:t>
      </w:r>
      <w:r w:rsidRPr="00F316CC">
        <w:t>the</w:t>
      </w:r>
      <w:r w:rsidR="006C6F09">
        <w:t xml:space="preserve"> </w:t>
      </w:r>
      <w:r w:rsidRPr="00F316CC">
        <w:t>FEIS</w:t>
      </w:r>
      <w:r w:rsidR="006C6F09">
        <w:t xml:space="preserve"> </w:t>
      </w:r>
      <w:r>
        <w:t>and</w:t>
      </w:r>
      <w:r w:rsidR="006C6F09">
        <w:t xml:space="preserve"> </w:t>
      </w:r>
      <w:r w:rsidRPr="00F316CC">
        <w:t>ROD</w:t>
      </w:r>
      <w:r w:rsidR="006C6F09">
        <w:t xml:space="preserve"> </w:t>
      </w:r>
      <w:r w:rsidRPr="00F316CC">
        <w:t>or</w:t>
      </w:r>
      <w:r w:rsidR="006C6F09">
        <w:t xml:space="preserve"> </w:t>
      </w:r>
      <w:r w:rsidRPr="00F316CC">
        <w:t>FEIS</w:t>
      </w:r>
      <w:r w:rsidR="006C6F09">
        <w:t xml:space="preserve"> </w:t>
      </w:r>
      <w:r w:rsidRPr="00F316CC">
        <w:t>will</w:t>
      </w:r>
      <w:r w:rsidR="006C6F09">
        <w:t xml:space="preserve"> </w:t>
      </w:r>
      <w:r w:rsidRPr="00F316CC">
        <w:t>be</w:t>
      </w:r>
      <w:r w:rsidR="006C6F09">
        <w:t xml:space="preserve"> </w:t>
      </w:r>
      <w:r w:rsidRPr="00F316CC">
        <w:t>made</w:t>
      </w:r>
      <w:r w:rsidR="006C6F09">
        <w:t xml:space="preserve"> </w:t>
      </w:r>
      <w:r w:rsidRPr="00F316CC">
        <w:t>available</w:t>
      </w:r>
      <w:r w:rsidR="006C6F09">
        <w:t xml:space="preserve"> </w:t>
      </w:r>
      <w:r w:rsidRPr="00F316CC">
        <w:t>free</w:t>
      </w:r>
      <w:r w:rsidR="006C6F09">
        <w:t xml:space="preserve"> </w:t>
      </w:r>
      <w:r w:rsidRPr="00F316CC">
        <w:t>of</w:t>
      </w:r>
      <w:r w:rsidR="006C6F09">
        <w:t xml:space="preserve"> </w:t>
      </w:r>
      <w:r w:rsidRPr="00F316CC">
        <w:t>charge</w:t>
      </w:r>
      <w:r w:rsidR="006C6F09">
        <w:t xml:space="preserve"> </w:t>
      </w:r>
      <w:r w:rsidRPr="00F316CC">
        <w:t>or</w:t>
      </w:r>
      <w:r w:rsidR="006C6F09">
        <w:t xml:space="preserve"> </w:t>
      </w:r>
      <w:r w:rsidRPr="00F316CC">
        <w:t>a</w:t>
      </w:r>
      <w:r w:rsidR="006C6F09">
        <w:t xml:space="preserve"> </w:t>
      </w:r>
      <w:r w:rsidRPr="00F316CC">
        <w:t>fee</w:t>
      </w:r>
      <w:r w:rsidR="006C6F09">
        <w:t xml:space="preserve"> </w:t>
      </w:r>
      <w:r w:rsidRPr="00F316CC">
        <w:t>not</w:t>
      </w:r>
      <w:r w:rsidR="006C6F09">
        <w:t xml:space="preserve"> </w:t>
      </w:r>
      <w:r w:rsidRPr="00F316CC">
        <w:t>more</w:t>
      </w:r>
      <w:r w:rsidR="006C6F09">
        <w:t xml:space="preserve"> </w:t>
      </w:r>
      <w:r w:rsidRPr="00F316CC">
        <w:t>than</w:t>
      </w:r>
      <w:r w:rsidR="006C6F09">
        <w:t xml:space="preserve"> </w:t>
      </w:r>
      <w:r w:rsidRPr="00F316CC">
        <w:t>the</w:t>
      </w:r>
      <w:r w:rsidR="006C6F09">
        <w:t xml:space="preserve"> </w:t>
      </w:r>
      <w:r w:rsidRPr="00F316CC">
        <w:t>actual</w:t>
      </w:r>
      <w:r w:rsidR="006C6F09">
        <w:t xml:space="preserve"> </w:t>
      </w:r>
      <w:r w:rsidRPr="00F316CC">
        <w:t>cost</w:t>
      </w:r>
      <w:r w:rsidR="006C6F09">
        <w:t xml:space="preserve"> </w:t>
      </w:r>
      <w:r w:rsidRPr="00F316CC">
        <w:t>of</w:t>
      </w:r>
      <w:r w:rsidR="006C6F09">
        <w:t xml:space="preserve"> </w:t>
      </w:r>
      <w:r w:rsidRPr="00F316CC">
        <w:t>reproducing</w:t>
      </w:r>
      <w:r w:rsidR="006C6F09">
        <w:t xml:space="preserve"> </w:t>
      </w:r>
      <w:r w:rsidRPr="00F316CC">
        <w:t>the</w:t>
      </w:r>
      <w:r w:rsidR="006C6F09">
        <w:t xml:space="preserve"> </w:t>
      </w:r>
      <w:r w:rsidRPr="00F316CC">
        <w:t>copy</w:t>
      </w:r>
      <w:r w:rsidR="006C6F09">
        <w:t xml:space="preserve"> </w:t>
      </w:r>
      <w:r w:rsidRPr="00332D95">
        <w:t>(</w:t>
      </w:r>
      <w:hyperlink r:id="rId76" w:anchor="se23.1.771_1125" w:history="1">
        <w:r w:rsidRPr="00332D95">
          <w:rPr>
            <w:rStyle w:val="Hyperlink"/>
          </w:rPr>
          <w:t>23</w:t>
        </w:r>
        <w:r w:rsidR="006C6F09">
          <w:rPr>
            <w:rStyle w:val="Hyperlink"/>
          </w:rPr>
          <w:t xml:space="preserve"> </w:t>
        </w:r>
        <w:r w:rsidRPr="00332D95">
          <w:rPr>
            <w:rStyle w:val="Hyperlink"/>
          </w:rPr>
          <w:t>CFR</w:t>
        </w:r>
        <w:r w:rsidR="006C6F09">
          <w:rPr>
            <w:rStyle w:val="Hyperlink"/>
          </w:rPr>
          <w:t xml:space="preserve"> </w:t>
        </w:r>
        <w:r w:rsidRPr="00332D95">
          <w:rPr>
            <w:rStyle w:val="Hyperlink"/>
          </w:rPr>
          <w:t>771.125(e)</w:t>
        </w:r>
      </w:hyperlink>
      <w:r w:rsidRPr="00332D95">
        <w:t>)</w:t>
      </w:r>
      <w:r w:rsidRPr="00F316CC">
        <w:t>.</w:t>
      </w:r>
      <w:r w:rsidR="006C6F09">
        <w:t xml:space="preserve"> </w:t>
      </w:r>
      <w:r w:rsidRPr="00F316CC">
        <w:t>Prior</w:t>
      </w:r>
      <w:r w:rsidR="006C6F09">
        <w:t xml:space="preserve"> </w:t>
      </w:r>
      <w:r w:rsidRPr="00F316CC">
        <w:t>to</w:t>
      </w:r>
      <w:r w:rsidR="006C6F09">
        <w:t xml:space="preserve"> </w:t>
      </w:r>
      <w:r w:rsidRPr="00F316CC">
        <w:t>transmitting</w:t>
      </w:r>
      <w:r w:rsidR="006C6F09">
        <w:t xml:space="preserve"> </w:t>
      </w:r>
      <w:r w:rsidRPr="00F316CC">
        <w:t>the</w:t>
      </w:r>
      <w:r w:rsidR="006C6F09">
        <w:t xml:space="preserve"> </w:t>
      </w:r>
      <w:r w:rsidRPr="00F316CC">
        <w:t>FEIS</w:t>
      </w:r>
      <w:r w:rsidR="006C6F09">
        <w:t xml:space="preserve"> </w:t>
      </w:r>
      <w:r>
        <w:t>and</w:t>
      </w:r>
      <w:r w:rsidR="006C6F09">
        <w:t xml:space="preserve"> </w:t>
      </w:r>
      <w:r w:rsidRPr="00F316CC">
        <w:t>ROD</w:t>
      </w:r>
      <w:r w:rsidR="006C6F09">
        <w:t xml:space="preserve"> </w:t>
      </w:r>
      <w:r w:rsidRPr="00F316CC">
        <w:t>to</w:t>
      </w:r>
      <w:r w:rsidR="006C6F09">
        <w:t xml:space="preserve"> </w:t>
      </w:r>
      <w:r w:rsidRPr="00F316CC">
        <w:t>EPA</w:t>
      </w:r>
      <w:r w:rsidR="006C6F09">
        <w:t xml:space="preserve"> </w:t>
      </w:r>
      <w:r w:rsidRPr="00F316CC">
        <w:t>using</w:t>
      </w:r>
      <w:r w:rsidR="006C6F09">
        <w:t xml:space="preserve"> </w:t>
      </w:r>
      <w:r w:rsidRPr="00F316CC">
        <w:t>e-NEPA,</w:t>
      </w:r>
      <w:r w:rsidR="006C6F09">
        <w:t xml:space="preserve"> </w:t>
      </w:r>
      <w:r w:rsidRPr="00F316CC">
        <w:t>the</w:t>
      </w:r>
      <w:r w:rsidR="006C6F09">
        <w:t xml:space="preserve"> </w:t>
      </w:r>
      <w:r w:rsidRPr="00F316CC">
        <w:t>NOA</w:t>
      </w:r>
      <w:r w:rsidR="006C6F09">
        <w:t xml:space="preserve"> </w:t>
      </w:r>
      <w:r w:rsidRPr="00F316CC">
        <w:t>shall</w:t>
      </w:r>
      <w:r w:rsidR="006C6F09">
        <w:t xml:space="preserve"> </w:t>
      </w:r>
      <w:r w:rsidRPr="00F316CC">
        <w:t>be</w:t>
      </w:r>
      <w:r w:rsidR="006C6F09">
        <w:t xml:space="preserve"> </w:t>
      </w:r>
      <w:r w:rsidRPr="00F316CC">
        <w:t>sent</w:t>
      </w:r>
      <w:r w:rsidR="006C6F09">
        <w:t xml:space="preserve"> </w:t>
      </w:r>
      <w:r w:rsidRPr="00F316CC">
        <w:t>to</w:t>
      </w:r>
      <w:r w:rsidR="006C6F09">
        <w:t xml:space="preserve"> </w:t>
      </w:r>
      <w:r w:rsidRPr="00F316CC">
        <w:t>any</w:t>
      </w:r>
      <w:r w:rsidR="006C6F09">
        <w:t xml:space="preserve"> </w:t>
      </w:r>
      <w:r w:rsidRPr="00F316CC">
        <w:t>persons,</w:t>
      </w:r>
      <w:r w:rsidR="006C6F09">
        <w:t xml:space="preserve"> </w:t>
      </w:r>
      <w:r w:rsidRPr="00F316CC">
        <w:t>organizations,</w:t>
      </w:r>
      <w:r w:rsidR="006C6F09">
        <w:t xml:space="preserve"> </w:t>
      </w:r>
      <w:r w:rsidRPr="00F316CC">
        <w:t>or</w:t>
      </w:r>
      <w:r w:rsidR="006C6F09">
        <w:t xml:space="preserve"> </w:t>
      </w:r>
      <w:r w:rsidRPr="00F316CC">
        <w:t>agencies</w:t>
      </w:r>
      <w:r w:rsidR="006C6F09">
        <w:t xml:space="preserve"> </w:t>
      </w:r>
      <w:r w:rsidRPr="00F316CC">
        <w:t>that</w:t>
      </w:r>
      <w:r w:rsidR="006C6F09">
        <w:t xml:space="preserve"> </w:t>
      </w:r>
      <w:r w:rsidRPr="00F316CC">
        <w:t>made</w:t>
      </w:r>
      <w:r w:rsidR="006C6F09">
        <w:t xml:space="preserve"> </w:t>
      </w:r>
      <w:r w:rsidRPr="00F316CC">
        <w:t>substantive</w:t>
      </w:r>
      <w:r w:rsidR="006C6F09">
        <w:t xml:space="preserve"> </w:t>
      </w:r>
      <w:r w:rsidRPr="00F316CC">
        <w:t>comments</w:t>
      </w:r>
      <w:r w:rsidR="006C6F09">
        <w:t xml:space="preserve"> </w:t>
      </w:r>
      <w:r w:rsidRPr="00F316CC">
        <w:t>on</w:t>
      </w:r>
      <w:r w:rsidR="006C6F09">
        <w:t xml:space="preserve"> </w:t>
      </w:r>
      <w:r w:rsidRPr="00F316CC">
        <w:t>the</w:t>
      </w:r>
      <w:r w:rsidR="006C6F09">
        <w:t xml:space="preserve"> </w:t>
      </w:r>
      <w:r w:rsidRPr="00F316CC">
        <w:t>DEIS</w:t>
      </w:r>
      <w:r w:rsidR="006C6F09">
        <w:t xml:space="preserve"> </w:t>
      </w:r>
      <w:r w:rsidRPr="00F316CC">
        <w:t>or</w:t>
      </w:r>
      <w:r w:rsidR="006C6F09">
        <w:t xml:space="preserve"> </w:t>
      </w:r>
      <w:r w:rsidRPr="00F316CC">
        <w:t>requested</w:t>
      </w:r>
      <w:r w:rsidR="006C6F09">
        <w:t xml:space="preserve"> </w:t>
      </w:r>
      <w:r w:rsidRPr="00F316CC">
        <w:t>a</w:t>
      </w:r>
      <w:r w:rsidR="006C6F09">
        <w:t xml:space="preserve"> </w:t>
      </w:r>
      <w:r w:rsidRPr="00F316CC">
        <w:t>copy</w:t>
      </w:r>
      <w:r w:rsidR="006C6F09">
        <w:t xml:space="preserve"> </w:t>
      </w:r>
      <w:r w:rsidRPr="00F316CC">
        <w:t>(23</w:t>
      </w:r>
      <w:r w:rsidR="006C6F09">
        <w:t xml:space="preserve"> </w:t>
      </w:r>
      <w:r w:rsidRPr="00703CD5">
        <w:t>CFR</w:t>
      </w:r>
      <w:r w:rsidR="006C6F09">
        <w:t xml:space="preserve"> </w:t>
      </w:r>
      <w:r w:rsidRPr="00703CD5">
        <w:t>771.125(f)).</w:t>
      </w:r>
      <w:r w:rsidR="006C6F09">
        <w:t xml:space="preserve"> </w:t>
      </w:r>
    </w:p>
    <w:p w14:paraId="2EB5B71E" w14:textId="183B9FEB" w:rsidR="00457754" w:rsidRDefault="00457754" w:rsidP="00457754">
      <w:pPr>
        <w:pStyle w:val="ListBullet"/>
      </w:pPr>
      <w:r w:rsidRPr="00F316CC">
        <w:t>A</w:t>
      </w:r>
      <w:r w:rsidR="006C6F09">
        <w:t xml:space="preserve"> </w:t>
      </w:r>
      <w:r w:rsidRPr="00F316CC">
        <w:t>copy</w:t>
      </w:r>
      <w:r w:rsidR="006C6F09">
        <w:t xml:space="preserve"> </w:t>
      </w:r>
      <w:r w:rsidRPr="00F316CC">
        <w:t>of</w:t>
      </w:r>
      <w:r w:rsidR="006C6F09">
        <w:t xml:space="preserve"> </w:t>
      </w:r>
      <w:r w:rsidRPr="00F316CC">
        <w:t>the</w:t>
      </w:r>
      <w:r w:rsidR="006C6F09">
        <w:t xml:space="preserve"> </w:t>
      </w:r>
      <w:r w:rsidRPr="00F316CC">
        <w:t>FEIS</w:t>
      </w:r>
      <w:r w:rsidR="006C6F09">
        <w:t xml:space="preserve"> </w:t>
      </w:r>
      <w:r>
        <w:t>and</w:t>
      </w:r>
      <w:r w:rsidR="006C6F09">
        <w:t xml:space="preserve"> </w:t>
      </w:r>
      <w:r w:rsidRPr="00F316CC">
        <w:t>ROD</w:t>
      </w:r>
      <w:r w:rsidR="006C6F09">
        <w:t xml:space="preserve"> </w:t>
      </w:r>
      <w:r w:rsidRPr="00F316CC">
        <w:t>or</w:t>
      </w:r>
      <w:r w:rsidR="006C6F09">
        <w:t xml:space="preserve"> </w:t>
      </w:r>
      <w:r w:rsidRPr="00F316CC">
        <w:t>FEIS</w:t>
      </w:r>
      <w:r w:rsidR="006C6F09">
        <w:t xml:space="preserve"> </w:t>
      </w:r>
      <w:r w:rsidRPr="00F316CC">
        <w:t>also</w:t>
      </w:r>
      <w:r w:rsidR="006C6F09">
        <w:t xml:space="preserve"> </w:t>
      </w:r>
      <w:r w:rsidRPr="00F316CC">
        <w:t>must</w:t>
      </w:r>
      <w:r w:rsidR="006C6F09">
        <w:t xml:space="preserve"> </w:t>
      </w:r>
      <w:r w:rsidRPr="00F316CC">
        <w:t>be</w:t>
      </w:r>
      <w:r w:rsidR="006C6F09">
        <w:t xml:space="preserve"> </w:t>
      </w:r>
      <w:r w:rsidRPr="00F316CC">
        <w:t>made</w:t>
      </w:r>
      <w:r w:rsidR="006C6F09">
        <w:t xml:space="preserve"> </w:t>
      </w:r>
      <w:r w:rsidRPr="00F316CC">
        <w:t>available</w:t>
      </w:r>
      <w:r w:rsidR="006C6F09">
        <w:t xml:space="preserve"> </w:t>
      </w:r>
      <w:r w:rsidRPr="00F316CC">
        <w:t>for</w:t>
      </w:r>
      <w:r w:rsidR="006C6F09">
        <w:t xml:space="preserve"> </w:t>
      </w:r>
      <w:r w:rsidRPr="00F316CC">
        <w:t>public</w:t>
      </w:r>
      <w:r w:rsidR="006C6F09">
        <w:t xml:space="preserve"> </w:t>
      </w:r>
      <w:r w:rsidRPr="00F316CC">
        <w:t>review</w:t>
      </w:r>
      <w:r w:rsidR="006C6F09">
        <w:t xml:space="preserve"> </w:t>
      </w:r>
      <w:r w:rsidRPr="00F316CC">
        <w:t>at</w:t>
      </w:r>
      <w:r w:rsidR="006C6F09">
        <w:t xml:space="preserve"> </w:t>
      </w:r>
      <w:r w:rsidRPr="00F316CC">
        <w:t>institutions</w:t>
      </w:r>
      <w:r w:rsidR="006C6F09">
        <w:t xml:space="preserve"> </w:t>
      </w:r>
      <w:r w:rsidRPr="00F316CC">
        <w:t>such</w:t>
      </w:r>
      <w:r w:rsidR="006C6F09">
        <w:t xml:space="preserve"> </w:t>
      </w:r>
      <w:r w:rsidRPr="00F316CC">
        <w:t>as</w:t>
      </w:r>
      <w:r w:rsidR="006C6F09">
        <w:t xml:space="preserve"> </w:t>
      </w:r>
      <w:r w:rsidRPr="00F316CC">
        <w:t>local</w:t>
      </w:r>
      <w:r w:rsidR="006C6F09">
        <w:t xml:space="preserve"> </w:t>
      </w:r>
      <w:r w:rsidRPr="00F316CC">
        <w:t>government</w:t>
      </w:r>
      <w:r w:rsidR="006C6F09">
        <w:t xml:space="preserve"> </w:t>
      </w:r>
      <w:r w:rsidRPr="00F316CC">
        <w:t>offices,</w:t>
      </w:r>
      <w:r w:rsidR="006C6F09">
        <w:t xml:space="preserve"> </w:t>
      </w:r>
      <w:r w:rsidRPr="00F316CC">
        <w:t>libraries,</w:t>
      </w:r>
      <w:r w:rsidR="006C6F09">
        <w:t xml:space="preserve"> </w:t>
      </w:r>
      <w:r w:rsidRPr="00F316CC">
        <w:t>and</w:t>
      </w:r>
      <w:r w:rsidR="006C6F09">
        <w:t xml:space="preserve"> </w:t>
      </w:r>
      <w:r w:rsidRPr="00F316CC">
        <w:t>schools,</w:t>
      </w:r>
      <w:r w:rsidR="006C6F09">
        <w:t xml:space="preserve"> </w:t>
      </w:r>
      <w:r w:rsidRPr="00F316CC">
        <w:t>as</w:t>
      </w:r>
      <w:r w:rsidR="006C6F09">
        <w:t xml:space="preserve"> </w:t>
      </w:r>
      <w:r w:rsidRPr="00F316CC">
        <w:t>appropriate</w:t>
      </w:r>
      <w:r w:rsidR="006C6F09">
        <w:t xml:space="preserve"> </w:t>
      </w:r>
      <w:r w:rsidRPr="00F316CC">
        <w:t>(</w:t>
      </w:r>
      <w:r w:rsidRPr="00703CD5">
        <w:t>23</w:t>
      </w:r>
      <w:r w:rsidR="006C6F09">
        <w:t xml:space="preserve"> </w:t>
      </w:r>
      <w:r w:rsidRPr="00703CD5">
        <w:t>CFR</w:t>
      </w:r>
      <w:r w:rsidR="006C6F09">
        <w:t xml:space="preserve"> </w:t>
      </w:r>
      <w:r w:rsidRPr="00703CD5">
        <w:t>771.12</w:t>
      </w:r>
      <w:r>
        <w:t>4</w:t>
      </w:r>
      <w:r w:rsidR="006C6F09">
        <w:t xml:space="preserve"> </w:t>
      </w:r>
      <w:r>
        <w:t>and</w:t>
      </w:r>
      <w:r w:rsidR="006C6F09">
        <w:t xml:space="preserve"> </w:t>
      </w:r>
      <w:r>
        <w:t>771.125(f)).</w:t>
      </w:r>
    </w:p>
    <w:p w14:paraId="0C3EC2CF" w14:textId="3A877D5B" w:rsidR="00457754" w:rsidRDefault="00457754" w:rsidP="00457754">
      <w:r>
        <w:t>Also,</w:t>
      </w:r>
      <w:r w:rsidR="006C6F09">
        <w:t xml:space="preserve"> </w:t>
      </w:r>
      <w:r>
        <w:t>as</w:t>
      </w:r>
      <w:r w:rsidR="006C6F09">
        <w:t xml:space="preserve"> </w:t>
      </w:r>
      <w:r>
        <w:t>instructed</w:t>
      </w:r>
      <w:r w:rsidR="006C6F09">
        <w:t xml:space="preserve"> </w:t>
      </w:r>
      <w:r>
        <w:t>by</w:t>
      </w:r>
      <w:r w:rsidR="006C6F09">
        <w:t xml:space="preserve"> </w:t>
      </w:r>
      <w:r>
        <w:t>EPA’s</w:t>
      </w:r>
      <w:r w:rsidR="006C6F09">
        <w:t xml:space="preserve"> </w:t>
      </w:r>
      <w:r>
        <w:t>e-NEPA</w:t>
      </w:r>
      <w:r w:rsidR="006C6F09">
        <w:t xml:space="preserve"> </w:t>
      </w:r>
      <w:r>
        <w:t>website,</w:t>
      </w:r>
      <w:r w:rsidR="006C6F09">
        <w:t xml:space="preserve"> </w:t>
      </w:r>
      <w:r>
        <w:t>for</w:t>
      </w:r>
      <w:r w:rsidR="006C6F09">
        <w:t xml:space="preserve"> </w:t>
      </w:r>
      <w:r>
        <w:t>an</w:t>
      </w:r>
      <w:r w:rsidR="006C6F09">
        <w:t xml:space="preserve"> </w:t>
      </w:r>
      <w:r>
        <w:t>FHWA</w:t>
      </w:r>
      <w:r w:rsidR="006C6F09">
        <w:t xml:space="preserve"> </w:t>
      </w:r>
      <w:r>
        <w:t>project,</w:t>
      </w:r>
      <w:r w:rsidR="006C6F09">
        <w:t xml:space="preserve"> </w:t>
      </w:r>
      <w:r>
        <w:t>an</w:t>
      </w:r>
      <w:r w:rsidR="006C6F09">
        <w:t xml:space="preserve"> </w:t>
      </w:r>
      <w:r>
        <w:t>electronic</w:t>
      </w:r>
      <w:r w:rsidR="006C6F09">
        <w:t xml:space="preserve"> </w:t>
      </w:r>
      <w:r>
        <w:t>copy</w:t>
      </w:r>
      <w:r w:rsidR="006C6F09">
        <w:t xml:space="preserve"> </w:t>
      </w:r>
      <w:r>
        <w:t>of</w:t>
      </w:r>
      <w:r w:rsidR="006C6F09">
        <w:t xml:space="preserve"> </w:t>
      </w:r>
      <w:r>
        <w:t>the</w:t>
      </w:r>
      <w:r w:rsidR="006C6F09">
        <w:t xml:space="preserve"> </w:t>
      </w:r>
      <w:r>
        <w:t>FEIS</w:t>
      </w:r>
      <w:r w:rsidR="006C6F09">
        <w:t xml:space="preserve"> </w:t>
      </w:r>
      <w:r>
        <w:t>and</w:t>
      </w:r>
      <w:r w:rsidR="006C6F09">
        <w:t xml:space="preserve"> </w:t>
      </w:r>
      <w:r>
        <w:t>ROD</w:t>
      </w:r>
      <w:r w:rsidR="006C6F09">
        <w:t xml:space="preserve"> </w:t>
      </w:r>
      <w:r>
        <w:t>or</w:t>
      </w:r>
      <w:r w:rsidR="006C6F09">
        <w:t xml:space="preserve"> </w:t>
      </w:r>
      <w:r>
        <w:t>FEIS</w:t>
      </w:r>
      <w:r w:rsidR="006C6F09">
        <w:t xml:space="preserve"> </w:t>
      </w:r>
      <w:r>
        <w:t>must</w:t>
      </w:r>
      <w:r w:rsidR="006C6F09">
        <w:t xml:space="preserve"> </w:t>
      </w:r>
      <w:r>
        <w:t>be</w:t>
      </w:r>
      <w:r w:rsidR="006C6F09">
        <w:t xml:space="preserve"> </w:t>
      </w:r>
      <w:r>
        <w:t>provided</w:t>
      </w:r>
      <w:r w:rsidR="006C6F09">
        <w:t xml:space="preserve"> </w:t>
      </w:r>
      <w:r>
        <w:t>to</w:t>
      </w:r>
      <w:r w:rsidR="006C6F09">
        <w:t xml:space="preserve"> </w:t>
      </w:r>
      <w:r>
        <w:t>Office</w:t>
      </w:r>
      <w:r w:rsidR="006C6F09">
        <w:t xml:space="preserve"> </w:t>
      </w:r>
      <w:r>
        <w:t>of</w:t>
      </w:r>
      <w:r w:rsidR="006C6F09">
        <w:t xml:space="preserve"> </w:t>
      </w:r>
      <w:r>
        <w:t>Communities,</w:t>
      </w:r>
      <w:r w:rsidR="006C6F09">
        <w:t xml:space="preserve"> </w:t>
      </w:r>
      <w:r>
        <w:t>Tribes</w:t>
      </w:r>
      <w:r w:rsidR="006C6F09">
        <w:t xml:space="preserve"> </w:t>
      </w:r>
      <w:r>
        <w:t>and</w:t>
      </w:r>
      <w:r w:rsidR="006C6F09">
        <w:t xml:space="preserve"> </w:t>
      </w:r>
      <w:r>
        <w:t>Environmental</w:t>
      </w:r>
      <w:r w:rsidR="006C6F09">
        <w:t xml:space="preserve"> </w:t>
      </w:r>
      <w:r>
        <w:t>Assessment,</w:t>
      </w:r>
      <w:r w:rsidR="006C6F09">
        <w:t xml:space="preserve"> </w:t>
      </w:r>
      <w:r>
        <w:t>US</w:t>
      </w:r>
      <w:r w:rsidR="006C6F09">
        <w:t xml:space="preserve"> </w:t>
      </w:r>
      <w:r>
        <w:t>EPA</w:t>
      </w:r>
      <w:r w:rsidR="006C6F09">
        <w:t xml:space="preserve"> </w:t>
      </w:r>
      <w:r>
        <w:t>Region</w:t>
      </w:r>
      <w:r w:rsidR="006C6F09">
        <w:t xml:space="preserve"> </w:t>
      </w:r>
      <w:r>
        <w:t>6,</w:t>
      </w:r>
      <w:r w:rsidR="006C6F09">
        <w:t xml:space="preserve"> </w:t>
      </w:r>
      <w:r>
        <w:t>1201</w:t>
      </w:r>
      <w:r w:rsidR="006C6F09">
        <w:t xml:space="preserve"> </w:t>
      </w:r>
      <w:r>
        <w:t>Elm</w:t>
      </w:r>
      <w:r w:rsidR="006C6F09">
        <w:t xml:space="preserve"> </w:t>
      </w:r>
      <w:r>
        <w:t>Street,</w:t>
      </w:r>
      <w:r w:rsidR="006C6F09">
        <w:t xml:space="preserve"> </w:t>
      </w:r>
      <w:r>
        <w:t>Suite</w:t>
      </w:r>
      <w:r w:rsidR="006C6F09">
        <w:t xml:space="preserve"> </w:t>
      </w:r>
      <w:r>
        <w:t>500,</w:t>
      </w:r>
      <w:r w:rsidR="006C6F09">
        <w:t xml:space="preserve"> </w:t>
      </w:r>
      <w:r>
        <w:t>Mail</w:t>
      </w:r>
      <w:r w:rsidR="006C6F09">
        <w:t xml:space="preserve"> </w:t>
      </w:r>
      <w:r>
        <w:t>Code:</w:t>
      </w:r>
      <w:r w:rsidR="006C6F09">
        <w:t xml:space="preserve"> </w:t>
      </w:r>
      <w:r>
        <w:t>ORACN,</w:t>
      </w:r>
      <w:r w:rsidR="006C6F09">
        <w:t xml:space="preserve"> </w:t>
      </w:r>
      <w:r>
        <w:t>Dallas,</w:t>
      </w:r>
      <w:r w:rsidR="006C6F09">
        <w:t xml:space="preserve"> </w:t>
      </w:r>
      <w:r>
        <w:t>TX</w:t>
      </w:r>
      <w:r w:rsidR="006C6F09">
        <w:t xml:space="preserve"> </w:t>
      </w:r>
      <w:r>
        <w:t>75270-2102</w:t>
      </w:r>
      <w:r w:rsidR="00C052B0">
        <w:t xml:space="preserve">. </w:t>
      </w:r>
      <w:r>
        <w:t>Email</w:t>
      </w:r>
      <w:r w:rsidR="006C6F09">
        <w:t xml:space="preserve"> </w:t>
      </w:r>
      <w:hyperlink r:id="rId77" w:history="1">
        <w:r w:rsidR="00D247B2">
          <w:rPr>
            <w:rStyle w:val="Hyperlink"/>
          </w:rPr>
          <w:t>Robert</w:t>
        </w:r>
        <w:r w:rsidR="006C6F09">
          <w:rPr>
            <w:rStyle w:val="Hyperlink"/>
          </w:rPr>
          <w:t xml:space="preserve"> </w:t>
        </w:r>
        <w:r w:rsidR="00D247B2">
          <w:rPr>
            <w:rStyle w:val="Hyperlink"/>
          </w:rPr>
          <w:t>Houston</w:t>
        </w:r>
      </w:hyperlink>
      <w:r>
        <w:t>,</w:t>
      </w:r>
      <w:r w:rsidR="006C6F09">
        <w:t xml:space="preserve"> </w:t>
      </w:r>
      <w:r>
        <w:t>Staff</w:t>
      </w:r>
      <w:r w:rsidR="006C6F09">
        <w:t xml:space="preserve"> </w:t>
      </w:r>
      <w:r>
        <w:t>Director,</w:t>
      </w:r>
      <w:r w:rsidR="006C6F09">
        <w:t xml:space="preserve"> </w:t>
      </w:r>
      <w:r>
        <w:t>Communities,</w:t>
      </w:r>
      <w:r w:rsidR="006C6F09">
        <w:t xml:space="preserve"> </w:t>
      </w:r>
      <w:r>
        <w:t>Tribes</w:t>
      </w:r>
      <w:r w:rsidR="006C6F09">
        <w:t xml:space="preserve"> </w:t>
      </w:r>
      <w:r>
        <w:t>and</w:t>
      </w:r>
      <w:r w:rsidR="006C6F09">
        <w:t xml:space="preserve"> </w:t>
      </w:r>
      <w:r>
        <w:t>Environmental</w:t>
      </w:r>
      <w:r w:rsidR="006C6F09">
        <w:t xml:space="preserve"> </w:t>
      </w:r>
      <w:r>
        <w:lastRenderedPageBreak/>
        <w:t>Assessment</w:t>
      </w:r>
      <w:r w:rsidR="006C6F09">
        <w:t xml:space="preserve"> </w:t>
      </w:r>
      <w:r>
        <w:t>to</w:t>
      </w:r>
      <w:r w:rsidR="006C6F09">
        <w:t xml:space="preserve"> </w:t>
      </w:r>
      <w:r>
        <w:t>confirm</w:t>
      </w:r>
      <w:r w:rsidR="006C6F09">
        <w:t xml:space="preserve"> </w:t>
      </w:r>
      <w:r>
        <w:t>the</w:t>
      </w:r>
      <w:r w:rsidR="006C6F09">
        <w:t xml:space="preserve"> </w:t>
      </w:r>
      <w:r>
        <w:t>preferred</w:t>
      </w:r>
      <w:r w:rsidR="006C6F09">
        <w:t xml:space="preserve"> </w:t>
      </w:r>
      <w:r>
        <w:t>method</w:t>
      </w:r>
      <w:r w:rsidR="006C6F09">
        <w:t xml:space="preserve"> </w:t>
      </w:r>
      <w:r>
        <w:t>of</w:t>
      </w:r>
      <w:r w:rsidR="006C6F09">
        <w:t xml:space="preserve"> </w:t>
      </w:r>
      <w:r>
        <w:t>transmission,</w:t>
      </w:r>
      <w:r w:rsidR="006C6F09">
        <w:t xml:space="preserve"> </w:t>
      </w:r>
      <w:r>
        <w:t>and</w:t>
      </w:r>
      <w:r w:rsidR="006C6F09">
        <w:t xml:space="preserve"> </w:t>
      </w:r>
      <w:r>
        <w:t>check</w:t>
      </w:r>
      <w:r w:rsidR="006C6F09">
        <w:t xml:space="preserve"> </w:t>
      </w:r>
      <w:r>
        <w:t>EPA’s</w:t>
      </w:r>
      <w:r w:rsidR="006C6F09">
        <w:t xml:space="preserve"> </w:t>
      </w:r>
      <w:r>
        <w:t>website</w:t>
      </w:r>
      <w:r w:rsidR="006C6F09">
        <w:t xml:space="preserve"> </w:t>
      </w:r>
      <w:r>
        <w:t>to</w:t>
      </w:r>
      <w:r w:rsidR="006C6F09">
        <w:t xml:space="preserve"> </w:t>
      </w:r>
      <w:r>
        <w:t>make</w:t>
      </w:r>
      <w:r w:rsidR="006C6F09">
        <w:t xml:space="preserve"> </w:t>
      </w:r>
      <w:r>
        <w:t>sure</w:t>
      </w:r>
      <w:r w:rsidR="006C6F09">
        <w:t xml:space="preserve"> </w:t>
      </w:r>
      <w:r>
        <w:t>this</w:t>
      </w:r>
      <w:r w:rsidR="006C6F09">
        <w:t xml:space="preserve"> </w:t>
      </w:r>
      <w:r>
        <w:t>address</w:t>
      </w:r>
      <w:r w:rsidR="006C6F09">
        <w:t xml:space="preserve"> </w:t>
      </w:r>
      <w:r>
        <w:t>is</w:t>
      </w:r>
      <w:r w:rsidR="006C6F09">
        <w:t xml:space="preserve"> </w:t>
      </w:r>
      <w:r>
        <w:t>still</w:t>
      </w:r>
      <w:r w:rsidR="006C6F09">
        <w:t xml:space="preserve"> </w:t>
      </w:r>
      <w:r>
        <w:t>correct.</w:t>
      </w:r>
    </w:p>
    <w:p w14:paraId="5EC4288F" w14:textId="0E17B6F7" w:rsidR="00457754" w:rsidRDefault="00457754" w:rsidP="00457754">
      <w:r>
        <w:t>Use</w:t>
      </w:r>
      <w:r w:rsidR="006C6F09">
        <w:t xml:space="preserve"> </w:t>
      </w:r>
      <w:r>
        <w:t>ENV’s</w:t>
      </w:r>
      <w:r w:rsidR="006C6F09">
        <w:t xml:space="preserve"> </w:t>
      </w:r>
      <w:r>
        <w:t>Template:</w:t>
      </w:r>
      <w:r w:rsidR="006C6F09">
        <w:t xml:space="preserve"> </w:t>
      </w:r>
      <w:r>
        <w:t>FEIS-ROD</w:t>
      </w:r>
      <w:r w:rsidR="006C6F09">
        <w:t xml:space="preserve"> </w:t>
      </w:r>
      <w:r>
        <w:t>Notice</w:t>
      </w:r>
      <w:r w:rsidR="006C6F09">
        <w:t xml:space="preserve"> </w:t>
      </w:r>
      <w:r>
        <w:t>of</w:t>
      </w:r>
      <w:r w:rsidR="006C6F09">
        <w:t xml:space="preserve"> </w:t>
      </w:r>
      <w:r>
        <w:t>Availability,</w:t>
      </w:r>
      <w:r w:rsidR="006C6F09">
        <w:t xml:space="preserve"> </w:t>
      </w:r>
      <w:r>
        <w:t>which</w:t>
      </w:r>
      <w:r w:rsidR="006C6F09">
        <w:t xml:space="preserve"> </w:t>
      </w:r>
      <w:r>
        <w:t>is</w:t>
      </w:r>
      <w:r w:rsidR="006C6F09">
        <w:t xml:space="preserve"> </w:t>
      </w:r>
      <w:r>
        <w:t>available</w:t>
      </w:r>
      <w:r w:rsidR="006C6F09">
        <w:t xml:space="preserve"> </w:t>
      </w:r>
      <w:r>
        <w:t>on</w:t>
      </w:r>
      <w:r w:rsidR="006C6F09">
        <w:t xml:space="preserve"> </w:t>
      </w:r>
      <w:r>
        <w:t>the</w:t>
      </w:r>
      <w:r w:rsidR="006C6F09">
        <w:t xml:space="preserve"> </w:t>
      </w:r>
      <w:hyperlink r:id="rId78" w:history="1">
        <w:r w:rsidRPr="00190118">
          <w:rPr>
            <w:rStyle w:val="Hyperlink"/>
          </w:rPr>
          <w:t>Public</w:t>
        </w:r>
        <w:r w:rsidR="006C6F09">
          <w:rPr>
            <w:rStyle w:val="Hyperlink"/>
          </w:rPr>
          <w:t xml:space="preserve"> </w:t>
        </w:r>
        <w:r w:rsidRPr="00190118">
          <w:rPr>
            <w:rStyle w:val="Hyperlink"/>
          </w:rPr>
          <w:t>Involvement</w:t>
        </w:r>
        <w:r w:rsidR="006C6F09">
          <w:rPr>
            <w:rStyle w:val="Hyperlink"/>
          </w:rPr>
          <w:t xml:space="preserve"> </w:t>
        </w:r>
        <w:r w:rsidRPr="00190118">
          <w:rPr>
            <w:rStyle w:val="Hyperlink"/>
          </w:rPr>
          <w:t>Toolkit</w:t>
        </w:r>
      </w:hyperlink>
      <w:r>
        <w:t>.</w:t>
      </w:r>
    </w:p>
    <w:p w14:paraId="2654D9FB" w14:textId="3012A97F" w:rsidR="00457754" w:rsidRPr="00786382" w:rsidRDefault="00457754" w:rsidP="00457754">
      <w:pPr>
        <w:pStyle w:val="Heading3"/>
      </w:pPr>
      <w:bookmarkStart w:id="97" w:name="_Toc224026231"/>
      <w:r w:rsidRPr="00786382">
        <w:t>9.6</w:t>
      </w:r>
      <w:r w:rsidR="006C6F09" w:rsidRPr="00786382">
        <w:t xml:space="preserve"> </w:t>
      </w:r>
      <w:r w:rsidRPr="00786382">
        <w:t>Record</w:t>
      </w:r>
      <w:r w:rsidR="006C6F09" w:rsidRPr="00786382">
        <w:t xml:space="preserve"> </w:t>
      </w:r>
      <w:r w:rsidRPr="00786382">
        <w:t>of</w:t>
      </w:r>
      <w:r w:rsidR="006C6F09" w:rsidRPr="00786382">
        <w:t xml:space="preserve"> </w:t>
      </w:r>
      <w:r w:rsidRPr="00786382">
        <w:t>Decision</w:t>
      </w:r>
      <w:r w:rsidR="006C6F09" w:rsidRPr="00786382">
        <w:t xml:space="preserve"> </w:t>
      </w:r>
      <w:r w:rsidRPr="00786382">
        <w:t>(ROD)</w:t>
      </w:r>
      <w:bookmarkEnd w:id="97"/>
      <w:r w:rsidR="006C6F09" w:rsidRPr="00786382">
        <w:t xml:space="preserve"> </w:t>
      </w:r>
    </w:p>
    <w:p w14:paraId="203B3878" w14:textId="7C2EC8D1" w:rsidR="00457754" w:rsidRDefault="00457754" w:rsidP="00457754">
      <w:r w:rsidRPr="0030713D">
        <w:t>Combining</w:t>
      </w:r>
      <w:r w:rsidR="006C6F09">
        <w:t xml:space="preserve"> </w:t>
      </w:r>
      <w:r w:rsidRPr="0030713D">
        <w:t>the</w:t>
      </w:r>
      <w:r w:rsidR="006C6F09">
        <w:t xml:space="preserve"> </w:t>
      </w:r>
      <w:r w:rsidRPr="0030713D">
        <w:t>FEIS</w:t>
      </w:r>
      <w:r w:rsidR="006C6F09">
        <w:t xml:space="preserve"> </w:t>
      </w:r>
      <w:r w:rsidRPr="0030713D">
        <w:t>and</w:t>
      </w:r>
      <w:r w:rsidR="006C6F09">
        <w:t xml:space="preserve"> </w:t>
      </w:r>
      <w:r w:rsidRPr="0030713D">
        <w:t>ROD</w:t>
      </w:r>
      <w:r w:rsidR="006C6F09">
        <w:t xml:space="preserve"> </w:t>
      </w:r>
      <w:r w:rsidRPr="0030713D">
        <w:t>into</w:t>
      </w:r>
      <w:r w:rsidR="006C6F09">
        <w:t xml:space="preserve"> </w:t>
      </w:r>
      <w:r w:rsidRPr="0030713D">
        <w:t>one</w:t>
      </w:r>
      <w:r w:rsidR="006C6F09">
        <w:t xml:space="preserve"> </w:t>
      </w:r>
      <w:r w:rsidRPr="0030713D">
        <w:t>document</w:t>
      </w:r>
      <w:r w:rsidR="006C6F09">
        <w:t xml:space="preserve"> </w:t>
      </w:r>
      <w:r w:rsidRPr="0030713D">
        <w:t>is</w:t>
      </w:r>
      <w:r w:rsidR="006C6F09">
        <w:t xml:space="preserve"> </w:t>
      </w:r>
      <w:r w:rsidRPr="0030713D">
        <w:t>the</w:t>
      </w:r>
      <w:r w:rsidR="006C6F09">
        <w:t xml:space="preserve"> </w:t>
      </w:r>
      <w:r w:rsidRPr="0030713D">
        <w:t>standard</w:t>
      </w:r>
      <w:r w:rsidR="006C6F09">
        <w:t xml:space="preserve"> </w:t>
      </w:r>
      <w:r w:rsidRPr="0030713D">
        <w:t>approach</w:t>
      </w:r>
      <w:r w:rsidR="006C6F09">
        <w:t xml:space="preserve"> </w:t>
      </w:r>
      <w:r w:rsidRPr="0030713D">
        <w:t>for</w:t>
      </w:r>
      <w:r w:rsidR="006C6F09">
        <w:t xml:space="preserve"> </w:t>
      </w:r>
      <w:r w:rsidRPr="0030713D">
        <w:t>both</w:t>
      </w:r>
      <w:r w:rsidR="006C6F09">
        <w:t xml:space="preserve"> </w:t>
      </w:r>
      <w:r w:rsidRPr="0030713D">
        <w:t>state</w:t>
      </w:r>
      <w:r w:rsidR="006C6F09">
        <w:t xml:space="preserve"> </w:t>
      </w:r>
      <w:r w:rsidRPr="0030713D">
        <w:t>and</w:t>
      </w:r>
      <w:r w:rsidR="006C6F09">
        <w:t xml:space="preserve"> </w:t>
      </w:r>
      <w:r w:rsidRPr="0030713D">
        <w:t>FHWA</w:t>
      </w:r>
      <w:r w:rsidR="006C6F09">
        <w:t xml:space="preserve"> </w:t>
      </w:r>
      <w:r w:rsidRPr="0030713D">
        <w:t>projects.</w:t>
      </w:r>
      <w:r w:rsidR="006C6F09">
        <w:t xml:space="preserve"> </w:t>
      </w:r>
      <w:r w:rsidRPr="0030713D">
        <w:t>Therefore,</w:t>
      </w:r>
      <w:r w:rsidR="006C6F09">
        <w:t xml:space="preserve"> </w:t>
      </w:r>
      <w:r w:rsidRPr="0030713D">
        <w:t>it</w:t>
      </w:r>
      <w:r w:rsidR="006C6F09">
        <w:t xml:space="preserve"> </w:t>
      </w:r>
      <w:r w:rsidRPr="0030713D">
        <w:t>will</w:t>
      </w:r>
      <w:r w:rsidR="006C6F09">
        <w:t xml:space="preserve"> </w:t>
      </w:r>
      <w:r w:rsidRPr="0030713D">
        <w:t>normally</w:t>
      </w:r>
      <w:r w:rsidR="006C6F09">
        <w:t xml:space="preserve"> </w:t>
      </w:r>
      <w:r w:rsidRPr="0030713D">
        <w:t>not</w:t>
      </w:r>
      <w:r w:rsidR="006C6F09">
        <w:t xml:space="preserve"> </w:t>
      </w:r>
      <w:r w:rsidRPr="0030713D">
        <w:t>be</w:t>
      </w:r>
      <w:r w:rsidR="006C6F09">
        <w:t xml:space="preserve"> </w:t>
      </w:r>
      <w:r w:rsidRPr="0030713D">
        <w:t>necessary</w:t>
      </w:r>
      <w:r w:rsidR="006C6F09">
        <w:t xml:space="preserve"> </w:t>
      </w:r>
      <w:r w:rsidRPr="0030713D">
        <w:t>to</w:t>
      </w:r>
      <w:r w:rsidR="006C6F09">
        <w:t xml:space="preserve"> </w:t>
      </w:r>
      <w:r w:rsidRPr="0030713D">
        <w:t>consu</w:t>
      </w:r>
      <w:r w:rsidRPr="00C06798">
        <w:t>lt</w:t>
      </w:r>
      <w:r w:rsidR="006C6F09">
        <w:t xml:space="preserve"> </w:t>
      </w:r>
      <w:r w:rsidRPr="00C06798">
        <w:t>this</w:t>
      </w:r>
      <w:r w:rsidR="006C6F09">
        <w:t xml:space="preserve"> </w:t>
      </w:r>
      <w:r w:rsidRPr="00C06798">
        <w:t>Section</w:t>
      </w:r>
      <w:r w:rsidR="006C6F09">
        <w:t xml:space="preserve"> </w:t>
      </w:r>
      <w:r w:rsidRPr="00C06798">
        <w:t>9.</w:t>
      </w:r>
      <w:r w:rsidR="00C06798" w:rsidRPr="00C06798">
        <w:t>6</w:t>
      </w:r>
      <w:r w:rsidRPr="00C06798">
        <w:t>,</w:t>
      </w:r>
      <w:r w:rsidR="006C6F09">
        <w:t xml:space="preserve"> </w:t>
      </w:r>
      <w:r w:rsidRPr="00C06798">
        <w:t>which</w:t>
      </w:r>
      <w:r w:rsidR="006C6F09">
        <w:t xml:space="preserve"> </w:t>
      </w:r>
      <w:r w:rsidRPr="00C06798">
        <w:t>ap</w:t>
      </w:r>
      <w:r w:rsidRPr="0030713D">
        <w:t>plies</w:t>
      </w:r>
      <w:r w:rsidR="006C6F09">
        <w:t xml:space="preserve"> </w:t>
      </w:r>
      <w:r w:rsidRPr="0030713D">
        <w:t>only</w:t>
      </w:r>
      <w:r w:rsidR="006C6F09">
        <w:t xml:space="preserve"> </w:t>
      </w:r>
      <w:r w:rsidRPr="0030713D">
        <w:t>if</w:t>
      </w:r>
      <w:r w:rsidR="006C6F09">
        <w:t xml:space="preserve"> </w:t>
      </w:r>
      <w:r w:rsidRPr="0030713D">
        <w:t>there</w:t>
      </w:r>
      <w:r w:rsidR="006C6F09">
        <w:t xml:space="preserve"> </w:t>
      </w:r>
      <w:r w:rsidRPr="0030713D">
        <w:t>are</w:t>
      </w:r>
      <w:r w:rsidR="006C6F09">
        <w:t xml:space="preserve"> </w:t>
      </w:r>
      <w:r w:rsidRPr="0030713D">
        <w:t>separate</w:t>
      </w:r>
      <w:r w:rsidR="006C6F09">
        <w:t xml:space="preserve"> </w:t>
      </w:r>
      <w:r w:rsidRPr="0030713D">
        <w:t>NOAs</w:t>
      </w:r>
      <w:r w:rsidR="006C6F09">
        <w:t xml:space="preserve"> </w:t>
      </w:r>
      <w:r w:rsidRPr="0030713D">
        <w:t>for</w:t>
      </w:r>
      <w:r w:rsidR="006C6F09">
        <w:t xml:space="preserve"> </w:t>
      </w:r>
      <w:r w:rsidRPr="0030713D">
        <w:t>the</w:t>
      </w:r>
      <w:r w:rsidR="006C6F09">
        <w:t xml:space="preserve"> </w:t>
      </w:r>
      <w:r w:rsidRPr="0030713D">
        <w:t>FEIS</w:t>
      </w:r>
      <w:r w:rsidR="006C6F09">
        <w:t xml:space="preserve"> </w:t>
      </w:r>
      <w:r w:rsidRPr="0030713D">
        <w:t>and</w:t>
      </w:r>
      <w:r w:rsidR="006C6F09">
        <w:t xml:space="preserve"> </w:t>
      </w:r>
      <w:r w:rsidRPr="0030713D">
        <w:t>the</w:t>
      </w:r>
      <w:r w:rsidR="006C6F09">
        <w:t xml:space="preserve"> </w:t>
      </w:r>
      <w:r w:rsidRPr="0030713D">
        <w:t>ROD.</w:t>
      </w:r>
      <w:r w:rsidR="006C6F09">
        <w:t xml:space="preserve"> </w:t>
      </w:r>
      <w:r w:rsidRPr="0030713D">
        <w:t>However,</w:t>
      </w:r>
      <w:r w:rsidR="006C6F09">
        <w:t xml:space="preserve"> </w:t>
      </w:r>
      <w:r w:rsidRPr="0030713D">
        <w:t>if</w:t>
      </w:r>
      <w:r w:rsidR="006C6F09">
        <w:t xml:space="preserve"> </w:t>
      </w:r>
      <w:r w:rsidRPr="0030713D">
        <w:t>there</w:t>
      </w:r>
      <w:r w:rsidR="006C6F09">
        <w:t xml:space="preserve"> </w:t>
      </w:r>
      <w:r w:rsidRPr="0030713D">
        <w:t>were</w:t>
      </w:r>
      <w:r w:rsidR="006C6F09">
        <w:t xml:space="preserve"> </w:t>
      </w:r>
      <w:r w:rsidRPr="0030713D">
        <w:t>a</w:t>
      </w:r>
      <w:r w:rsidR="006C6F09">
        <w:t xml:space="preserve"> </w:t>
      </w:r>
      <w:r w:rsidRPr="0030713D">
        <w:t>need</w:t>
      </w:r>
      <w:r w:rsidR="006C6F09">
        <w:t xml:space="preserve"> </w:t>
      </w:r>
      <w:r w:rsidRPr="0030713D">
        <w:t>to</w:t>
      </w:r>
      <w:r w:rsidR="006C6F09">
        <w:t xml:space="preserve"> </w:t>
      </w:r>
      <w:r w:rsidRPr="0030713D">
        <w:t>issue</w:t>
      </w:r>
      <w:r w:rsidR="006C6F09">
        <w:t xml:space="preserve"> </w:t>
      </w:r>
      <w:r w:rsidRPr="0030713D">
        <w:t>a</w:t>
      </w:r>
      <w:r w:rsidR="006C6F09">
        <w:t xml:space="preserve"> </w:t>
      </w:r>
      <w:r w:rsidRPr="0030713D">
        <w:t>separate</w:t>
      </w:r>
      <w:r w:rsidR="006C6F09">
        <w:t xml:space="preserve"> </w:t>
      </w:r>
      <w:r w:rsidRPr="0030713D">
        <w:t>NOA</w:t>
      </w:r>
      <w:r w:rsidR="006C6F09">
        <w:t xml:space="preserve"> </w:t>
      </w:r>
      <w:r w:rsidRPr="0030713D">
        <w:t>for</w:t>
      </w:r>
      <w:r w:rsidR="006C6F09">
        <w:t xml:space="preserve"> </w:t>
      </w:r>
      <w:r w:rsidRPr="0030713D">
        <w:t>a</w:t>
      </w:r>
      <w:r w:rsidR="006C6F09">
        <w:t xml:space="preserve"> </w:t>
      </w:r>
      <w:r w:rsidRPr="0030713D">
        <w:t>ROD,</w:t>
      </w:r>
      <w:r w:rsidR="006C6F09">
        <w:t xml:space="preserve"> </w:t>
      </w:r>
      <w:r w:rsidRPr="0030713D">
        <w:t>it</w:t>
      </w:r>
      <w:r w:rsidR="006C6F09">
        <w:t xml:space="preserve"> </w:t>
      </w:r>
      <w:r w:rsidRPr="0030713D">
        <w:t>must</w:t>
      </w:r>
      <w:r w:rsidR="006C6F09">
        <w:t xml:space="preserve"> </w:t>
      </w:r>
      <w:r w:rsidRPr="0030713D">
        <w:t>comply</w:t>
      </w:r>
      <w:r w:rsidR="006C6F09">
        <w:t xml:space="preserve"> </w:t>
      </w:r>
      <w:r w:rsidRPr="0030713D">
        <w:t>with</w:t>
      </w:r>
      <w:r w:rsidR="006C6F09">
        <w:t xml:space="preserve"> </w:t>
      </w:r>
      <w:r w:rsidRPr="0030713D">
        <w:t>the</w:t>
      </w:r>
      <w:r w:rsidR="006C6F09">
        <w:t xml:space="preserve"> </w:t>
      </w:r>
      <w:r w:rsidRPr="0030713D">
        <w:t>requirements</w:t>
      </w:r>
      <w:r w:rsidR="006C6F09">
        <w:t xml:space="preserve"> </w:t>
      </w:r>
      <w:r w:rsidRPr="0030713D">
        <w:t>discussed</w:t>
      </w:r>
      <w:r w:rsidR="006C6F09">
        <w:t xml:space="preserve"> </w:t>
      </w:r>
      <w:r w:rsidRPr="0030713D">
        <w:t>above</w:t>
      </w:r>
      <w:r w:rsidR="006C6F09">
        <w:t xml:space="preserve"> </w:t>
      </w:r>
      <w:r w:rsidRPr="0030713D">
        <w:t>under</w:t>
      </w:r>
      <w:r w:rsidR="006C6F09">
        <w:t xml:space="preserve"> </w:t>
      </w:r>
      <w:r w:rsidRPr="0030713D">
        <w:t>Section</w:t>
      </w:r>
      <w:r w:rsidR="006C6F09">
        <w:t xml:space="preserve"> </w:t>
      </w:r>
      <w:r w:rsidRPr="00263E76">
        <w:rPr>
          <w:u w:val="single"/>
        </w:rPr>
        <w:fldChar w:fldCharType="begin"/>
      </w:r>
      <w:r w:rsidRPr="00263E76">
        <w:rPr>
          <w:u w:val="single"/>
        </w:rPr>
        <w:instrText xml:space="preserve"> REF _Ref219792091 \h  \* MERGEFORMAT </w:instrText>
      </w:r>
      <w:r w:rsidRPr="00263E76">
        <w:rPr>
          <w:u w:val="single"/>
        </w:rPr>
      </w:r>
      <w:r w:rsidRPr="00263E76">
        <w:rPr>
          <w:u w:val="single"/>
        </w:rPr>
        <w:fldChar w:fldCharType="separate"/>
      </w:r>
      <w:r w:rsidRPr="00263E76">
        <w:rPr>
          <w:color w:val="0056A9"/>
          <w:u w:val="single"/>
        </w:rPr>
        <w:t>9.0</w:t>
      </w:r>
      <w:r w:rsidRPr="00263E76">
        <w:rPr>
          <w:u w:val="single"/>
        </w:rPr>
        <w:fldChar w:fldCharType="end"/>
      </w:r>
      <w:r w:rsidRPr="0030713D">
        <w:t>.</w:t>
      </w:r>
    </w:p>
    <w:p w14:paraId="1AF2159C" w14:textId="55944B26" w:rsidR="00457754" w:rsidRPr="00C63A54" w:rsidRDefault="00457754" w:rsidP="00457754">
      <w:pPr>
        <w:pStyle w:val="Heading2"/>
      </w:pPr>
      <w:bookmarkStart w:id="98" w:name="_Toc224026232"/>
      <w:r w:rsidRPr="00C63A54">
        <w:t>10.0</w:t>
      </w:r>
      <w:r w:rsidR="006C6F09">
        <w:t xml:space="preserve"> </w:t>
      </w:r>
      <w:r w:rsidRPr="00C63A54">
        <w:t>Notice</w:t>
      </w:r>
      <w:r w:rsidR="006C6F09">
        <w:t xml:space="preserve"> </w:t>
      </w:r>
      <w:r w:rsidRPr="00C63A54">
        <w:t>of</w:t>
      </w:r>
      <w:r w:rsidR="006C6F09">
        <w:t xml:space="preserve"> </w:t>
      </w:r>
      <w:r w:rsidRPr="00C63A54">
        <w:t>Final</w:t>
      </w:r>
      <w:r w:rsidR="006C6F09">
        <w:t xml:space="preserve"> </w:t>
      </w:r>
      <w:r w:rsidRPr="00C63A54">
        <w:t>Agency</w:t>
      </w:r>
      <w:r w:rsidR="006C6F09">
        <w:t xml:space="preserve"> </w:t>
      </w:r>
      <w:r w:rsidRPr="00C63A54">
        <w:t>Action</w:t>
      </w:r>
      <w:bookmarkEnd w:id="98"/>
      <w:r w:rsidR="006C6F09">
        <w:t xml:space="preserve"> </w:t>
      </w:r>
    </w:p>
    <w:p w14:paraId="5433B61F" w14:textId="7F2AB4F1" w:rsidR="00457754" w:rsidRDefault="00457754" w:rsidP="00457754">
      <w:pPr>
        <w:spacing w:after="0"/>
      </w:pPr>
      <w:r>
        <w:t>The</w:t>
      </w:r>
      <w:r w:rsidR="006C6F09">
        <w:t xml:space="preserve"> </w:t>
      </w:r>
      <w:r>
        <w:t>150</w:t>
      </w:r>
      <w:r w:rsidR="006C6F09">
        <w:t xml:space="preserve"> </w:t>
      </w:r>
      <w:r>
        <w:t>-</w:t>
      </w:r>
      <w:r w:rsidR="006C6F09">
        <w:t xml:space="preserve"> </w:t>
      </w:r>
      <w:r>
        <w:t>calendar</w:t>
      </w:r>
      <w:r w:rsidR="006C6F09">
        <w:t xml:space="preserve"> </w:t>
      </w:r>
      <w:r>
        <w:t>day</w:t>
      </w:r>
      <w:r w:rsidR="006C6F09">
        <w:t xml:space="preserve"> </w:t>
      </w:r>
      <w:r>
        <w:t>limitation</w:t>
      </w:r>
      <w:r w:rsidR="006C6F09">
        <w:t xml:space="preserve"> </w:t>
      </w:r>
      <w:r>
        <w:t>period</w:t>
      </w:r>
      <w:r w:rsidR="006C6F09">
        <w:t xml:space="preserve"> </w:t>
      </w:r>
      <w:r>
        <w:t>established</w:t>
      </w:r>
      <w:r w:rsidR="006C6F09">
        <w:t xml:space="preserve"> </w:t>
      </w:r>
      <w:r>
        <w:t>by</w:t>
      </w:r>
      <w:r w:rsidR="006C6F09">
        <w:t xml:space="preserve"> </w:t>
      </w:r>
      <w:hyperlink r:id="rId79" w:history="1">
        <w:r>
          <w:rPr>
            <w:rStyle w:val="Hyperlink"/>
          </w:rPr>
          <w:t>Title</w:t>
        </w:r>
        <w:r w:rsidR="006C6F09">
          <w:rPr>
            <w:rStyle w:val="Hyperlink"/>
          </w:rPr>
          <w:t xml:space="preserve"> </w:t>
        </w:r>
        <w:r>
          <w:rPr>
            <w:rStyle w:val="Hyperlink"/>
          </w:rPr>
          <w:t>23</w:t>
        </w:r>
        <w:r w:rsidR="006C6F09">
          <w:rPr>
            <w:rStyle w:val="Hyperlink"/>
          </w:rPr>
          <w:t xml:space="preserve"> </w:t>
        </w:r>
        <w:r>
          <w:rPr>
            <w:rStyle w:val="Hyperlink"/>
          </w:rPr>
          <w:t>United</w:t>
        </w:r>
        <w:r w:rsidR="006C6F09">
          <w:rPr>
            <w:rStyle w:val="Hyperlink"/>
          </w:rPr>
          <w:t xml:space="preserve"> </w:t>
        </w:r>
        <w:r>
          <w:rPr>
            <w:rStyle w:val="Hyperlink"/>
          </w:rPr>
          <w:t>States</w:t>
        </w:r>
        <w:r w:rsidR="006C6F09">
          <w:rPr>
            <w:rStyle w:val="Hyperlink"/>
          </w:rPr>
          <w:t xml:space="preserve"> </w:t>
        </w:r>
        <w:r>
          <w:rPr>
            <w:rStyle w:val="Hyperlink"/>
          </w:rPr>
          <w:t>Code</w:t>
        </w:r>
        <w:r w:rsidR="006C6F09">
          <w:rPr>
            <w:rStyle w:val="Hyperlink"/>
          </w:rPr>
          <w:t xml:space="preserve"> </w:t>
        </w:r>
        <w:r>
          <w:rPr>
            <w:rStyle w:val="Hyperlink"/>
          </w:rPr>
          <w:t>139(l):</w:t>
        </w:r>
        <w:r w:rsidR="006C6F09">
          <w:rPr>
            <w:rStyle w:val="Hyperlink"/>
          </w:rPr>
          <w:t xml:space="preserve"> </w:t>
        </w:r>
        <w:r>
          <w:rPr>
            <w:rStyle w:val="Hyperlink"/>
          </w:rPr>
          <w:t>Efficient</w:t>
        </w:r>
        <w:r w:rsidR="006C6F09">
          <w:rPr>
            <w:rStyle w:val="Hyperlink"/>
          </w:rPr>
          <w:t xml:space="preserve"> </w:t>
        </w:r>
        <w:r>
          <w:rPr>
            <w:rStyle w:val="Hyperlink"/>
          </w:rPr>
          <w:t>Environmental</w:t>
        </w:r>
        <w:r w:rsidR="006C6F09">
          <w:rPr>
            <w:rStyle w:val="Hyperlink"/>
          </w:rPr>
          <w:t xml:space="preserve"> </w:t>
        </w:r>
        <w:r>
          <w:rPr>
            <w:rStyle w:val="Hyperlink"/>
          </w:rPr>
          <w:t>Reviews</w:t>
        </w:r>
        <w:r w:rsidR="006C6F09">
          <w:rPr>
            <w:rStyle w:val="Hyperlink"/>
          </w:rPr>
          <w:t xml:space="preserve"> </w:t>
        </w:r>
        <w:r>
          <w:rPr>
            <w:rStyle w:val="Hyperlink"/>
          </w:rPr>
          <w:t>for</w:t>
        </w:r>
        <w:r w:rsidR="006C6F09">
          <w:rPr>
            <w:rStyle w:val="Hyperlink"/>
          </w:rPr>
          <w:t xml:space="preserve"> </w:t>
        </w:r>
        <w:r>
          <w:rPr>
            <w:rStyle w:val="Hyperlink"/>
          </w:rPr>
          <w:t>Project</w:t>
        </w:r>
        <w:r w:rsidR="006C6F09">
          <w:rPr>
            <w:rStyle w:val="Hyperlink"/>
          </w:rPr>
          <w:t xml:space="preserve"> </w:t>
        </w:r>
        <w:r w:rsidR="007C0BE6">
          <w:rPr>
            <w:rStyle w:val="Hyperlink"/>
          </w:rPr>
          <w:t>Decision making</w:t>
        </w:r>
        <w:r w:rsidR="006C6F09">
          <w:rPr>
            <w:rStyle w:val="Hyperlink"/>
          </w:rPr>
          <w:t xml:space="preserve"> </w:t>
        </w:r>
        <w:r>
          <w:rPr>
            <w:rStyle w:val="Hyperlink"/>
          </w:rPr>
          <w:t>and</w:t>
        </w:r>
        <w:r w:rsidR="006C6F09">
          <w:rPr>
            <w:rStyle w:val="Hyperlink"/>
          </w:rPr>
          <w:t xml:space="preserve"> </w:t>
        </w:r>
        <w:r>
          <w:rPr>
            <w:rStyle w:val="Hyperlink"/>
          </w:rPr>
          <w:t>One</w:t>
        </w:r>
        <w:r w:rsidR="006C6F09">
          <w:rPr>
            <w:rStyle w:val="Hyperlink"/>
          </w:rPr>
          <w:t xml:space="preserve"> </w:t>
        </w:r>
        <w:r>
          <w:rPr>
            <w:rStyle w:val="Hyperlink"/>
          </w:rPr>
          <w:t>Federal</w:t>
        </w:r>
        <w:r w:rsidR="006C6F09">
          <w:rPr>
            <w:rStyle w:val="Hyperlink"/>
          </w:rPr>
          <w:t xml:space="preserve"> </w:t>
        </w:r>
        <w:r>
          <w:rPr>
            <w:rStyle w:val="Hyperlink"/>
          </w:rPr>
          <w:t>Decision</w:t>
        </w:r>
      </w:hyperlink>
      <w:r w:rsidR="006C6F09">
        <w:t xml:space="preserve"> </w:t>
      </w:r>
      <w:r>
        <w:t>applies</w:t>
      </w:r>
      <w:r w:rsidR="006C6F09">
        <w:t xml:space="preserve"> </w:t>
      </w:r>
      <w:r>
        <w:t>to</w:t>
      </w:r>
      <w:r w:rsidR="006C6F09">
        <w:t xml:space="preserve"> </w:t>
      </w:r>
      <w:r>
        <w:t>a</w:t>
      </w:r>
      <w:r w:rsidR="006C6F09">
        <w:t xml:space="preserve"> </w:t>
      </w:r>
      <w:r>
        <w:t>permit,</w:t>
      </w:r>
      <w:r w:rsidR="006C6F09">
        <w:t xml:space="preserve"> </w:t>
      </w:r>
      <w:r>
        <w:t>license,</w:t>
      </w:r>
      <w:r w:rsidR="006C6F09">
        <w:t xml:space="preserve"> </w:t>
      </w:r>
      <w:r>
        <w:t>or</w:t>
      </w:r>
      <w:r w:rsidR="006C6F09">
        <w:t xml:space="preserve"> </w:t>
      </w:r>
      <w:r>
        <w:t>approval</w:t>
      </w:r>
      <w:r w:rsidR="006C6F09">
        <w:t xml:space="preserve"> </w:t>
      </w:r>
      <w:r>
        <w:t>decision</w:t>
      </w:r>
      <w:r w:rsidR="006C6F09">
        <w:t xml:space="preserve"> </w:t>
      </w:r>
      <w:r>
        <w:t>issued</w:t>
      </w:r>
      <w:r w:rsidR="006C6F09">
        <w:t xml:space="preserve"> </w:t>
      </w:r>
      <w:r>
        <w:t>by</w:t>
      </w:r>
      <w:r w:rsidR="006C6F09">
        <w:t xml:space="preserve"> </w:t>
      </w:r>
      <w:r>
        <w:t>a</w:t>
      </w:r>
      <w:r w:rsidR="006C6F09">
        <w:t xml:space="preserve"> </w:t>
      </w:r>
      <w:r>
        <w:t>federal</w:t>
      </w:r>
      <w:r w:rsidR="006C6F09">
        <w:t xml:space="preserve"> </w:t>
      </w:r>
      <w:r>
        <w:t>agency</w:t>
      </w:r>
      <w:r w:rsidR="006C6F09">
        <w:t xml:space="preserve"> </w:t>
      </w:r>
      <w:r>
        <w:t>if</w:t>
      </w:r>
      <w:r w:rsidR="006C6F09">
        <w:t xml:space="preserve"> </w:t>
      </w:r>
      <w:r>
        <w:t>the</w:t>
      </w:r>
      <w:r w:rsidR="006C6F09">
        <w:t xml:space="preserve"> </w:t>
      </w:r>
      <w:r>
        <w:t>project</w:t>
      </w:r>
      <w:r w:rsidR="006C6F09">
        <w:t xml:space="preserve"> </w:t>
      </w:r>
      <w:r>
        <w:t>meets</w:t>
      </w:r>
      <w:r w:rsidR="006C6F09">
        <w:t xml:space="preserve"> </w:t>
      </w:r>
      <w:r>
        <w:t>both</w:t>
      </w:r>
      <w:r w:rsidR="006C6F09">
        <w:t xml:space="preserve"> </w:t>
      </w:r>
      <w:r>
        <w:t>the</w:t>
      </w:r>
      <w:r w:rsidR="006C6F09">
        <w:t xml:space="preserve"> </w:t>
      </w:r>
      <w:r>
        <w:t>following</w:t>
      </w:r>
      <w:r w:rsidR="006C6F09">
        <w:t xml:space="preserve"> </w:t>
      </w:r>
      <w:r>
        <w:t>conditions.</w:t>
      </w:r>
    </w:p>
    <w:p w14:paraId="5EDEA2CB" w14:textId="6DA7B37B" w:rsidR="00457754" w:rsidRPr="008462AC" w:rsidRDefault="00457754" w:rsidP="00457754">
      <w:pPr>
        <w:pStyle w:val="ListBullet"/>
      </w:pPr>
      <w:r w:rsidRPr="008462AC">
        <w:t>The</w:t>
      </w:r>
      <w:r w:rsidR="006C6F09">
        <w:t xml:space="preserve"> </w:t>
      </w:r>
      <w:r w:rsidRPr="008462AC">
        <w:t>decision</w:t>
      </w:r>
      <w:r w:rsidR="006C6F09">
        <w:t xml:space="preserve"> </w:t>
      </w:r>
      <w:r w:rsidRPr="008462AC">
        <w:t>relates</w:t>
      </w:r>
      <w:r w:rsidR="006C6F09">
        <w:t xml:space="preserve"> </w:t>
      </w:r>
      <w:r w:rsidRPr="008462AC">
        <w:t>to</w:t>
      </w:r>
      <w:r w:rsidR="006C6F09">
        <w:t xml:space="preserve"> </w:t>
      </w:r>
      <w:r w:rsidRPr="008462AC">
        <w:t>a</w:t>
      </w:r>
      <w:r w:rsidR="006C6F09">
        <w:t xml:space="preserve"> </w:t>
      </w:r>
      <w:r w:rsidRPr="008462AC">
        <w:t>highway</w:t>
      </w:r>
      <w:r w:rsidR="006C6F09">
        <w:t xml:space="preserve"> </w:t>
      </w:r>
      <w:r w:rsidRPr="008462AC">
        <w:t>or</w:t>
      </w:r>
      <w:r w:rsidR="006C6F09">
        <w:t xml:space="preserve"> </w:t>
      </w:r>
      <w:r w:rsidRPr="008462AC">
        <w:t>public</w:t>
      </w:r>
      <w:r w:rsidR="006C6F09">
        <w:t xml:space="preserve"> </w:t>
      </w:r>
      <w:r w:rsidRPr="008462AC">
        <w:t>transportation</w:t>
      </w:r>
      <w:r w:rsidR="006C6F09">
        <w:t xml:space="preserve"> </w:t>
      </w:r>
      <w:r w:rsidRPr="008462AC">
        <w:t>capital</w:t>
      </w:r>
      <w:r w:rsidR="006C6F09">
        <w:t xml:space="preserve"> </w:t>
      </w:r>
      <w:r w:rsidRPr="008462AC">
        <w:t>project</w:t>
      </w:r>
    </w:p>
    <w:p w14:paraId="1E18364A" w14:textId="14C1E0CF" w:rsidR="00457754" w:rsidRPr="008462AC" w:rsidRDefault="00457754" w:rsidP="00457754">
      <w:pPr>
        <w:pStyle w:val="ListBullet"/>
      </w:pPr>
      <w:r w:rsidRPr="008462AC">
        <w:t>A</w:t>
      </w:r>
      <w:r w:rsidR="006C6F09">
        <w:t xml:space="preserve"> </w:t>
      </w:r>
      <w:r w:rsidRPr="008462AC">
        <w:t>notice</w:t>
      </w:r>
      <w:r w:rsidR="006C6F09">
        <w:t xml:space="preserve"> </w:t>
      </w:r>
      <w:r w:rsidRPr="008462AC">
        <w:t>is</w:t>
      </w:r>
      <w:r w:rsidR="006C6F09">
        <w:t xml:space="preserve"> </w:t>
      </w:r>
      <w:r w:rsidRPr="008462AC">
        <w:t>published</w:t>
      </w:r>
      <w:r w:rsidR="006C6F09">
        <w:t xml:space="preserve"> </w:t>
      </w:r>
      <w:r w:rsidRPr="008462AC">
        <w:t>in</w:t>
      </w:r>
      <w:r w:rsidR="006C6F09">
        <w:t xml:space="preserve"> </w:t>
      </w:r>
      <w:r w:rsidRPr="008462AC">
        <w:t>the</w:t>
      </w:r>
      <w:r w:rsidR="006C6F09">
        <w:t xml:space="preserve"> </w:t>
      </w:r>
      <w:r w:rsidRPr="008462AC">
        <w:t>Federal</w:t>
      </w:r>
      <w:r w:rsidR="006C6F09">
        <w:t xml:space="preserve"> </w:t>
      </w:r>
      <w:r w:rsidRPr="008462AC">
        <w:t>Register</w:t>
      </w:r>
      <w:r w:rsidR="006C6F09">
        <w:t xml:space="preserve"> </w:t>
      </w:r>
      <w:r w:rsidRPr="008462AC">
        <w:t>announcing</w:t>
      </w:r>
      <w:r w:rsidR="006C6F09">
        <w:t xml:space="preserve"> </w:t>
      </w:r>
      <w:r w:rsidRPr="008462AC">
        <w:t>that</w:t>
      </w:r>
      <w:r w:rsidR="006C6F09">
        <w:t xml:space="preserve"> </w:t>
      </w:r>
      <w:r w:rsidRPr="008462AC">
        <w:t>federal</w:t>
      </w:r>
      <w:r w:rsidR="006C6F09">
        <w:t xml:space="preserve"> </w:t>
      </w:r>
      <w:r w:rsidRPr="008462AC">
        <w:t>agencies</w:t>
      </w:r>
      <w:r w:rsidR="006C6F09">
        <w:t xml:space="preserve"> </w:t>
      </w:r>
      <w:r w:rsidRPr="008462AC">
        <w:t>have</w:t>
      </w:r>
      <w:r w:rsidR="006C6F09">
        <w:t xml:space="preserve"> </w:t>
      </w:r>
      <w:r w:rsidRPr="008462AC">
        <w:t>taken</w:t>
      </w:r>
      <w:r w:rsidR="006C6F09">
        <w:t xml:space="preserve"> </w:t>
      </w:r>
      <w:r w:rsidRPr="008462AC">
        <w:t>action</w:t>
      </w:r>
      <w:r w:rsidR="006C6F09">
        <w:t xml:space="preserve"> </w:t>
      </w:r>
      <w:r w:rsidRPr="008462AC">
        <w:t>that</w:t>
      </w:r>
      <w:r w:rsidR="006C6F09">
        <w:t xml:space="preserve"> </w:t>
      </w:r>
      <w:r w:rsidRPr="008462AC">
        <w:t>is</w:t>
      </w:r>
      <w:r w:rsidR="006C6F09">
        <w:t xml:space="preserve"> </w:t>
      </w:r>
      <w:r w:rsidRPr="008462AC">
        <w:t>final</w:t>
      </w:r>
      <w:r w:rsidR="006C6F09">
        <w:t xml:space="preserve"> </w:t>
      </w:r>
      <w:r w:rsidRPr="008462AC">
        <w:t>under</w:t>
      </w:r>
      <w:r w:rsidR="006C6F09">
        <w:t xml:space="preserve"> </w:t>
      </w:r>
      <w:r w:rsidRPr="008462AC">
        <w:t>the</w:t>
      </w:r>
      <w:r w:rsidR="006C6F09">
        <w:t xml:space="preserve"> </w:t>
      </w:r>
      <w:r w:rsidRPr="008462AC">
        <w:t>federal</w:t>
      </w:r>
      <w:r w:rsidR="006C6F09">
        <w:t xml:space="preserve"> </w:t>
      </w:r>
      <w:r w:rsidRPr="008462AC">
        <w:t>law</w:t>
      </w:r>
      <w:r w:rsidR="006C6F09">
        <w:t xml:space="preserve"> </w:t>
      </w:r>
      <w:r w:rsidRPr="008462AC">
        <w:t>pursuant</w:t>
      </w:r>
      <w:r w:rsidR="006C6F09">
        <w:t xml:space="preserve"> </w:t>
      </w:r>
      <w:r w:rsidRPr="008462AC">
        <w:t>to</w:t>
      </w:r>
      <w:r w:rsidR="006C6F09">
        <w:t xml:space="preserve"> </w:t>
      </w:r>
      <w:r w:rsidRPr="008462AC">
        <w:t>which</w:t>
      </w:r>
      <w:r w:rsidR="006C6F09">
        <w:t xml:space="preserve"> </w:t>
      </w:r>
      <w:r w:rsidRPr="008462AC">
        <w:t>the</w:t>
      </w:r>
      <w:r w:rsidR="006C6F09">
        <w:t xml:space="preserve"> </w:t>
      </w:r>
      <w:r w:rsidRPr="008462AC">
        <w:t>action</w:t>
      </w:r>
      <w:r w:rsidR="006C6F09">
        <w:t xml:space="preserve"> </w:t>
      </w:r>
      <w:r w:rsidRPr="008462AC">
        <w:t>was</w:t>
      </w:r>
      <w:r w:rsidR="006C6F09">
        <w:t xml:space="preserve"> </w:t>
      </w:r>
      <w:r w:rsidRPr="008462AC">
        <w:t>taken</w:t>
      </w:r>
    </w:p>
    <w:p w14:paraId="21E787FB" w14:textId="395374F2" w:rsidR="00457754" w:rsidRDefault="00457754" w:rsidP="00457754">
      <w:r>
        <w:t>If</w:t>
      </w:r>
      <w:r w:rsidR="006C6F09">
        <w:t xml:space="preserve"> </w:t>
      </w:r>
      <w:r>
        <w:t>no</w:t>
      </w:r>
      <w:r w:rsidR="006C6F09">
        <w:t xml:space="preserve"> </w:t>
      </w:r>
      <w:r>
        <w:t>Section</w:t>
      </w:r>
      <w:r w:rsidR="006C6F09">
        <w:t xml:space="preserve"> </w:t>
      </w:r>
      <w:r>
        <w:t>139(l)</w:t>
      </w:r>
      <w:r w:rsidR="006C6F09">
        <w:t xml:space="preserve"> </w:t>
      </w:r>
      <w:r>
        <w:t>notice</w:t>
      </w:r>
      <w:r w:rsidR="006C6F09">
        <w:t xml:space="preserve"> </w:t>
      </w:r>
      <w:r>
        <w:t>is</w:t>
      </w:r>
      <w:r w:rsidR="006C6F09">
        <w:t xml:space="preserve"> </w:t>
      </w:r>
      <w:r>
        <w:t>published,</w:t>
      </w:r>
      <w:r w:rsidR="006C6F09">
        <w:t xml:space="preserve"> </w:t>
      </w:r>
      <w:r>
        <w:t>the</w:t>
      </w:r>
      <w:r w:rsidR="006C6F09">
        <w:t xml:space="preserve"> </w:t>
      </w:r>
      <w:r>
        <w:t>period</w:t>
      </w:r>
      <w:r w:rsidR="006C6F09">
        <w:t xml:space="preserve"> </w:t>
      </w:r>
      <w:r>
        <w:t>for</w:t>
      </w:r>
      <w:r w:rsidR="006C6F09">
        <w:t xml:space="preserve"> </w:t>
      </w:r>
      <w:r>
        <w:t>filing</w:t>
      </w:r>
      <w:r w:rsidR="006C6F09">
        <w:t xml:space="preserve"> </w:t>
      </w:r>
      <w:r>
        <w:t>claims</w:t>
      </w:r>
      <w:r w:rsidR="006C6F09">
        <w:t xml:space="preserve"> </w:t>
      </w:r>
      <w:r>
        <w:t>is</w:t>
      </w:r>
      <w:r w:rsidR="006C6F09">
        <w:t xml:space="preserve"> </w:t>
      </w:r>
      <w:r>
        <w:t>not</w:t>
      </w:r>
      <w:r w:rsidR="006C6F09">
        <w:t xml:space="preserve"> </w:t>
      </w:r>
      <w:r>
        <w:t>shortened</w:t>
      </w:r>
      <w:r w:rsidR="006C6F09">
        <w:t xml:space="preserve"> </w:t>
      </w:r>
      <w:r>
        <w:t>from</w:t>
      </w:r>
      <w:r w:rsidR="006C6F09">
        <w:t xml:space="preserve"> </w:t>
      </w:r>
      <w:r>
        <w:t>what</w:t>
      </w:r>
      <w:r w:rsidR="006C6F09">
        <w:t xml:space="preserve"> </w:t>
      </w:r>
      <w:r>
        <w:t>is</w:t>
      </w:r>
      <w:r w:rsidR="006C6F09">
        <w:t xml:space="preserve"> </w:t>
      </w:r>
      <w:r>
        <w:t>provided</w:t>
      </w:r>
      <w:r w:rsidR="006C6F09">
        <w:t xml:space="preserve"> </w:t>
      </w:r>
      <w:r>
        <w:t>by</w:t>
      </w:r>
      <w:r w:rsidR="006C6F09">
        <w:t xml:space="preserve"> </w:t>
      </w:r>
      <w:r>
        <w:t>other</w:t>
      </w:r>
      <w:r w:rsidR="006C6F09">
        <w:t xml:space="preserve"> </w:t>
      </w:r>
      <w:r>
        <w:t>parts</w:t>
      </w:r>
      <w:r w:rsidR="006C6F09">
        <w:t xml:space="preserve"> </w:t>
      </w:r>
      <w:r>
        <w:t>of</w:t>
      </w:r>
      <w:r w:rsidR="006C6F09">
        <w:t xml:space="preserve"> </w:t>
      </w:r>
      <w:r>
        <w:t>federal</w:t>
      </w:r>
      <w:r w:rsidR="006C6F09">
        <w:t xml:space="preserve"> </w:t>
      </w:r>
      <w:r>
        <w:t>law.</w:t>
      </w:r>
      <w:r w:rsidR="006C6F09">
        <w:t xml:space="preserve"> </w:t>
      </w:r>
      <w:r>
        <w:t>If</w:t>
      </w:r>
      <w:r w:rsidR="006C6F09">
        <w:t xml:space="preserve"> </w:t>
      </w:r>
      <w:r>
        <w:t>other</w:t>
      </w:r>
      <w:r w:rsidR="006C6F09">
        <w:t xml:space="preserve"> </w:t>
      </w:r>
      <w:r>
        <w:t>federal</w:t>
      </w:r>
      <w:r w:rsidR="006C6F09">
        <w:t xml:space="preserve"> </w:t>
      </w:r>
      <w:r>
        <w:t>laws</w:t>
      </w:r>
      <w:r w:rsidR="006C6F09">
        <w:t xml:space="preserve"> </w:t>
      </w:r>
      <w:r>
        <w:t>do</w:t>
      </w:r>
      <w:r w:rsidR="006C6F09">
        <w:t xml:space="preserve"> </w:t>
      </w:r>
      <w:r>
        <w:t>not</w:t>
      </w:r>
      <w:r w:rsidR="006C6F09">
        <w:t xml:space="preserve"> </w:t>
      </w:r>
      <w:r>
        <w:t>specify</w:t>
      </w:r>
      <w:r w:rsidR="006C6F09">
        <w:t xml:space="preserve"> </w:t>
      </w:r>
      <w:r>
        <w:t>a</w:t>
      </w:r>
      <w:r w:rsidR="006C6F09">
        <w:t xml:space="preserve"> </w:t>
      </w:r>
      <w:r>
        <w:t>statute</w:t>
      </w:r>
      <w:r w:rsidR="006C6F09">
        <w:t xml:space="preserve"> </w:t>
      </w:r>
      <w:r>
        <w:t>of</w:t>
      </w:r>
      <w:r w:rsidR="006C6F09">
        <w:t xml:space="preserve"> </w:t>
      </w:r>
      <w:r>
        <w:t>limitations,</w:t>
      </w:r>
      <w:r w:rsidR="006C6F09">
        <w:t xml:space="preserve"> </w:t>
      </w:r>
      <w:r>
        <w:t>a</w:t>
      </w:r>
      <w:r w:rsidR="006C6F09">
        <w:t xml:space="preserve"> </w:t>
      </w:r>
      <w:r>
        <w:t>six-year</w:t>
      </w:r>
      <w:r w:rsidR="006C6F09">
        <w:t xml:space="preserve"> </w:t>
      </w:r>
      <w:r>
        <w:t>claims</w:t>
      </w:r>
      <w:r w:rsidR="006C6F09">
        <w:t xml:space="preserve"> </w:t>
      </w:r>
      <w:r>
        <w:t>period</w:t>
      </w:r>
      <w:r w:rsidR="006C6F09">
        <w:t xml:space="preserve"> </w:t>
      </w:r>
      <w:r>
        <w:t>applies.</w:t>
      </w:r>
    </w:p>
    <w:p w14:paraId="4A586C85" w14:textId="301CB462" w:rsidR="00457754" w:rsidRDefault="00457754" w:rsidP="00457754">
      <w:r>
        <w:t>A</w:t>
      </w:r>
      <w:r w:rsidR="006C6F09">
        <w:t xml:space="preserve"> </w:t>
      </w:r>
      <w:r>
        <w:t>Section</w:t>
      </w:r>
      <w:r w:rsidR="006C6F09">
        <w:t xml:space="preserve"> </w:t>
      </w:r>
      <w:r>
        <w:t>139(l)</w:t>
      </w:r>
      <w:r w:rsidR="006C6F09">
        <w:t xml:space="preserve"> </w:t>
      </w:r>
      <w:r>
        <w:t>notice</w:t>
      </w:r>
      <w:r w:rsidR="006C6F09">
        <w:t xml:space="preserve"> </w:t>
      </w:r>
      <w:r>
        <w:t>can</w:t>
      </w:r>
      <w:r w:rsidR="006C6F09">
        <w:t xml:space="preserve"> </w:t>
      </w:r>
      <w:r>
        <w:t>be</w:t>
      </w:r>
      <w:r w:rsidR="006C6F09">
        <w:t xml:space="preserve"> </w:t>
      </w:r>
      <w:r>
        <w:t>used</w:t>
      </w:r>
      <w:r w:rsidR="006C6F09">
        <w:t xml:space="preserve"> </w:t>
      </w:r>
      <w:r>
        <w:t>for</w:t>
      </w:r>
      <w:r w:rsidR="006C6F09">
        <w:t xml:space="preserve"> </w:t>
      </w:r>
      <w:r>
        <w:t>a</w:t>
      </w:r>
      <w:r w:rsidR="006C6F09">
        <w:t xml:space="preserve"> </w:t>
      </w:r>
      <w:r>
        <w:t>highway</w:t>
      </w:r>
      <w:r w:rsidR="006C6F09">
        <w:t xml:space="preserve"> </w:t>
      </w:r>
      <w:r>
        <w:t>or</w:t>
      </w:r>
      <w:r w:rsidR="006C6F09">
        <w:t xml:space="preserve"> </w:t>
      </w:r>
      <w:r>
        <w:t>transit</w:t>
      </w:r>
      <w:r w:rsidR="006C6F09">
        <w:t xml:space="preserve"> </w:t>
      </w:r>
      <w:r>
        <w:t>project</w:t>
      </w:r>
      <w:r w:rsidR="006C6F09">
        <w:t xml:space="preserve"> </w:t>
      </w:r>
      <w:r>
        <w:t>regardless</w:t>
      </w:r>
      <w:r w:rsidR="006C6F09">
        <w:t xml:space="preserve"> </w:t>
      </w:r>
      <w:r>
        <w:t>of</w:t>
      </w:r>
      <w:r w:rsidR="006C6F09">
        <w:t xml:space="preserve"> </w:t>
      </w:r>
      <w:r>
        <w:t>the</w:t>
      </w:r>
      <w:r w:rsidR="006C6F09">
        <w:t xml:space="preserve"> </w:t>
      </w:r>
      <w:r>
        <w:t>category</w:t>
      </w:r>
      <w:r w:rsidR="006C6F09">
        <w:t xml:space="preserve"> </w:t>
      </w:r>
      <w:r>
        <w:t>of</w:t>
      </w:r>
      <w:r w:rsidR="006C6F09">
        <w:t xml:space="preserve"> </w:t>
      </w:r>
      <w:r>
        <w:t>documentation</w:t>
      </w:r>
      <w:r w:rsidR="006C6F09">
        <w:t xml:space="preserve"> </w:t>
      </w:r>
      <w:r>
        <w:t>used</w:t>
      </w:r>
      <w:r w:rsidR="006C6F09">
        <w:t xml:space="preserve"> </w:t>
      </w:r>
      <w:r>
        <w:t>under</w:t>
      </w:r>
      <w:r w:rsidR="006C6F09">
        <w:t xml:space="preserve"> </w:t>
      </w:r>
      <w:r>
        <w:t>NEPA.</w:t>
      </w:r>
      <w:r w:rsidR="006C6F09">
        <w:t xml:space="preserve"> </w:t>
      </w:r>
      <w:r>
        <w:t>ENV</w:t>
      </w:r>
      <w:r w:rsidR="006C6F09">
        <w:t xml:space="preserve"> </w:t>
      </w:r>
      <w:r>
        <w:lastRenderedPageBreak/>
        <w:t>publishes</w:t>
      </w:r>
      <w:r w:rsidR="006C6F09">
        <w:t xml:space="preserve"> </w:t>
      </w:r>
      <w:r>
        <w:t>Section</w:t>
      </w:r>
      <w:r w:rsidR="006C6F09">
        <w:t xml:space="preserve"> </w:t>
      </w:r>
      <w:r>
        <w:t>139(l)</w:t>
      </w:r>
      <w:r w:rsidR="006C6F09">
        <w:t xml:space="preserve"> </w:t>
      </w:r>
      <w:r>
        <w:t>notices</w:t>
      </w:r>
      <w:r w:rsidR="006C6F09">
        <w:t xml:space="preserve"> </w:t>
      </w:r>
      <w:r>
        <w:t>for</w:t>
      </w:r>
      <w:r w:rsidR="006C6F09">
        <w:t xml:space="preserve"> </w:t>
      </w:r>
      <w:r>
        <w:t>federally</w:t>
      </w:r>
      <w:r w:rsidR="006C6F09">
        <w:t xml:space="preserve"> </w:t>
      </w:r>
      <w:r>
        <w:t>funded</w:t>
      </w:r>
      <w:r w:rsidR="006C6F09">
        <w:t xml:space="preserve"> </w:t>
      </w:r>
      <w:r>
        <w:t>EIS</w:t>
      </w:r>
      <w:r w:rsidR="006C6F09">
        <w:t xml:space="preserve"> </w:t>
      </w:r>
      <w:r>
        <w:t>projects</w:t>
      </w:r>
      <w:r w:rsidR="006C6F09">
        <w:t xml:space="preserve"> </w:t>
      </w:r>
      <w:r>
        <w:t>and</w:t>
      </w:r>
      <w:r w:rsidR="006C6F09">
        <w:t xml:space="preserve"> </w:t>
      </w:r>
      <w:r>
        <w:t>EA</w:t>
      </w:r>
      <w:r w:rsidR="006C6F09">
        <w:t xml:space="preserve"> </w:t>
      </w:r>
      <w:r>
        <w:t>projects</w:t>
      </w:r>
      <w:r w:rsidR="006C6F09">
        <w:t xml:space="preserve"> </w:t>
      </w:r>
      <w:r>
        <w:t>and</w:t>
      </w:r>
      <w:r w:rsidR="006C6F09">
        <w:t xml:space="preserve"> </w:t>
      </w:r>
      <w:proofErr w:type="gramStart"/>
      <w:r>
        <w:t>select</w:t>
      </w:r>
      <w:proofErr w:type="gramEnd"/>
      <w:r w:rsidR="006C6F09">
        <w:t xml:space="preserve"> </w:t>
      </w:r>
      <w:r>
        <w:t>federally</w:t>
      </w:r>
      <w:r w:rsidR="006C6F09">
        <w:t xml:space="preserve"> </w:t>
      </w:r>
      <w:r>
        <w:t>funded</w:t>
      </w:r>
      <w:r w:rsidR="006C6F09">
        <w:t xml:space="preserve"> </w:t>
      </w:r>
      <w:r>
        <w:t>CE</w:t>
      </w:r>
      <w:r w:rsidR="006C6F09">
        <w:t xml:space="preserve"> </w:t>
      </w:r>
      <w:r>
        <w:t>projects.</w:t>
      </w:r>
    </w:p>
    <w:p w14:paraId="3D47F6F8" w14:textId="2534D64F" w:rsidR="00457754" w:rsidRPr="00C63A54" w:rsidRDefault="00457754" w:rsidP="00457754">
      <w:pPr>
        <w:pStyle w:val="Heading2"/>
      </w:pPr>
      <w:bookmarkStart w:id="99" w:name="_Toc224026233"/>
      <w:r w:rsidRPr="00C63A54">
        <w:t>11.0</w:t>
      </w:r>
      <w:r w:rsidR="006C6F09">
        <w:t xml:space="preserve"> </w:t>
      </w:r>
      <w:r w:rsidRPr="00C63A54">
        <w:t>Notice</w:t>
      </w:r>
      <w:r w:rsidR="006C6F09">
        <w:t xml:space="preserve"> </w:t>
      </w:r>
      <w:r w:rsidRPr="00C63A54">
        <w:t>of</w:t>
      </w:r>
      <w:r w:rsidR="006C6F09">
        <w:t xml:space="preserve"> </w:t>
      </w:r>
      <w:r w:rsidRPr="00C63A54">
        <w:t>Impending</w:t>
      </w:r>
      <w:r w:rsidR="006C6F09">
        <w:t xml:space="preserve"> </w:t>
      </w:r>
      <w:r w:rsidRPr="00C63A54">
        <w:t>Construction</w:t>
      </w:r>
      <w:bookmarkEnd w:id="99"/>
      <w:r w:rsidR="006C6F09">
        <w:t xml:space="preserve"> </w:t>
      </w:r>
    </w:p>
    <w:p w14:paraId="0CDA5AF8" w14:textId="60CB3673" w:rsidR="00457754" w:rsidRPr="005F128F" w:rsidRDefault="00457754" w:rsidP="00457754">
      <w:r w:rsidRPr="005F128F">
        <w:t>A</w:t>
      </w:r>
      <w:r w:rsidR="006C6F09">
        <w:t xml:space="preserve"> </w:t>
      </w:r>
      <w:r w:rsidRPr="005F128F">
        <w:t>Notice</w:t>
      </w:r>
      <w:r w:rsidR="006C6F09">
        <w:t xml:space="preserve"> </w:t>
      </w:r>
      <w:r w:rsidRPr="005F128F">
        <w:t>of</w:t>
      </w:r>
      <w:r w:rsidR="006C6F09">
        <w:t xml:space="preserve"> </w:t>
      </w:r>
      <w:r w:rsidRPr="005F128F">
        <w:t>impending</w:t>
      </w:r>
      <w:r w:rsidR="006C6F09">
        <w:t xml:space="preserve"> </w:t>
      </w:r>
      <w:r w:rsidRPr="005F128F">
        <w:t>construction</w:t>
      </w:r>
      <w:r w:rsidR="006C6F09">
        <w:t xml:space="preserve"> </w:t>
      </w:r>
      <w:r w:rsidRPr="005F128F">
        <w:t>informs</w:t>
      </w:r>
      <w:r w:rsidR="006C6F09">
        <w:t xml:space="preserve"> </w:t>
      </w:r>
      <w:r w:rsidRPr="005F128F">
        <w:t>individuals</w:t>
      </w:r>
      <w:r w:rsidR="006C6F09">
        <w:t xml:space="preserve"> </w:t>
      </w:r>
      <w:r w:rsidRPr="005F128F">
        <w:t>affected</w:t>
      </w:r>
      <w:r w:rsidR="006C6F09">
        <w:t xml:space="preserve"> </w:t>
      </w:r>
      <w:r w:rsidRPr="005F128F">
        <w:t>by</w:t>
      </w:r>
      <w:r w:rsidR="006C6F09">
        <w:t xml:space="preserve"> </w:t>
      </w:r>
      <w:r w:rsidRPr="005F128F">
        <w:t>certain</w:t>
      </w:r>
      <w:r w:rsidR="006C6F09">
        <w:t xml:space="preserve"> </w:t>
      </w:r>
      <w:r w:rsidRPr="005F128F">
        <w:t>projects</w:t>
      </w:r>
      <w:r w:rsidR="006C6F09">
        <w:t xml:space="preserve"> </w:t>
      </w:r>
      <w:r w:rsidRPr="005F128F">
        <w:t>that</w:t>
      </w:r>
      <w:r w:rsidR="006C6F09">
        <w:t xml:space="preserve"> </w:t>
      </w:r>
      <w:r w:rsidRPr="005F128F">
        <w:t>construction</w:t>
      </w:r>
      <w:r w:rsidR="006C6F09">
        <w:t xml:space="preserve"> </w:t>
      </w:r>
      <w:r w:rsidRPr="005F128F">
        <w:t>will</w:t>
      </w:r>
      <w:r w:rsidR="006C6F09">
        <w:t xml:space="preserve"> </w:t>
      </w:r>
      <w:r w:rsidRPr="005F128F">
        <w:t>begin.</w:t>
      </w:r>
    </w:p>
    <w:p w14:paraId="2FE08B86" w14:textId="3CB844C7" w:rsidR="00457754" w:rsidRPr="005901D0" w:rsidRDefault="00457754" w:rsidP="00457754">
      <w:pPr>
        <w:pStyle w:val="Heading3"/>
      </w:pPr>
      <w:bookmarkStart w:id="100" w:name="_Toc224026234"/>
      <w:r w:rsidRPr="005901D0">
        <w:t>11.1</w:t>
      </w:r>
      <w:r w:rsidR="006C6F09" w:rsidRPr="005901D0">
        <w:t xml:space="preserve"> </w:t>
      </w:r>
      <w:r w:rsidRPr="005901D0">
        <w:t>Notification</w:t>
      </w:r>
      <w:bookmarkEnd w:id="100"/>
      <w:r w:rsidR="006C6F09" w:rsidRPr="005901D0">
        <w:t xml:space="preserve"> </w:t>
      </w:r>
    </w:p>
    <w:p w14:paraId="54556CB2" w14:textId="210378F5" w:rsidR="00457754" w:rsidRDefault="00457754" w:rsidP="00457754">
      <w:r>
        <w:t>For</w:t>
      </w:r>
      <w:r w:rsidR="006C6F09">
        <w:t xml:space="preserve"> </w:t>
      </w:r>
      <w:r>
        <w:t>a</w:t>
      </w:r>
      <w:r w:rsidR="006C6F09">
        <w:t xml:space="preserve"> </w:t>
      </w:r>
      <w:r>
        <w:t>project</w:t>
      </w:r>
      <w:r w:rsidR="006C6F09">
        <w:t xml:space="preserve"> </w:t>
      </w:r>
      <w:r>
        <w:t>that</w:t>
      </w:r>
      <w:r w:rsidR="006C6F09">
        <w:t xml:space="preserve"> </w:t>
      </w:r>
      <w:r>
        <w:t>involves</w:t>
      </w:r>
      <w:r w:rsidR="006C6F09">
        <w:t xml:space="preserve"> </w:t>
      </w:r>
      <w:r>
        <w:t>either</w:t>
      </w:r>
      <w:r w:rsidR="006C6F09">
        <w:t xml:space="preserve"> </w:t>
      </w:r>
      <w:r>
        <w:t>added</w:t>
      </w:r>
      <w:r w:rsidR="006C6F09">
        <w:t xml:space="preserve"> </w:t>
      </w:r>
      <w:r>
        <w:t>capacity</w:t>
      </w:r>
      <w:r w:rsidR="006C6F09">
        <w:t xml:space="preserve"> </w:t>
      </w:r>
      <w:r>
        <w:t>or</w:t>
      </w:r>
      <w:r w:rsidR="006C6F09">
        <w:t xml:space="preserve"> </w:t>
      </w:r>
      <w:r>
        <w:t>construction</w:t>
      </w:r>
      <w:r w:rsidR="006C6F09">
        <w:t xml:space="preserve"> </w:t>
      </w:r>
      <w:r>
        <w:t>of</w:t>
      </w:r>
      <w:r w:rsidR="006C6F09">
        <w:t xml:space="preserve"> </w:t>
      </w:r>
      <w:r>
        <w:t>a</w:t>
      </w:r>
      <w:r w:rsidR="006C6F09">
        <w:t xml:space="preserve"> </w:t>
      </w:r>
      <w:r>
        <w:t>highway</w:t>
      </w:r>
      <w:r w:rsidR="006C6F09">
        <w:t xml:space="preserve"> </w:t>
      </w:r>
      <w:r>
        <w:t>on</w:t>
      </w:r>
      <w:r w:rsidR="006C6F09">
        <w:t xml:space="preserve"> </w:t>
      </w:r>
      <w:r>
        <w:t>a</w:t>
      </w:r>
      <w:r w:rsidR="006C6F09">
        <w:t xml:space="preserve"> </w:t>
      </w:r>
      <w:r>
        <w:t>new</w:t>
      </w:r>
      <w:r w:rsidR="006C6F09">
        <w:t xml:space="preserve"> </w:t>
      </w:r>
      <w:r>
        <w:t>location,</w:t>
      </w:r>
      <w:r w:rsidR="006C6F09">
        <w:t xml:space="preserve"> </w:t>
      </w:r>
      <w:r>
        <w:t>the</w:t>
      </w:r>
      <w:r w:rsidR="006C6F09">
        <w:t xml:space="preserve"> </w:t>
      </w:r>
      <w:r>
        <w:t>project</w:t>
      </w:r>
      <w:r w:rsidR="006C6F09">
        <w:t xml:space="preserve"> </w:t>
      </w:r>
      <w:r>
        <w:t>sponsor</w:t>
      </w:r>
      <w:r w:rsidR="006C6F09">
        <w:t xml:space="preserve"> </w:t>
      </w:r>
      <w:r>
        <w:t>must</w:t>
      </w:r>
      <w:r w:rsidR="006C6F09">
        <w:t xml:space="preserve"> </w:t>
      </w:r>
      <w:r>
        <w:t>provide</w:t>
      </w:r>
      <w:r w:rsidR="006C6F09">
        <w:t xml:space="preserve"> </w:t>
      </w:r>
      <w:r>
        <w:t>owners</w:t>
      </w:r>
      <w:r w:rsidR="006C6F09">
        <w:t xml:space="preserve"> </w:t>
      </w:r>
      <w:r>
        <w:t>of</w:t>
      </w:r>
      <w:r w:rsidR="006C6F09">
        <w:t xml:space="preserve"> </w:t>
      </w:r>
      <w:r>
        <w:t>adjoining</w:t>
      </w:r>
      <w:r w:rsidR="006C6F09">
        <w:t xml:space="preserve"> </w:t>
      </w:r>
      <w:r>
        <w:t>property</w:t>
      </w:r>
      <w:r w:rsidR="006C6F09">
        <w:t xml:space="preserve"> </w:t>
      </w:r>
      <w:r>
        <w:t>and</w:t>
      </w:r>
      <w:r w:rsidR="006C6F09">
        <w:t xml:space="preserve"> </w:t>
      </w:r>
      <w:r>
        <w:t>affected</w:t>
      </w:r>
      <w:r w:rsidR="006C6F09">
        <w:t xml:space="preserve"> </w:t>
      </w:r>
      <w:r>
        <w:t>local</w:t>
      </w:r>
      <w:r w:rsidR="006C6F09">
        <w:t xml:space="preserve"> </w:t>
      </w:r>
      <w:r>
        <w:t>governments</w:t>
      </w:r>
      <w:r w:rsidR="006C6F09">
        <w:t xml:space="preserve"> </w:t>
      </w:r>
      <w:r>
        <w:t>and</w:t>
      </w:r>
      <w:r w:rsidR="006C6F09">
        <w:t xml:space="preserve"> </w:t>
      </w:r>
      <w:r>
        <w:t>public</w:t>
      </w:r>
      <w:r w:rsidR="006C6F09">
        <w:t xml:space="preserve"> </w:t>
      </w:r>
      <w:r>
        <w:t>officials</w:t>
      </w:r>
      <w:r w:rsidR="006C6F09">
        <w:t xml:space="preserve"> </w:t>
      </w:r>
      <w:r>
        <w:t>with</w:t>
      </w:r>
      <w:r w:rsidR="006C6F09">
        <w:t xml:space="preserve"> </w:t>
      </w:r>
      <w:r>
        <w:t>notice</w:t>
      </w:r>
      <w:r w:rsidR="006C6F09">
        <w:t xml:space="preserve"> </w:t>
      </w:r>
      <w:r>
        <w:t>of</w:t>
      </w:r>
      <w:r w:rsidR="006C6F09">
        <w:t xml:space="preserve"> </w:t>
      </w:r>
      <w:r>
        <w:t>impending</w:t>
      </w:r>
      <w:r w:rsidR="006C6F09">
        <w:t xml:space="preserve"> </w:t>
      </w:r>
      <w:r>
        <w:t>construction</w:t>
      </w:r>
      <w:r w:rsidR="006C6F09">
        <w:t xml:space="preserve"> </w:t>
      </w:r>
      <w:r>
        <w:t>(see</w:t>
      </w:r>
      <w:r w:rsidR="006C6F09">
        <w:t xml:space="preserve"> </w:t>
      </w:r>
      <w:r>
        <w:t>Section</w:t>
      </w:r>
      <w:r w:rsidR="006C6F09">
        <w:t xml:space="preserve"> </w:t>
      </w:r>
      <w:r w:rsidRPr="00263E76">
        <w:rPr>
          <w:u w:val="single"/>
        </w:rPr>
        <w:fldChar w:fldCharType="begin"/>
      </w:r>
      <w:r w:rsidRPr="00263E76">
        <w:rPr>
          <w:u w:val="single"/>
        </w:rPr>
        <w:instrText xml:space="preserve"> REF _Ref219792119 \h  \* MERGEFORMAT </w:instrText>
      </w:r>
      <w:r w:rsidRPr="00263E76">
        <w:rPr>
          <w:u w:val="single"/>
        </w:rPr>
      </w:r>
      <w:r w:rsidRPr="00263E76">
        <w:rPr>
          <w:u w:val="single"/>
        </w:rPr>
        <w:fldChar w:fldCharType="separate"/>
      </w:r>
      <w:r w:rsidRPr="00263E76">
        <w:rPr>
          <w:color w:val="0056A9"/>
          <w:u w:val="single"/>
        </w:rPr>
        <w:t>3.1</w:t>
      </w:r>
      <w:r w:rsidRPr="00263E76">
        <w:rPr>
          <w:u w:val="single"/>
        </w:rPr>
        <w:fldChar w:fldCharType="end"/>
      </w:r>
      <w:r w:rsidR="006C6F09">
        <w:t xml:space="preserve"> </w:t>
      </w:r>
      <w:r>
        <w:t>for</w:t>
      </w:r>
      <w:r w:rsidR="006C6F09">
        <w:t xml:space="preserve"> </w:t>
      </w:r>
      <w:r>
        <w:t>explanation</w:t>
      </w:r>
      <w:r w:rsidR="006C6F09">
        <w:t xml:space="preserve"> </w:t>
      </w:r>
      <w:r>
        <w:t>of</w:t>
      </w:r>
      <w:r w:rsidR="006C6F09">
        <w:t xml:space="preserve"> </w:t>
      </w:r>
      <w:r>
        <w:t>new</w:t>
      </w:r>
      <w:r w:rsidR="006C6F09">
        <w:t xml:space="preserve"> </w:t>
      </w:r>
      <w:r>
        <w:t>location</w:t>
      </w:r>
      <w:r w:rsidR="006C6F09">
        <w:t xml:space="preserve"> </w:t>
      </w:r>
      <w:r>
        <w:t>highway).</w:t>
      </w:r>
      <w:r w:rsidR="006C6F09">
        <w:t xml:space="preserve"> </w:t>
      </w:r>
      <w:r>
        <w:t>The</w:t>
      </w:r>
      <w:r w:rsidR="006C6F09">
        <w:t xml:space="preserve"> </w:t>
      </w:r>
      <w:r>
        <w:t>notification</w:t>
      </w:r>
      <w:r w:rsidR="006C6F09">
        <w:t xml:space="preserve"> </w:t>
      </w:r>
      <w:r>
        <w:t>is</w:t>
      </w:r>
      <w:r w:rsidR="006C6F09">
        <w:t xml:space="preserve"> </w:t>
      </w:r>
      <w:r>
        <w:t>provided</w:t>
      </w:r>
      <w:r w:rsidR="006C6F09">
        <w:t xml:space="preserve"> </w:t>
      </w:r>
      <w:r>
        <w:t>by</w:t>
      </w:r>
      <w:r w:rsidR="006C6F09">
        <w:t xml:space="preserve"> </w:t>
      </w:r>
      <w:r>
        <w:t>any</w:t>
      </w:r>
      <w:r w:rsidR="006C6F09">
        <w:t xml:space="preserve"> </w:t>
      </w:r>
      <w:r>
        <w:t>means</w:t>
      </w:r>
      <w:r w:rsidR="006C6F09">
        <w:t xml:space="preserve"> </w:t>
      </w:r>
      <w:r>
        <w:t>approved</w:t>
      </w:r>
      <w:r w:rsidR="006C6F09">
        <w:t xml:space="preserve"> </w:t>
      </w:r>
      <w:r>
        <w:t>by</w:t>
      </w:r>
      <w:r w:rsidR="006C6F09">
        <w:t xml:space="preserve"> </w:t>
      </w:r>
      <w:r>
        <w:t>ENV.</w:t>
      </w:r>
      <w:r w:rsidR="006C6F09">
        <w:t xml:space="preserve"> </w:t>
      </w:r>
      <w:r>
        <w:t>This</w:t>
      </w:r>
      <w:r w:rsidR="006C6F09">
        <w:t xml:space="preserve"> </w:t>
      </w:r>
      <w:r>
        <w:t>may</w:t>
      </w:r>
      <w:r w:rsidR="006C6F09">
        <w:t xml:space="preserve"> </w:t>
      </w:r>
      <w:r>
        <w:t>include</w:t>
      </w:r>
      <w:r w:rsidR="006C6F09">
        <w:t xml:space="preserve"> </w:t>
      </w:r>
      <w:r>
        <w:t>posting</w:t>
      </w:r>
      <w:r w:rsidR="006C6F09">
        <w:t xml:space="preserve"> </w:t>
      </w:r>
      <w:r>
        <w:t>signs</w:t>
      </w:r>
      <w:r w:rsidR="006C6F09">
        <w:t xml:space="preserve"> </w:t>
      </w:r>
      <w:proofErr w:type="gramStart"/>
      <w:r>
        <w:t>in</w:t>
      </w:r>
      <w:proofErr w:type="gramEnd"/>
      <w:r w:rsidR="006C6F09">
        <w:t xml:space="preserve"> </w:t>
      </w:r>
      <w:r>
        <w:t>the</w:t>
      </w:r>
      <w:r w:rsidR="006C6F09">
        <w:t xml:space="preserve"> </w:t>
      </w:r>
      <w:r>
        <w:t>right-of-way,</w:t>
      </w:r>
      <w:r w:rsidR="006C6F09">
        <w:t xml:space="preserve"> </w:t>
      </w:r>
      <w:r>
        <w:t>mailed</w:t>
      </w:r>
      <w:r w:rsidR="006C6F09">
        <w:t xml:space="preserve"> </w:t>
      </w:r>
      <w:r>
        <w:t>notices,</w:t>
      </w:r>
      <w:r w:rsidR="006C6F09">
        <w:t xml:space="preserve"> </w:t>
      </w:r>
      <w:r>
        <w:t>printed</w:t>
      </w:r>
      <w:r w:rsidR="006C6F09">
        <w:t xml:space="preserve"> </w:t>
      </w:r>
      <w:r>
        <w:t>notices</w:t>
      </w:r>
      <w:r w:rsidR="006C6F09">
        <w:t xml:space="preserve"> </w:t>
      </w:r>
      <w:r>
        <w:t>distributed</w:t>
      </w:r>
      <w:r w:rsidR="006C6F09">
        <w:t xml:space="preserve"> </w:t>
      </w:r>
      <w:r>
        <w:t>directly</w:t>
      </w:r>
      <w:r w:rsidR="006C6F09">
        <w:t xml:space="preserve"> </w:t>
      </w:r>
      <w:r>
        <w:t>to</w:t>
      </w:r>
      <w:r w:rsidR="006C6F09">
        <w:t xml:space="preserve"> </w:t>
      </w:r>
      <w:r>
        <w:t>the</w:t>
      </w:r>
      <w:r w:rsidR="006C6F09">
        <w:t xml:space="preserve"> </w:t>
      </w:r>
      <w:r>
        <w:t>individuals</w:t>
      </w:r>
      <w:r w:rsidR="006C6F09">
        <w:t xml:space="preserve"> </w:t>
      </w:r>
      <w:r>
        <w:t>or</w:t>
      </w:r>
      <w:r w:rsidR="006C6F09">
        <w:t xml:space="preserve"> </w:t>
      </w:r>
      <w:r>
        <w:t>via</w:t>
      </w:r>
      <w:r w:rsidR="006C6F09">
        <w:t xml:space="preserve"> </w:t>
      </w:r>
      <w:r>
        <w:t>website</w:t>
      </w:r>
      <w:r w:rsidR="006C6F09">
        <w:t xml:space="preserve"> </w:t>
      </w:r>
      <w:r>
        <w:t>if</w:t>
      </w:r>
      <w:r w:rsidR="006C6F09">
        <w:t xml:space="preserve"> </w:t>
      </w:r>
      <w:r>
        <w:t>the</w:t>
      </w:r>
      <w:r w:rsidR="006C6F09">
        <w:t xml:space="preserve"> </w:t>
      </w:r>
      <w:r>
        <w:t>recipient</w:t>
      </w:r>
      <w:r w:rsidR="006C6F09">
        <w:t xml:space="preserve"> </w:t>
      </w:r>
      <w:r>
        <w:t>has</w:t>
      </w:r>
      <w:r w:rsidR="006C6F09">
        <w:t xml:space="preserve"> </w:t>
      </w:r>
      <w:r>
        <w:t>previously</w:t>
      </w:r>
      <w:r w:rsidR="006C6F09">
        <w:t xml:space="preserve"> </w:t>
      </w:r>
      <w:r>
        <w:t>been</w:t>
      </w:r>
      <w:r w:rsidR="006C6F09">
        <w:t xml:space="preserve"> </w:t>
      </w:r>
      <w:r>
        <w:t>informed</w:t>
      </w:r>
      <w:r w:rsidR="006C6F09">
        <w:t xml:space="preserve"> </w:t>
      </w:r>
      <w:r>
        <w:t>of</w:t>
      </w:r>
      <w:r w:rsidR="006C6F09">
        <w:t xml:space="preserve"> </w:t>
      </w:r>
      <w:r>
        <w:t>the</w:t>
      </w:r>
      <w:r w:rsidR="006C6F09">
        <w:t xml:space="preserve"> </w:t>
      </w:r>
      <w:r>
        <w:t>web</w:t>
      </w:r>
      <w:r w:rsidR="006C6F09">
        <w:t xml:space="preserve"> </w:t>
      </w:r>
      <w:r>
        <w:t>address.</w:t>
      </w:r>
    </w:p>
    <w:p w14:paraId="6C37BA69" w14:textId="2416C560" w:rsidR="00457754" w:rsidRPr="0029222F" w:rsidRDefault="00457754" w:rsidP="00457754">
      <w:r>
        <w:t>The</w:t>
      </w:r>
      <w:r w:rsidR="006C6F09">
        <w:t xml:space="preserve"> </w:t>
      </w:r>
      <w:r>
        <w:t>notice</w:t>
      </w:r>
      <w:r w:rsidR="006C6F09">
        <w:t xml:space="preserve"> </w:t>
      </w:r>
      <w:r>
        <w:t>must</w:t>
      </w:r>
      <w:r w:rsidR="006C6F09">
        <w:t xml:space="preserve"> </w:t>
      </w:r>
      <w:r>
        <w:t>be</w:t>
      </w:r>
      <w:r w:rsidR="006C6F09">
        <w:t xml:space="preserve"> </w:t>
      </w:r>
      <w:r>
        <w:t>provided</w:t>
      </w:r>
      <w:r w:rsidR="006C6F09">
        <w:t xml:space="preserve"> </w:t>
      </w:r>
      <w:r>
        <w:t>after</w:t>
      </w:r>
      <w:r w:rsidR="006C6F09">
        <w:t xml:space="preserve"> </w:t>
      </w:r>
      <w:r>
        <w:t>a</w:t>
      </w:r>
      <w:r w:rsidR="006C6F09">
        <w:t xml:space="preserve"> </w:t>
      </w:r>
      <w:r>
        <w:t>CE</w:t>
      </w:r>
      <w:r w:rsidR="006C6F09">
        <w:t xml:space="preserve"> </w:t>
      </w:r>
      <w:r>
        <w:t>determination</w:t>
      </w:r>
      <w:r w:rsidR="006C6F09">
        <w:t xml:space="preserve"> </w:t>
      </w:r>
      <w:r>
        <w:t>or</w:t>
      </w:r>
      <w:r w:rsidR="006C6F09">
        <w:t xml:space="preserve"> </w:t>
      </w:r>
      <w:r>
        <w:t>issuance</w:t>
      </w:r>
      <w:r w:rsidR="006C6F09">
        <w:t xml:space="preserve"> </w:t>
      </w:r>
      <w:r>
        <w:t>of</w:t>
      </w:r>
      <w:r w:rsidR="006C6F09">
        <w:t xml:space="preserve"> </w:t>
      </w:r>
      <w:r>
        <w:t>a</w:t>
      </w:r>
      <w:r w:rsidR="006C6F09">
        <w:t xml:space="preserve"> </w:t>
      </w:r>
      <w:r>
        <w:t>FONSI</w:t>
      </w:r>
      <w:r w:rsidR="006C6F09">
        <w:t xml:space="preserve"> </w:t>
      </w:r>
      <w:r>
        <w:t>or</w:t>
      </w:r>
      <w:r w:rsidR="006C6F09">
        <w:t xml:space="preserve"> </w:t>
      </w:r>
      <w:r>
        <w:t>ROD</w:t>
      </w:r>
      <w:r w:rsidR="006C6F09">
        <w:t xml:space="preserve"> </w:t>
      </w:r>
      <w:r>
        <w:t>for</w:t>
      </w:r>
      <w:r w:rsidR="006C6F09">
        <w:t xml:space="preserve"> </w:t>
      </w:r>
      <w:r>
        <w:t>the</w:t>
      </w:r>
      <w:r w:rsidR="006C6F09">
        <w:t xml:space="preserve"> </w:t>
      </w:r>
      <w:r>
        <w:t>project,</w:t>
      </w:r>
      <w:r w:rsidR="006C6F09">
        <w:t xml:space="preserve"> </w:t>
      </w:r>
      <w:r>
        <w:t>but</w:t>
      </w:r>
      <w:r w:rsidR="006C6F09">
        <w:t xml:space="preserve"> </w:t>
      </w:r>
      <w:r>
        <w:t>before</w:t>
      </w:r>
      <w:r w:rsidR="006C6F09">
        <w:t xml:space="preserve"> </w:t>
      </w:r>
      <w:r>
        <w:t>earthmoving</w:t>
      </w:r>
      <w:r w:rsidR="006C6F09">
        <w:t xml:space="preserve"> </w:t>
      </w:r>
      <w:r>
        <w:t>or</w:t>
      </w:r>
      <w:r w:rsidR="006C6F09">
        <w:t xml:space="preserve"> </w:t>
      </w:r>
      <w:r>
        <w:t>other</w:t>
      </w:r>
      <w:r w:rsidR="006C6F09">
        <w:t xml:space="preserve"> </w:t>
      </w:r>
      <w:r>
        <w:t>activities</w:t>
      </w:r>
      <w:r w:rsidR="006C6F09">
        <w:t xml:space="preserve"> </w:t>
      </w:r>
      <w:r>
        <w:t>requiring</w:t>
      </w:r>
      <w:r w:rsidR="006C6F09">
        <w:t xml:space="preserve"> </w:t>
      </w:r>
      <w:r>
        <w:t>the</w:t>
      </w:r>
      <w:r w:rsidR="006C6F09">
        <w:t xml:space="preserve"> </w:t>
      </w:r>
      <w:r>
        <w:t>use</w:t>
      </w:r>
      <w:r w:rsidR="006C6F09">
        <w:t xml:space="preserve"> </w:t>
      </w:r>
      <w:r>
        <w:t>of</w:t>
      </w:r>
      <w:r w:rsidR="006C6F09">
        <w:t xml:space="preserve"> </w:t>
      </w:r>
      <w:r>
        <w:t>heavy</w:t>
      </w:r>
      <w:r w:rsidR="006C6F09">
        <w:t xml:space="preserve"> </w:t>
      </w:r>
      <w:r>
        <w:t>equipment</w:t>
      </w:r>
      <w:r w:rsidR="006C6F09">
        <w:t xml:space="preserve"> </w:t>
      </w:r>
      <w:r>
        <w:t>begin.</w:t>
      </w:r>
    </w:p>
    <w:p w14:paraId="30F72E81" w14:textId="2831DDAE" w:rsidR="00457754" w:rsidRPr="00C63A54" w:rsidRDefault="00457754" w:rsidP="00457754">
      <w:pPr>
        <w:pStyle w:val="Heading2"/>
      </w:pPr>
      <w:bookmarkStart w:id="101" w:name="_Toc224026235"/>
      <w:r w:rsidRPr="00C63A54">
        <w:t>12.0</w:t>
      </w:r>
      <w:r w:rsidR="006C6F09">
        <w:t xml:space="preserve"> </w:t>
      </w:r>
      <w:r w:rsidRPr="00C63A54">
        <w:t>Section</w:t>
      </w:r>
      <w:r w:rsidR="006C6F09">
        <w:t xml:space="preserve"> </w:t>
      </w:r>
      <w:r w:rsidRPr="00C63A54">
        <w:t>4(f)</w:t>
      </w:r>
      <w:r w:rsidR="006C6F09">
        <w:t xml:space="preserve"> </w:t>
      </w:r>
      <w:r w:rsidRPr="00C63A54">
        <w:t>De</w:t>
      </w:r>
      <w:r w:rsidR="006C6F09">
        <w:t xml:space="preserve"> </w:t>
      </w:r>
      <w:r w:rsidRPr="00C63A54">
        <w:t>Minimis</w:t>
      </w:r>
      <w:r w:rsidR="006C6F09">
        <w:t xml:space="preserve"> </w:t>
      </w:r>
      <w:r w:rsidRPr="00C63A54">
        <w:t>Findings</w:t>
      </w:r>
      <w:bookmarkEnd w:id="101"/>
      <w:r w:rsidR="006C6F09">
        <w:t xml:space="preserve"> </w:t>
      </w:r>
    </w:p>
    <w:p w14:paraId="15BFD51F" w14:textId="77D54370" w:rsidR="00457754" w:rsidRDefault="00457754" w:rsidP="00457754">
      <w:r>
        <w:t>Before</w:t>
      </w:r>
      <w:r w:rsidR="006C6F09">
        <w:t xml:space="preserve"> </w:t>
      </w:r>
      <w:r>
        <w:t>making</w:t>
      </w:r>
      <w:r w:rsidR="006C6F09">
        <w:t xml:space="preserve"> </w:t>
      </w:r>
      <w:r>
        <w:t>a</w:t>
      </w:r>
      <w:r w:rsidR="006C6F09">
        <w:t xml:space="preserve"> </w:t>
      </w:r>
      <w:r>
        <w:t>de</w:t>
      </w:r>
      <w:r w:rsidR="006C6F09">
        <w:t xml:space="preserve"> </w:t>
      </w:r>
      <w:r>
        <w:t>minimis</w:t>
      </w:r>
      <w:r w:rsidR="006C6F09">
        <w:t xml:space="preserve"> </w:t>
      </w:r>
      <w:r>
        <w:t>finding</w:t>
      </w:r>
      <w:r w:rsidR="006C6F09">
        <w:t xml:space="preserve"> </w:t>
      </w:r>
      <w:r>
        <w:t>with</w:t>
      </w:r>
      <w:r w:rsidR="006C6F09">
        <w:t xml:space="preserve"> </w:t>
      </w:r>
      <w:r>
        <w:t>respect</w:t>
      </w:r>
      <w:r w:rsidR="006C6F09">
        <w:t xml:space="preserve"> </w:t>
      </w:r>
      <w:r>
        <w:t>to</w:t>
      </w:r>
      <w:r w:rsidR="006C6F09">
        <w:t xml:space="preserve"> </w:t>
      </w:r>
      <w:r>
        <w:t>a</w:t>
      </w:r>
      <w:r w:rsidR="006C6F09">
        <w:t xml:space="preserve"> </w:t>
      </w:r>
      <w:r>
        <w:t>property</w:t>
      </w:r>
      <w:r w:rsidR="006C6F09">
        <w:t xml:space="preserve"> </w:t>
      </w:r>
      <w:r>
        <w:t>protected</w:t>
      </w:r>
      <w:r w:rsidR="006C6F09">
        <w:t xml:space="preserve"> </w:t>
      </w:r>
      <w:r>
        <w:t>under</w:t>
      </w:r>
      <w:r w:rsidR="006C6F09">
        <w:t xml:space="preserve"> </w:t>
      </w:r>
      <w:r>
        <w:t>Section</w:t>
      </w:r>
      <w:r w:rsidR="006C6F09">
        <w:t xml:space="preserve"> </w:t>
      </w:r>
      <w:r>
        <w:t>4(f)</w:t>
      </w:r>
      <w:r w:rsidR="006C6F09">
        <w:t xml:space="preserve"> </w:t>
      </w:r>
      <w:r>
        <w:t>(</w:t>
      </w:r>
      <w:hyperlink r:id="rId80" w:anchor="se23.1.774_15" w:history="1">
        <w:r w:rsidRPr="00746106">
          <w:rPr>
            <w:rStyle w:val="Hyperlink"/>
          </w:rPr>
          <w:t>Title</w:t>
        </w:r>
        <w:r w:rsidR="006C6F09">
          <w:rPr>
            <w:rStyle w:val="Hyperlink"/>
          </w:rPr>
          <w:t xml:space="preserve"> </w:t>
        </w:r>
        <w:r w:rsidRPr="00746106">
          <w:rPr>
            <w:rStyle w:val="Hyperlink"/>
          </w:rPr>
          <w:t>23</w:t>
        </w:r>
        <w:r w:rsidR="006C6F09">
          <w:rPr>
            <w:rStyle w:val="Hyperlink"/>
          </w:rPr>
          <w:t xml:space="preserve"> </w:t>
        </w:r>
        <w:r w:rsidRPr="00746106">
          <w:rPr>
            <w:rStyle w:val="Hyperlink"/>
          </w:rPr>
          <w:t>Code</w:t>
        </w:r>
        <w:r w:rsidR="006C6F09">
          <w:rPr>
            <w:rStyle w:val="Hyperlink"/>
          </w:rPr>
          <w:t xml:space="preserve"> </w:t>
        </w:r>
        <w:r w:rsidRPr="00746106">
          <w:rPr>
            <w:rStyle w:val="Hyperlink"/>
          </w:rPr>
          <w:t>of</w:t>
        </w:r>
        <w:r w:rsidR="006C6F09">
          <w:rPr>
            <w:rStyle w:val="Hyperlink"/>
          </w:rPr>
          <w:t xml:space="preserve"> </w:t>
        </w:r>
        <w:r w:rsidRPr="00746106">
          <w:rPr>
            <w:rStyle w:val="Hyperlink"/>
          </w:rPr>
          <w:t>Federal</w:t>
        </w:r>
        <w:r w:rsidR="006C6F09">
          <w:rPr>
            <w:rStyle w:val="Hyperlink"/>
          </w:rPr>
          <w:t xml:space="preserve"> </w:t>
        </w:r>
        <w:r w:rsidRPr="00746106">
          <w:rPr>
            <w:rStyle w:val="Hyperlink"/>
          </w:rPr>
          <w:t>Regulations</w:t>
        </w:r>
        <w:r w:rsidR="006C6F09">
          <w:rPr>
            <w:rStyle w:val="Hyperlink"/>
          </w:rPr>
          <w:t xml:space="preserve"> </w:t>
        </w:r>
        <w:r w:rsidRPr="00746106">
          <w:rPr>
            <w:rStyle w:val="Hyperlink"/>
          </w:rPr>
          <w:t>774.5(b)</w:t>
        </w:r>
      </w:hyperlink>
      <w:r>
        <w:t>)</w:t>
      </w:r>
      <w:r w:rsidR="006C6F09">
        <w:t xml:space="preserve"> </w:t>
      </w:r>
      <w:r>
        <w:t>for</w:t>
      </w:r>
      <w:r w:rsidR="006C6F09">
        <w:t xml:space="preserve"> </w:t>
      </w:r>
      <w:r>
        <w:t>publicly</w:t>
      </w:r>
      <w:r w:rsidR="006C6F09">
        <w:t xml:space="preserve"> </w:t>
      </w:r>
      <w:r>
        <w:t>owned</w:t>
      </w:r>
      <w:r w:rsidR="006C6F09">
        <w:t xml:space="preserve"> </w:t>
      </w:r>
      <w:r>
        <w:t>parks,</w:t>
      </w:r>
      <w:r w:rsidR="006C6F09">
        <w:t xml:space="preserve"> </w:t>
      </w:r>
      <w:r>
        <w:t>recreation</w:t>
      </w:r>
      <w:r w:rsidR="006C6F09">
        <w:t xml:space="preserve"> </w:t>
      </w:r>
      <w:r>
        <w:t>areas,</w:t>
      </w:r>
      <w:r w:rsidR="006C6F09">
        <w:t xml:space="preserve"> </w:t>
      </w:r>
      <w:r>
        <w:t>wildlife</w:t>
      </w:r>
      <w:r w:rsidR="006C6F09">
        <w:t xml:space="preserve"> </w:t>
      </w:r>
      <w:r>
        <w:t>or</w:t>
      </w:r>
      <w:r w:rsidR="006C6F09">
        <w:t xml:space="preserve"> </w:t>
      </w:r>
      <w:r>
        <w:t>waterfowl</w:t>
      </w:r>
      <w:r w:rsidR="006C6F09">
        <w:t xml:space="preserve"> </w:t>
      </w:r>
      <w:r>
        <w:t>refuges,</w:t>
      </w:r>
      <w:r w:rsidR="006C6F09">
        <w:t xml:space="preserve"> </w:t>
      </w:r>
      <w:r>
        <w:t>the</w:t>
      </w:r>
      <w:r w:rsidR="006C6F09">
        <w:t xml:space="preserve"> </w:t>
      </w:r>
      <w:r>
        <w:t>department</w:t>
      </w:r>
      <w:r w:rsidR="006C6F09">
        <w:t xml:space="preserve"> </w:t>
      </w:r>
      <w:r>
        <w:t>must</w:t>
      </w:r>
      <w:r w:rsidR="006C6F09">
        <w:t xml:space="preserve"> </w:t>
      </w:r>
      <w:r>
        <w:t>provide</w:t>
      </w:r>
      <w:r w:rsidR="006C6F09">
        <w:t xml:space="preserve"> </w:t>
      </w:r>
      <w:r>
        <w:t>public</w:t>
      </w:r>
      <w:r w:rsidR="006C6F09">
        <w:t xml:space="preserve"> </w:t>
      </w:r>
      <w:r>
        <w:t>notice</w:t>
      </w:r>
      <w:r w:rsidR="006C6F09">
        <w:t xml:space="preserve"> </w:t>
      </w:r>
      <w:r>
        <w:t>and</w:t>
      </w:r>
      <w:r w:rsidR="006C6F09">
        <w:t xml:space="preserve"> </w:t>
      </w:r>
      <w:r>
        <w:t>comment.</w:t>
      </w:r>
      <w:r w:rsidR="006C6F09">
        <w:t xml:space="preserve"> </w:t>
      </w:r>
      <w:r>
        <w:t>Issuing</w:t>
      </w:r>
      <w:r w:rsidR="006C6F09">
        <w:t xml:space="preserve"> </w:t>
      </w:r>
      <w:r>
        <w:t>notice</w:t>
      </w:r>
      <w:r w:rsidR="006C6F09">
        <w:t xml:space="preserve"> </w:t>
      </w:r>
      <w:r>
        <w:t>and</w:t>
      </w:r>
      <w:r w:rsidR="006C6F09">
        <w:t xml:space="preserve"> </w:t>
      </w:r>
      <w:r>
        <w:t>opportunity</w:t>
      </w:r>
      <w:r w:rsidR="006C6F09">
        <w:t xml:space="preserve"> </w:t>
      </w:r>
      <w:r>
        <w:t>for</w:t>
      </w:r>
      <w:r w:rsidR="006C6F09">
        <w:t xml:space="preserve"> </w:t>
      </w:r>
      <w:r>
        <w:t>public</w:t>
      </w:r>
      <w:r w:rsidR="006C6F09">
        <w:t xml:space="preserve"> </w:t>
      </w:r>
      <w:r>
        <w:t>comment</w:t>
      </w:r>
      <w:r w:rsidR="006C6F09">
        <w:t xml:space="preserve"> </w:t>
      </w:r>
      <w:r>
        <w:t>in</w:t>
      </w:r>
      <w:r w:rsidR="006C6F09">
        <w:t xml:space="preserve"> </w:t>
      </w:r>
      <w:r>
        <w:t>the</w:t>
      </w:r>
      <w:r w:rsidR="006C6F09">
        <w:t xml:space="preserve"> </w:t>
      </w:r>
      <w:r>
        <w:t>context</w:t>
      </w:r>
      <w:r w:rsidR="006C6F09">
        <w:t xml:space="preserve"> </w:t>
      </w:r>
      <w:r>
        <w:t>of</w:t>
      </w:r>
      <w:r w:rsidR="006C6F09">
        <w:t xml:space="preserve"> </w:t>
      </w:r>
      <w:r>
        <w:t>a</w:t>
      </w:r>
      <w:r w:rsidR="006C6F09">
        <w:t xml:space="preserve"> </w:t>
      </w:r>
      <w:r>
        <w:t>public</w:t>
      </w:r>
      <w:r w:rsidR="006C6F09">
        <w:t xml:space="preserve"> </w:t>
      </w:r>
      <w:r>
        <w:t>meeting,</w:t>
      </w:r>
      <w:r w:rsidR="006C6F09">
        <w:t xml:space="preserve"> </w:t>
      </w:r>
      <w:r>
        <w:t>public</w:t>
      </w:r>
      <w:r w:rsidR="006C6F09">
        <w:t xml:space="preserve"> </w:t>
      </w:r>
      <w:r>
        <w:t>hearing,</w:t>
      </w:r>
      <w:r w:rsidR="006C6F09">
        <w:t xml:space="preserve"> </w:t>
      </w:r>
      <w:r>
        <w:t>or</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r>
        <w:t>as</w:t>
      </w:r>
      <w:r w:rsidR="006C6F09">
        <w:t xml:space="preserve"> </w:t>
      </w:r>
      <w:r>
        <w:t>described</w:t>
      </w:r>
      <w:r w:rsidR="006C6F09">
        <w:t xml:space="preserve"> </w:t>
      </w:r>
      <w:r>
        <w:t>above</w:t>
      </w:r>
      <w:r w:rsidR="006C6F09">
        <w:t xml:space="preserve"> </w:t>
      </w:r>
      <w:r>
        <w:t>in</w:t>
      </w:r>
      <w:r w:rsidR="006C6F09">
        <w:t xml:space="preserve"> </w:t>
      </w:r>
      <w:r>
        <w:t>this</w:t>
      </w:r>
      <w:r w:rsidR="006C6F09">
        <w:t xml:space="preserve"> </w:t>
      </w:r>
      <w:r>
        <w:t>Handbook</w:t>
      </w:r>
      <w:r w:rsidR="006C6F09">
        <w:t xml:space="preserve"> </w:t>
      </w:r>
      <w:r>
        <w:t>will,</w:t>
      </w:r>
      <w:r w:rsidR="006C6F09">
        <w:t xml:space="preserve"> </w:t>
      </w:r>
      <w:r>
        <w:t>in</w:t>
      </w:r>
      <w:r w:rsidR="006C6F09">
        <w:t xml:space="preserve"> </w:t>
      </w:r>
      <w:r>
        <w:t>most</w:t>
      </w:r>
      <w:r w:rsidR="006C6F09">
        <w:t xml:space="preserve"> </w:t>
      </w:r>
      <w:r>
        <w:t>cases,</w:t>
      </w:r>
      <w:r w:rsidR="006C6F09">
        <w:t xml:space="preserve"> </w:t>
      </w:r>
      <w:r>
        <w:t>be</w:t>
      </w:r>
      <w:r w:rsidR="006C6F09">
        <w:t xml:space="preserve"> </w:t>
      </w:r>
      <w:r>
        <w:t>sufficient</w:t>
      </w:r>
      <w:r w:rsidR="006C6F09">
        <w:t xml:space="preserve"> </w:t>
      </w:r>
      <w:r>
        <w:t>to</w:t>
      </w:r>
      <w:r w:rsidR="006C6F09">
        <w:t xml:space="preserve"> </w:t>
      </w:r>
      <w:r>
        <w:t>satisfy</w:t>
      </w:r>
      <w:r w:rsidR="006C6F09">
        <w:t xml:space="preserve"> </w:t>
      </w:r>
      <w:r>
        <w:t>the</w:t>
      </w:r>
      <w:r w:rsidR="006C6F09">
        <w:t xml:space="preserve"> </w:t>
      </w:r>
      <w:r>
        <w:t>public</w:t>
      </w:r>
      <w:r w:rsidR="006C6F09">
        <w:t xml:space="preserve"> </w:t>
      </w:r>
      <w:r>
        <w:t>notice</w:t>
      </w:r>
      <w:r w:rsidR="006C6F09">
        <w:t xml:space="preserve"> </w:t>
      </w:r>
      <w:r>
        <w:t>and</w:t>
      </w:r>
      <w:r w:rsidR="006C6F09">
        <w:t xml:space="preserve"> </w:t>
      </w:r>
      <w:r>
        <w:t>comment</w:t>
      </w:r>
      <w:r w:rsidR="006C6F09">
        <w:t xml:space="preserve"> </w:t>
      </w:r>
      <w:r>
        <w:t>requirements</w:t>
      </w:r>
      <w:r w:rsidR="006C6F09">
        <w:t xml:space="preserve"> </w:t>
      </w:r>
      <w:r>
        <w:t>for</w:t>
      </w:r>
      <w:r w:rsidR="006C6F09">
        <w:t xml:space="preserve"> </w:t>
      </w:r>
      <w:r>
        <w:t>the</w:t>
      </w:r>
      <w:r w:rsidR="006C6F09">
        <w:t xml:space="preserve"> </w:t>
      </w:r>
      <w:r>
        <w:t>de</w:t>
      </w:r>
      <w:r w:rsidR="006C6F09">
        <w:t xml:space="preserve"> </w:t>
      </w:r>
      <w:r>
        <w:t>minimis</w:t>
      </w:r>
      <w:r w:rsidR="006C6F09">
        <w:t xml:space="preserve"> </w:t>
      </w:r>
      <w:r>
        <w:t>impact</w:t>
      </w:r>
      <w:r w:rsidR="006C6F09">
        <w:t xml:space="preserve"> </w:t>
      </w:r>
      <w:r>
        <w:t>finding.</w:t>
      </w:r>
      <w:r w:rsidR="006C6F09">
        <w:t xml:space="preserve"> </w:t>
      </w:r>
    </w:p>
    <w:p w14:paraId="7B5FB9F5" w14:textId="6298401B" w:rsidR="00457754" w:rsidRPr="00746106" w:rsidRDefault="00457754" w:rsidP="00457754">
      <w:r>
        <w:t>However,</w:t>
      </w:r>
      <w:r w:rsidR="006C6F09">
        <w:t xml:space="preserve"> </w:t>
      </w:r>
      <w:r>
        <w:t>for</w:t>
      </w:r>
      <w:r w:rsidR="006C6F09">
        <w:t xml:space="preserve"> </w:t>
      </w:r>
      <w:r>
        <w:t>those</w:t>
      </w:r>
      <w:r w:rsidR="006C6F09">
        <w:t xml:space="preserve"> </w:t>
      </w:r>
      <w:r>
        <w:t>actions</w:t>
      </w:r>
      <w:r w:rsidR="006C6F09">
        <w:t xml:space="preserve"> </w:t>
      </w:r>
      <w:r>
        <w:t>that</w:t>
      </w:r>
      <w:r w:rsidR="006C6F09">
        <w:t xml:space="preserve"> </w:t>
      </w:r>
      <w:r>
        <w:t>do</w:t>
      </w:r>
      <w:r w:rsidR="006C6F09">
        <w:t xml:space="preserve"> </w:t>
      </w:r>
      <w:r>
        <w:t>not</w:t>
      </w:r>
      <w:r w:rsidR="006C6F09">
        <w:t xml:space="preserve"> </w:t>
      </w:r>
      <w:r>
        <w:t>routinely</w:t>
      </w:r>
      <w:r w:rsidR="006C6F09">
        <w:t xml:space="preserve"> </w:t>
      </w:r>
      <w:r>
        <w:t>require</w:t>
      </w:r>
      <w:r w:rsidR="006C6F09">
        <w:t xml:space="preserve"> </w:t>
      </w:r>
      <w:r>
        <w:t>public</w:t>
      </w:r>
      <w:r w:rsidR="006C6F09">
        <w:t xml:space="preserve"> </w:t>
      </w:r>
      <w:r>
        <w:t>review</w:t>
      </w:r>
      <w:r w:rsidR="006C6F09">
        <w:t xml:space="preserve"> </w:t>
      </w:r>
      <w:r>
        <w:t>and</w:t>
      </w:r>
      <w:r w:rsidR="006C6F09">
        <w:t xml:space="preserve"> </w:t>
      </w:r>
      <w:r>
        <w:t>comment</w:t>
      </w:r>
      <w:r w:rsidR="006C6F09">
        <w:t xml:space="preserve"> </w:t>
      </w:r>
      <w:r>
        <w:t>(for</w:t>
      </w:r>
      <w:r w:rsidR="006C6F09">
        <w:t xml:space="preserve"> </w:t>
      </w:r>
      <w:r>
        <w:t>example,</w:t>
      </w:r>
      <w:r w:rsidR="006C6F09">
        <w:t xml:space="preserve"> </w:t>
      </w:r>
      <w:r>
        <w:t>certain</w:t>
      </w:r>
      <w:r w:rsidR="006C6F09">
        <w:t xml:space="preserve"> </w:t>
      </w:r>
      <w:r>
        <w:t>categorical</w:t>
      </w:r>
      <w:r w:rsidR="006C6F09">
        <w:t xml:space="preserve"> </w:t>
      </w:r>
      <w:r>
        <w:t>exclusions</w:t>
      </w:r>
      <w:r w:rsidR="006C6F09">
        <w:t xml:space="preserve"> </w:t>
      </w:r>
      <w:r>
        <w:t>and</w:t>
      </w:r>
      <w:r w:rsidR="006C6F09">
        <w:t xml:space="preserve"> </w:t>
      </w:r>
      <w:r>
        <w:t>reevaluations),</w:t>
      </w:r>
      <w:r w:rsidR="006C6F09">
        <w:t xml:space="preserve"> </w:t>
      </w:r>
      <w:r>
        <w:lastRenderedPageBreak/>
        <w:t>but</w:t>
      </w:r>
      <w:r w:rsidR="006C6F09">
        <w:t xml:space="preserve"> </w:t>
      </w:r>
      <w:r>
        <w:t>for</w:t>
      </w:r>
      <w:r w:rsidR="006C6F09">
        <w:t xml:space="preserve"> </w:t>
      </w:r>
      <w:r>
        <w:t>which</w:t>
      </w:r>
      <w:r w:rsidR="006C6F09">
        <w:t xml:space="preserve"> </w:t>
      </w:r>
      <w:r>
        <w:t>a</w:t>
      </w:r>
      <w:r w:rsidR="006C6F09">
        <w:t xml:space="preserve"> </w:t>
      </w:r>
      <w:r>
        <w:t>de</w:t>
      </w:r>
      <w:r w:rsidR="006C6F09">
        <w:t xml:space="preserve"> </w:t>
      </w:r>
      <w:r>
        <w:t>minimis</w:t>
      </w:r>
      <w:r w:rsidR="006C6F09">
        <w:t xml:space="preserve"> </w:t>
      </w:r>
      <w:r>
        <w:t>finding</w:t>
      </w:r>
      <w:r w:rsidR="006C6F09">
        <w:t xml:space="preserve"> </w:t>
      </w:r>
      <w:r>
        <w:t>is</w:t>
      </w:r>
      <w:r w:rsidR="006C6F09">
        <w:t xml:space="preserve"> </w:t>
      </w:r>
      <w:r>
        <w:t>proposed</w:t>
      </w:r>
      <w:r w:rsidR="006C6F09">
        <w:t xml:space="preserve"> </w:t>
      </w:r>
      <w:r>
        <w:t>to</w:t>
      </w:r>
      <w:r w:rsidR="006C6F09">
        <w:t xml:space="preserve"> </w:t>
      </w:r>
      <w:r>
        <w:t>be</w:t>
      </w:r>
      <w:r w:rsidR="006C6F09">
        <w:t xml:space="preserve"> </w:t>
      </w:r>
      <w:r>
        <w:t>made,</w:t>
      </w:r>
      <w:r w:rsidR="006C6F09">
        <w:t xml:space="preserve"> </w:t>
      </w:r>
      <w:r>
        <w:t>a</w:t>
      </w:r>
      <w:r w:rsidR="006C6F09">
        <w:t xml:space="preserve"> </w:t>
      </w:r>
      <w:r>
        <w:t>separate</w:t>
      </w:r>
      <w:r w:rsidR="006C6F09">
        <w:t xml:space="preserve"> </w:t>
      </w:r>
      <w:r>
        <w:t>public</w:t>
      </w:r>
      <w:r w:rsidR="006C6F09">
        <w:t xml:space="preserve"> </w:t>
      </w:r>
      <w:r>
        <w:t>notice</w:t>
      </w:r>
      <w:r w:rsidR="006C6F09">
        <w:t xml:space="preserve"> </w:t>
      </w:r>
      <w:r>
        <w:t>and</w:t>
      </w:r>
      <w:r w:rsidR="006C6F09">
        <w:t xml:space="preserve"> </w:t>
      </w:r>
      <w:r>
        <w:t>opportunity</w:t>
      </w:r>
      <w:r w:rsidR="006C6F09">
        <w:t xml:space="preserve"> </w:t>
      </w:r>
      <w:r>
        <w:t>for</w:t>
      </w:r>
      <w:r w:rsidR="006C6F09">
        <w:t xml:space="preserve"> </w:t>
      </w:r>
      <w:r>
        <w:t>review</w:t>
      </w:r>
      <w:r w:rsidR="006C6F09">
        <w:t xml:space="preserve"> </w:t>
      </w:r>
      <w:r>
        <w:t>and</w:t>
      </w:r>
      <w:r w:rsidR="006C6F09">
        <w:t xml:space="preserve"> </w:t>
      </w:r>
      <w:r>
        <w:t>comment</w:t>
      </w:r>
      <w:r w:rsidR="006C6F09">
        <w:t xml:space="preserve"> </w:t>
      </w:r>
      <w:r>
        <w:t>will</w:t>
      </w:r>
      <w:r w:rsidR="006C6F09">
        <w:t xml:space="preserve"> </w:t>
      </w:r>
      <w:r>
        <w:t>be</w:t>
      </w:r>
      <w:r w:rsidR="006C6F09">
        <w:t xml:space="preserve"> </w:t>
      </w:r>
      <w:r>
        <w:t>necessary.</w:t>
      </w:r>
      <w:r w:rsidR="006C6F09">
        <w:t xml:space="preserve"> </w:t>
      </w:r>
      <w:r>
        <w:t>In</w:t>
      </w:r>
      <w:r w:rsidR="006C6F09">
        <w:t xml:space="preserve"> </w:t>
      </w:r>
      <w:r>
        <w:t>these</w:t>
      </w:r>
      <w:r w:rsidR="006C6F09">
        <w:t xml:space="preserve"> </w:t>
      </w:r>
      <w:r>
        <w:t>cases,</w:t>
      </w:r>
      <w:r w:rsidR="006C6F09">
        <w:t xml:space="preserve"> </w:t>
      </w:r>
      <w:r>
        <w:t>appropriate</w:t>
      </w:r>
      <w:r w:rsidR="006C6F09">
        <w:t xml:space="preserve"> </w:t>
      </w:r>
      <w:r>
        <w:t>public</w:t>
      </w:r>
      <w:r w:rsidR="006C6F09">
        <w:t xml:space="preserve"> </w:t>
      </w:r>
      <w:r>
        <w:t>involvement</w:t>
      </w:r>
      <w:r w:rsidR="006C6F09">
        <w:t xml:space="preserve"> </w:t>
      </w:r>
      <w:r>
        <w:t>should</w:t>
      </w:r>
      <w:r w:rsidR="006C6F09">
        <w:t xml:space="preserve"> </w:t>
      </w:r>
      <w:r>
        <w:t>be</w:t>
      </w:r>
      <w:r w:rsidR="006C6F09">
        <w:t xml:space="preserve"> </w:t>
      </w:r>
      <w:r>
        <w:t>based</w:t>
      </w:r>
      <w:r w:rsidR="006C6F09">
        <w:t xml:space="preserve"> </w:t>
      </w:r>
      <w:r>
        <w:t>on</w:t>
      </w:r>
      <w:r w:rsidR="006C6F09">
        <w:t xml:space="preserve"> </w:t>
      </w:r>
      <w:r>
        <w:t>the</w:t>
      </w:r>
      <w:r w:rsidR="006C6F09">
        <w:t xml:space="preserve"> </w:t>
      </w:r>
      <w:r>
        <w:t>specifics</w:t>
      </w:r>
      <w:r w:rsidR="006C6F09">
        <w:t xml:space="preserve"> </w:t>
      </w:r>
      <w:r>
        <w:t>of</w:t>
      </w:r>
      <w:r w:rsidR="006C6F09">
        <w:t xml:space="preserve"> </w:t>
      </w:r>
      <w:r>
        <w:t>the</w:t>
      </w:r>
      <w:r w:rsidR="006C6F09">
        <w:t xml:space="preserve"> </w:t>
      </w:r>
      <w:r>
        <w:t>situation</w:t>
      </w:r>
      <w:r w:rsidR="006C6F09">
        <w:t xml:space="preserve"> </w:t>
      </w:r>
      <w:r>
        <w:t>and</w:t>
      </w:r>
      <w:r w:rsidR="006C6F09">
        <w:t xml:space="preserve"> </w:t>
      </w:r>
      <w:r>
        <w:t>commensurate</w:t>
      </w:r>
      <w:r w:rsidR="006C6F09">
        <w:t xml:space="preserve"> </w:t>
      </w:r>
      <w:r>
        <w:t>with</w:t>
      </w:r>
      <w:r w:rsidR="006C6F09">
        <w:t xml:space="preserve"> </w:t>
      </w:r>
      <w:r>
        <w:t>the</w:t>
      </w:r>
      <w:r w:rsidR="006C6F09">
        <w:t xml:space="preserve"> </w:t>
      </w:r>
      <w:r>
        <w:t>type</w:t>
      </w:r>
      <w:r w:rsidR="006C6F09">
        <w:t xml:space="preserve"> </w:t>
      </w:r>
      <w:r>
        <w:t>and</w:t>
      </w:r>
      <w:r w:rsidR="006C6F09">
        <w:t xml:space="preserve"> </w:t>
      </w:r>
      <w:r>
        <w:t>location</w:t>
      </w:r>
      <w:r w:rsidR="006C6F09">
        <w:t xml:space="preserve"> </w:t>
      </w:r>
      <w:r>
        <w:t>of</w:t>
      </w:r>
      <w:r w:rsidR="006C6F09">
        <w:t xml:space="preserve"> </w:t>
      </w:r>
      <w:r>
        <w:t>the</w:t>
      </w:r>
      <w:r w:rsidR="006C6F09">
        <w:t xml:space="preserve"> </w:t>
      </w:r>
      <w:r>
        <w:t>Section</w:t>
      </w:r>
      <w:r w:rsidR="006C6F09">
        <w:t xml:space="preserve"> </w:t>
      </w:r>
      <w:r>
        <w:t>4(f)</w:t>
      </w:r>
      <w:r w:rsidR="006C6F09">
        <w:t xml:space="preserve"> </w:t>
      </w:r>
      <w:r>
        <w:t>property,</w:t>
      </w:r>
      <w:r w:rsidR="006C6F09">
        <w:t xml:space="preserve"> </w:t>
      </w:r>
      <w:r>
        <w:t>the</w:t>
      </w:r>
      <w:r w:rsidR="006C6F09">
        <w:t xml:space="preserve"> </w:t>
      </w:r>
      <w:r>
        <w:t>impacts,</w:t>
      </w:r>
      <w:r w:rsidR="006C6F09">
        <w:t xml:space="preserve"> </w:t>
      </w:r>
      <w:r>
        <w:t>and</w:t>
      </w:r>
      <w:r w:rsidR="006C6F09">
        <w:t xml:space="preserve"> </w:t>
      </w:r>
      <w:r>
        <w:t>public</w:t>
      </w:r>
      <w:r w:rsidR="006C6F09">
        <w:t xml:space="preserve"> </w:t>
      </w:r>
      <w:r>
        <w:t>interest.</w:t>
      </w:r>
      <w:r w:rsidR="006C6F09">
        <w:t xml:space="preserve"> </w:t>
      </w:r>
      <w:r w:rsidR="00923E8A">
        <w:t>Methods</w:t>
      </w:r>
      <w:r w:rsidR="006C6F09">
        <w:t xml:space="preserve"> </w:t>
      </w:r>
      <w:r>
        <w:t>of</w:t>
      </w:r>
      <w:r w:rsidR="006C6F09">
        <w:t xml:space="preserve"> </w:t>
      </w:r>
      <w:r>
        <w:t>outreach</w:t>
      </w:r>
      <w:r w:rsidR="006C6F09">
        <w:t xml:space="preserve"> </w:t>
      </w:r>
      <w:r>
        <w:t>are</w:t>
      </w:r>
      <w:r w:rsidR="006C6F09">
        <w:t xml:space="preserve"> </w:t>
      </w:r>
      <w:r>
        <w:t>many</w:t>
      </w:r>
      <w:r w:rsidR="006C6F09">
        <w:t xml:space="preserve"> </w:t>
      </w:r>
      <w:r>
        <w:t>and</w:t>
      </w:r>
      <w:r w:rsidR="006C6F09">
        <w:t xml:space="preserve"> </w:t>
      </w:r>
      <w:r>
        <w:t>include</w:t>
      </w:r>
      <w:r w:rsidR="006C6F09">
        <w:t xml:space="preserve"> </w:t>
      </w:r>
      <w:r>
        <w:t>newspaper</w:t>
      </w:r>
      <w:r w:rsidR="006C6F09">
        <w:t xml:space="preserve"> </w:t>
      </w:r>
      <w:r>
        <w:t>advertisements,</w:t>
      </w:r>
      <w:r w:rsidR="006C6F09">
        <w:t xml:space="preserve"> </w:t>
      </w:r>
      <w:r>
        <w:t>public</w:t>
      </w:r>
      <w:r w:rsidR="006C6F09">
        <w:t xml:space="preserve"> </w:t>
      </w:r>
      <w:r>
        <w:t>meetings,</w:t>
      </w:r>
      <w:r w:rsidR="006C6F09">
        <w:t xml:space="preserve"> </w:t>
      </w:r>
      <w:r>
        <w:t>public</w:t>
      </w:r>
      <w:r w:rsidR="006C6F09">
        <w:t xml:space="preserve"> </w:t>
      </w:r>
      <w:r>
        <w:t>hearings,</w:t>
      </w:r>
      <w:r w:rsidR="006C6F09">
        <w:t xml:space="preserve"> </w:t>
      </w:r>
      <w:r>
        <w:t>notices</w:t>
      </w:r>
      <w:r w:rsidR="006C6F09">
        <w:t xml:space="preserve"> </w:t>
      </w:r>
      <w:r>
        <w:t>posted</w:t>
      </w:r>
      <w:r w:rsidR="006C6F09">
        <w:t xml:space="preserve"> </w:t>
      </w:r>
      <w:r>
        <w:t>on</w:t>
      </w:r>
      <w:r w:rsidR="006C6F09">
        <w:t xml:space="preserve"> </w:t>
      </w:r>
      <w:r>
        <w:t>bulletin</w:t>
      </w:r>
      <w:r w:rsidR="006C6F09">
        <w:t xml:space="preserve"> </w:t>
      </w:r>
      <w:r>
        <w:t>boards</w:t>
      </w:r>
      <w:r w:rsidR="006C6F09">
        <w:t xml:space="preserve"> </w:t>
      </w:r>
      <w:r>
        <w:t>(for</w:t>
      </w:r>
      <w:r w:rsidR="006C6F09">
        <w:t xml:space="preserve"> </w:t>
      </w:r>
      <w:r>
        <w:t>properties</w:t>
      </w:r>
      <w:r w:rsidR="006C6F09">
        <w:t xml:space="preserve"> </w:t>
      </w:r>
      <w:r>
        <w:t>open</w:t>
      </w:r>
      <w:r w:rsidR="006C6F09">
        <w:t xml:space="preserve"> </w:t>
      </w:r>
      <w:r>
        <w:t>to</w:t>
      </w:r>
      <w:r w:rsidR="006C6F09">
        <w:t xml:space="preserve"> </w:t>
      </w:r>
      <w:r>
        <w:t>the</w:t>
      </w:r>
      <w:r w:rsidR="006C6F09">
        <w:t xml:space="preserve"> </w:t>
      </w:r>
      <w:r>
        <w:t>public),</w:t>
      </w:r>
      <w:r w:rsidR="006C6F09">
        <w:t xml:space="preserve"> </w:t>
      </w:r>
      <w:r>
        <w:t>project</w:t>
      </w:r>
      <w:r w:rsidR="006C6F09">
        <w:t xml:space="preserve"> </w:t>
      </w:r>
      <w:r>
        <w:t>websites,</w:t>
      </w:r>
      <w:r w:rsidR="006C6F09">
        <w:t xml:space="preserve"> </w:t>
      </w:r>
      <w:r>
        <w:t>newsletters,</w:t>
      </w:r>
      <w:r w:rsidR="006C6F09">
        <w:t xml:space="preserve"> </w:t>
      </w:r>
      <w:r>
        <w:t>and</w:t>
      </w:r>
      <w:r w:rsidR="006C6F09">
        <w:t xml:space="preserve"> </w:t>
      </w:r>
      <w:r>
        <w:t>placement</w:t>
      </w:r>
      <w:r w:rsidR="006C6F09">
        <w:t xml:space="preserve"> </w:t>
      </w:r>
      <w:r>
        <w:t>of</w:t>
      </w:r>
      <w:r w:rsidR="006C6F09">
        <w:t xml:space="preserve"> </w:t>
      </w:r>
      <w:r>
        <w:t>notices</w:t>
      </w:r>
      <w:r w:rsidR="006C6F09">
        <w:t xml:space="preserve"> </w:t>
      </w:r>
      <w:r>
        <w:t>or</w:t>
      </w:r>
      <w:r w:rsidR="006C6F09">
        <w:t xml:space="preserve"> </w:t>
      </w:r>
      <w:r>
        <w:t>documents</w:t>
      </w:r>
      <w:r w:rsidR="006C6F09">
        <w:t xml:space="preserve"> </w:t>
      </w:r>
      <w:r>
        <w:t>at</w:t>
      </w:r>
      <w:r w:rsidR="006C6F09">
        <w:t xml:space="preserve"> </w:t>
      </w:r>
      <w:r>
        <w:t>public</w:t>
      </w:r>
      <w:r w:rsidR="006C6F09">
        <w:t xml:space="preserve"> </w:t>
      </w:r>
      <w:r>
        <w:t>libraries.</w:t>
      </w:r>
      <w:r w:rsidR="006C6F09">
        <w:t xml:space="preserve"> </w:t>
      </w:r>
      <w:r>
        <w:t>All</w:t>
      </w:r>
      <w:r w:rsidR="006C6F09">
        <w:t xml:space="preserve"> </w:t>
      </w:r>
      <w:r>
        <w:t>comments</w:t>
      </w:r>
      <w:r w:rsidR="006C6F09">
        <w:t xml:space="preserve"> </w:t>
      </w:r>
      <w:r>
        <w:t>received</w:t>
      </w:r>
      <w:r w:rsidR="006C6F09">
        <w:t xml:space="preserve"> </w:t>
      </w:r>
      <w:r>
        <w:t>and</w:t>
      </w:r>
      <w:r w:rsidR="006C6F09">
        <w:t xml:space="preserve"> </w:t>
      </w:r>
      <w:r>
        <w:t>responses</w:t>
      </w:r>
      <w:r w:rsidR="006C6F09">
        <w:t xml:space="preserve"> </w:t>
      </w:r>
      <w:r>
        <w:t>thereto</w:t>
      </w:r>
      <w:r w:rsidR="006C6F09">
        <w:t xml:space="preserve"> </w:t>
      </w:r>
      <w:r>
        <w:t>should</w:t>
      </w:r>
      <w:r w:rsidR="006C6F09">
        <w:t xml:space="preserve"> </w:t>
      </w:r>
      <w:r>
        <w:t>be</w:t>
      </w:r>
      <w:r w:rsidR="006C6F09">
        <w:t xml:space="preserve"> </w:t>
      </w:r>
      <w:r>
        <w:t>documented</w:t>
      </w:r>
      <w:r w:rsidR="006C6F09">
        <w:t xml:space="preserve"> </w:t>
      </w:r>
      <w:r>
        <w:t>in</w:t>
      </w:r>
      <w:r w:rsidR="006C6F09">
        <w:t xml:space="preserve"> </w:t>
      </w:r>
      <w:r>
        <w:t>the</w:t>
      </w:r>
      <w:r w:rsidR="006C6F09">
        <w:t xml:space="preserve"> </w:t>
      </w:r>
      <w:r>
        <w:t>same</w:t>
      </w:r>
      <w:r w:rsidR="006C6F09">
        <w:t xml:space="preserve"> </w:t>
      </w:r>
      <w:r>
        <w:t>manner</w:t>
      </w:r>
      <w:r w:rsidR="006C6F09">
        <w:t xml:space="preserve"> </w:t>
      </w:r>
      <w:r>
        <w:t>that</w:t>
      </w:r>
      <w:r w:rsidR="006C6F09">
        <w:t xml:space="preserve"> </w:t>
      </w:r>
      <w:r>
        <w:t>other</w:t>
      </w:r>
      <w:r w:rsidR="006C6F09">
        <w:t xml:space="preserve"> </w:t>
      </w:r>
      <w:r>
        <w:t>comments</w:t>
      </w:r>
      <w:r w:rsidR="006C6F09">
        <w:t xml:space="preserve"> </w:t>
      </w:r>
      <w:r>
        <w:t>on</w:t>
      </w:r>
      <w:r w:rsidR="006C6F09">
        <w:t xml:space="preserve"> </w:t>
      </w:r>
      <w:r>
        <w:t>the</w:t>
      </w:r>
      <w:r w:rsidR="006C6F09">
        <w:t xml:space="preserve"> </w:t>
      </w:r>
      <w:r>
        <w:t>proposed</w:t>
      </w:r>
      <w:r w:rsidR="006C6F09">
        <w:t xml:space="preserve"> </w:t>
      </w:r>
      <w:r>
        <w:t>action</w:t>
      </w:r>
      <w:r w:rsidR="006C6F09">
        <w:t xml:space="preserve"> </w:t>
      </w:r>
      <w:r>
        <w:t>would</w:t>
      </w:r>
      <w:r w:rsidR="006C6F09">
        <w:t xml:space="preserve"> </w:t>
      </w:r>
      <w:r>
        <w:t>be</w:t>
      </w:r>
      <w:r w:rsidR="006C6F09">
        <w:t xml:space="preserve"> </w:t>
      </w:r>
      <w:r>
        <w:t>incorporated</w:t>
      </w:r>
      <w:r w:rsidR="006C6F09">
        <w:t xml:space="preserve"> </w:t>
      </w:r>
      <w:r>
        <w:t>in</w:t>
      </w:r>
      <w:r w:rsidR="006C6F09">
        <w:t xml:space="preserve"> </w:t>
      </w:r>
      <w:r>
        <w:t>the</w:t>
      </w:r>
      <w:r w:rsidR="006C6F09">
        <w:t xml:space="preserve"> </w:t>
      </w:r>
      <w:r>
        <w:t>project</w:t>
      </w:r>
      <w:r w:rsidR="006C6F09">
        <w:t xml:space="preserve"> </w:t>
      </w:r>
      <w:r>
        <w:t>file.</w:t>
      </w:r>
    </w:p>
    <w:p w14:paraId="226DF8F2" w14:textId="68A2B810" w:rsidR="00457754" w:rsidRPr="00C63A54" w:rsidRDefault="00457754" w:rsidP="00457754">
      <w:pPr>
        <w:pStyle w:val="Heading2"/>
        <w:spacing w:after="240"/>
      </w:pPr>
      <w:bookmarkStart w:id="102" w:name="_Toc224026236"/>
      <w:r w:rsidRPr="00C63A54">
        <w:t>13.0</w:t>
      </w:r>
      <w:r w:rsidR="006C6F09">
        <w:t xml:space="preserve"> </w:t>
      </w:r>
      <w:r w:rsidRPr="00C63A54">
        <w:t>Additional</w:t>
      </w:r>
      <w:r w:rsidR="006C6F09">
        <w:t xml:space="preserve"> </w:t>
      </w:r>
      <w:r w:rsidRPr="00C63A54">
        <w:t>State</w:t>
      </w:r>
      <w:r w:rsidR="006C6F09">
        <w:t xml:space="preserve"> </w:t>
      </w:r>
      <w:r w:rsidRPr="00C63A54">
        <w:t>Statutory</w:t>
      </w:r>
      <w:r w:rsidR="006C6F09">
        <w:t xml:space="preserve"> </w:t>
      </w:r>
      <w:r w:rsidRPr="00C63A54">
        <w:t>Requirements</w:t>
      </w:r>
      <w:bookmarkEnd w:id="102"/>
    </w:p>
    <w:p w14:paraId="6FF42903" w14:textId="5CCE6687" w:rsidR="00457754" w:rsidRPr="005901D0" w:rsidRDefault="00457754" w:rsidP="00457754">
      <w:pPr>
        <w:pStyle w:val="Heading3"/>
      </w:pPr>
      <w:bookmarkStart w:id="103" w:name="_13.1_Chapter_26"/>
      <w:bookmarkStart w:id="104" w:name="_Ref219385824"/>
      <w:bookmarkStart w:id="105" w:name="_Toc224026237"/>
      <w:bookmarkEnd w:id="103"/>
      <w:r w:rsidRPr="005901D0">
        <w:t>13.1</w:t>
      </w:r>
      <w:r w:rsidR="006C6F09" w:rsidRPr="005901D0">
        <w:t xml:space="preserve"> </w:t>
      </w:r>
      <w:r w:rsidRPr="005901D0">
        <w:t>Chapter</w:t>
      </w:r>
      <w:r w:rsidR="006C6F09" w:rsidRPr="005901D0">
        <w:t xml:space="preserve"> </w:t>
      </w:r>
      <w:r w:rsidRPr="005901D0">
        <w:t>26</w:t>
      </w:r>
      <w:r w:rsidR="006C6F09" w:rsidRPr="005901D0">
        <w:t xml:space="preserve"> </w:t>
      </w:r>
      <w:r w:rsidRPr="005901D0">
        <w:t>of</w:t>
      </w:r>
      <w:r w:rsidR="006C6F09" w:rsidRPr="005901D0">
        <w:t xml:space="preserve"> </w:t>
      </w:r>
      <w:r w:rsidRPr="005901D0">
        <w:t>the</w:t>
      </w:r>
      <w:r w:rsidR="006C6F09" w:rsidRPr="005901D0">
        <w:t xml:space="preserve"> </w:t>
      </w:r>
      <w:r w:rsidRPr="005901D0">
        <w:t>Parks</w:t>
      </w:r>
      <w:r w:rsidR="006C6F09" w:rsidRPr="005901D0">
        <w:t xml:space="preserve"> </w:t>
      </w:r>
      <w:r w:rsidRPr="005901D0">
        <w:t>and</w:t>
      </w:r>
      <w:r w:rsidR="006C6F09" w:rsidRPr="005901D0">
        <w:t xml:space="preserve"> </w:t>
      </w:r>
      <w:r w:rsidRPr="005901D0">
        <w:t>Wildlife</w:t>
      </w:r>
      <w:r w:rsidR="006C6F09" w:rsidRPr="005901D0">
        <w:t xml:space="preserve"> </w:t>
      </w:r>
      <w:r w:rsidRPr="005901D0">
        <w:t>Code</w:t>
      </w:r>
      <w:bookmarkEnd w:id="104"/>
      <w:bookmarkEnd w:id="105"/>
      <w:r w:rsidR="006C6F09" w:rsidRPr="005901D0">
        <w:t xml:space="preserve"> </w:t>
      </w:r>
    </w:p>
    <w:p w14:paraId="04D654C6" w14:textId="7BBFCF63" w:rsidR="00457754" w:rsidRPr="00AC3970" w:rsidRDefault="00457754" w:rsidP="00457754">
      <w:r w:rsidRPr="00AC3970">
        <w:t>Chapter</w:t>
      </w:r>
      <w:r w:rsidR="006C6F09">
        <w:t xml:space="preserve"> </w:t>
      </w:r>
      <w:r w:rsidRPr="00AC3970">
        <w:t>26</w:t>
      </w:r>
      <w:r w:rsidR="006C6F09">
        <w:t xml:space="preserve"> </w:t>
      </w:r>
      <w:r w:rsidRPr="00AC3970">
        <w:t>of</w:t>
      </w:r>
      <w:r w:rsidR="006C6F09">
        <w:t xml:space="preserve"> </w:t>
      </w:r>
      <w:r w:rsidRPr="00AC3970">
        <w:t>the</w:t>
      </w:r>
      <w:r w:rsidR="006C6F09">
        <w:t xml:space="preserve"> </w:t>
      </w:r>
      <w:r w:rsidRPr="00703CD5">
        <w:t>Parks</w:t>
      </w:r>
      <w:r w:rsidR="006C6F09">
        <w:t xml:space="preserve"> </w:t>
      </w:r>
      <w:r w:rsidRPr="00703CD5">
        <w:t>and</w:t>
      </w:r>
      <w:r w:rsidR="006C6F09">
        <w:t xml:space="preserve"> </w:t>
      </w:r>
      <w:r w:rsidRPr="00703CD5">
        <w:t>Wildlife</w:t>
      </w:r>
      <w:r w:rsidR="006C6F09">
        <w:t xml:space="preserve"> </w:t>
      </w:r>
      <w:r w:rsidRPr="00703CD5">
        <w:t>Code</w:t>
      </w:r>
      <w:r w:rsidR="006C6F09">
        <w:t xml:space="preserve"> </w:t>
      </w:r>
      <w:r w:rsidRPr="00AC3970">
        <w:t>(PWC)</w:t>
      </w:r>
      <w:r w:rsidR="006C6F09">
        <w:t xml:space="preserve"> </w:t>
      </w:r>
      <w:r w:rsidRPr="00AC3970">
        <w:t>outlines</w:t>
      </w:r>
      <w:r w:rsidR="006C6F09">
        <w:t xml:space="preserve"> </w:t>
      </w:r>
      <w:r w:rsidRPr="00AC3970">
        <w:t>public</w:t>
      </w:r>
      <w:r w:rsidR="006C6F09">
        <w:t xml:space="preserve"> </w:t>
      </w:r>
      <w:r w:rsidRPr="00AC3970">
        <w:t>hearing</w:t>
      </w:r>
      <w:r w:rsidR="006C6F09">
        <w:t xml:space="preserve"> </w:t>
      </w:r>
      <w:r w:rsidRPr="00AC3970">
        <w:t>notice</w:t>
      </w:r>
      <w:r w:rsidR="006C6F09">
        <w:t xml:space="preserve"> </w:t>
      </w:r>
      <w:r w:rsidRPr="00AC3970">
        <w:t>requirements</w:t>
      </w:r>
      <w:r w:rsidR="006C6F09">
        <w:t xml:space="preserve"> </w:t>
      </w:r>
      <w:r w:rsidRPr="00AC3970">
        <w:t>for</w:t>
      </w:r>
      <w:r w:rsidR="006C6F09">
        <w:t xml:space="preserve"> </w:t>
      </w:r>
      <w:r w:rsidRPr="00AC3970">
        <w:t>projects</w:t>
      </w:r>
      <w:r w:rsidR="006C6F09">
        <w:t xml:space="preserve"> </w:t>
      </w:r>
      <w:r w:rsidRPr="00AC3970">
        <w:t>that</w:t>
      </w:r>
      <w:r w:rsidR="006C6F09">
        <w:t xml:space="preserve"> </w:t>
      </w:r>
      <w:r w:rsidRPr="00AC3970">
        <w:t>take</w:t>
      </w:r>
      <w:r w:rsidR="006C6F09">
        <w:t xml:space="preserve"> </w:t>
      </w:r>
      <w:r w:rsidRPr="00AC3970">
        <w:t>public</w:t>
      </w:r>
      <w:r w:rsidR="006C6F09">
        <w:t xml:space="preserve"> </w:t>
      </w:r>
      <w:r w:rsidRPr="00AC3970">
        <w:t>lands</w:t>
      </w:r>
      <w:r w:rsidR="006C6F09">
        <w:t xml:space="preserve"> </w:t>
      </w:r>
      <w:r w:rsidRPr="00AC3970">
        <w:t>designated</w:t>
      </w:r>
      <w:r w:rsidR="006C6F09">
        <w:t xml:space="preserve"> </w:t>
      </w:r>
      <w:r w:rsidRPr="00AC3970">
        <w:t>and</w:t>
      </w:r>
      <w:r w:rsidR="006C6F09">
        <w:t xml:space="preserve"> </w:t>
      </w:r>
      <w:r w:rsidRPr="00AC3970">
        <w:t>used</w:t>
      </w:r>
      <w:r w:rsidR="006C6F09">
        <w:t xml:space="preserve"> </w:t>
      </w:r>
      <w:r w:rsidRPr="00AC3970">
        <w:t>as</w:t>
      </w:r>
      <w:r w:rsidR="006C6F09">
        <w:t xml:space="preserve"> </w:t>
      </w:r>
      <w:r w:rsidRPr="00AC3970">
        <w:t>parklands,</w:t>
      </w:r>
      <w:r w:rsidR="006C6F09">
        <w:t xml:space="preserve"> </w:t>
      </w:r>
      <w:r w:rsidRPr="00AC3970">
        <w:t>recreational</w:t>
      </w:r>
      <w:r w:rsidR="006C6F09">
        <w:t xml:space="preserve"> </w:t>
      </w:r>
      <w:r w:rsidRPr="00AC3970">
        <w:t>areas,</w:t>
      </w:r>
      <w:r w:rsidR="006C6F09">
        <w:t xml:space="preserve"> </w:t>
      </w:r>
      <w:r w:rsidRPr="00AC3970">
        <w:t>scientific</w:t>
      </w:r>
      <w:r w:rsidR="006C6F09">
        <w:t xml:space="preserve"> </w:t>
      </w:r>
      <w:r w:rsidRPr="00AC3970">
        <w:t>areas,</w:t>
      </w:r>
      <w:r w:rsidR="006C6F09">
        <w:t xml:space="preserve"> </w:t>
      </w:r>
      <w:r w:rsidRPr="00AC3970">
        <w:t>wildlife</w:t>
      </w:r>
      <w:r w:rsidR="006C6F09">
        <w:t xml:space="preserve"> </w:t>
      </w:r>
      <w:r w:rsidRPr="00AC3970">
        <w:t>refuges</w:t>
      </w:r>
      <w:r w:rsidR="006C6F09">
        <w:t xml:space="preserve"> </w:t>
      </w:r>
      <w:r w:rsidRPr="00AC3970">
        <w:t>or</w:t>
      </w:r>
      <w:r w:rsidR="006C6F09">
        <w:t xml:space="preserve"> </w:t>
      </w:r>
      <w:r w:rsidRPr="00AC3970">
        <w:t>historic</w:t>
      </w:r>
      <w:r w:rsidR="006C6F09">
        <w:t xml:space="preserve"> </w:t>
      </w:r>
      <w:r w:rsidRPr="00AC3970">
        <w:t>sites</w:t>
      </w:r>
      <w:r w:rsidR="006C6F09">
        <w:t xml:space="preserve"> </w:t>
      </w:r>
      <w:r w:rsidRPr="00332D95">
        <w:t>(</w:t>
      </w:r>
      <w:hyperlink r:id="rId81" w:history="1">
        <w:r w:rsidRPr="00332D95">
          <w:rPr>
            <w:rStyle w:val="Hyperlink"/>
          </w:rPr>
          <w:t>3</w:t>
        </w:r>
        <w:r w:rsidR="006C6F09">
          <w:rPr>
            <w:rStyle w:val="Hyperlink"/>
          </w:rPr>
          <w:t xml:space="preserve"> </w:t>
        </w:r>
        <w:r w:rsidRPr="00332D95">
          <w:rPr>
            <w:rStyle w:val="Hyperlink"/>
          </w:rPr>
          <w:t>PWC</w:t>
        </w:r>
        <w:r w:rsidR="006C6F09">
          <w:rPr>
            <w:rStyle w:val="Hyperlink"/>
          </w:rPr>
          <w:t xml:space="preserve"> </w:t>
        </w:r>
        <w:r w:rsidRPr="00332D95">
          <w:rPr>
            <w:rStyle w:val="Hyperlink"/>
          </w:rPr>
          <w:t>26.001</w:t>
        </w:r>
      </w:hyperlink>
      <w:r w:rsidRPr="00332D95">
        <w:t>)</w:t>
      </w:r>
      <w:r w:rsidRPr="00AC3970">
        <w:t>.</w:t>
      </w:r>
      <w:r w:rsidR="006C6F09">
        <w:t xml:space="preserve"> </w:t>
      </w:r>
      <w:r w:rsidRPr="00AC3970">
        <w:t>The</w:t>
      </w:r>
      <w:r w:rsidR="006C6F09">
        <w:t xml:space="preserve"> </w:t>
      </w:r>
      <w:r w:rsidRPr="00AC3970">
        <w:t>hearing</w:t>
      </w:r>
      <w:r w:rsidR="006C6F09">
        <w:t xml:space="preserve"> </w:t>
      </w:r>
      <w:r w:rsidRPr="00AC3970">
        <w:t>and</w:t>
      </w:r>
      <w:r w:rsidR="006C6F09">
        <w:t xml:space="preserve"> </w:t>
      </w:r>
      <w:r w:rsidRPr="00AC3970">
        <w:t>other</w:t>
      </w:r>
      <w:r w:rsidR="006C6F09">
        <w:t xml:space="preserve"> </w:t>
      </w:r>
      <w:r w:rsidRPr="00AC3970">
        <w:t>tasks</w:t>
      </w:r>
      <w:r w:rsidR="006C6F09">
        <w:t xml:space="preserve"> </w:t>
      </w:r>
      <w:r w:rsidRPr="00AC3970">
        <w:t>needed</w:t>
      </w:r>
      <w:r w:rsidR="006C6F09">
        <w:t xml:space="preserve"> </w:t>
      </w:r>
      <w:r w:rsidRPr="00AC3970">
        <w:t>to</w:t>
      </w:r>
      <w:r w:rsidR="006C6F09">
        <w:t xml:space="preserve"> </w:t>
      </w:r>
      <w:r w:rsidRPr="00AC3970">
        <w:t>comply</w:t>
      </w:r>
      <w:r w:rsidR="006C6F09">
        <w:t xml:space="preserve"> </w:t>
      </w:r>
      <w:r w:rsidRPr="00AC3970">
        <w:t>with</w:t>
      </w:r>
      <w:r w:rsidR="006C6F09">
        <w:t xml:space="preserve"> </w:t>
      </w:r>
      <w:r w:rsidRPr="00AC3970">
        <w:t>Chapter</w:t>
      </w:r>
      <w:r w:rsidR="006C6F09">
        <w:t xml:space="preserve"> </w:t>
      </w:r>
      <w:r w:rsidRPr="00AC3970">
        <w:t>26</w:t>
      </w:r>
      <w:r w:rsidR="006C6F09">
        <w:t xml:space="preserve"> </w:t>
      </w:r>
      <w:r w:rsidRPr="00AC3970">
        <w:t>must</w:t>
      </w:r>
      <w:r w:rsidR="006C6F09">
        <w:t xml:space="preserve"> </w:t>
      </w:r>
      <w:r w:rsidRPr="00AC3970">
        <w:t>be</w:t>
      </w:r>
      <w:r w:rsidR="006C6F09">
        <w:t xml:space="preserve"> </w:t>
      </w:r>
      <w:r w:rsidRPr="00AC3970">
        <w:t>completed</w:t>
      </w:r>
      <w:r w:rsidR="006C6F09">
        <w:t xml:space="preserve"> </w:t>
      </w:r>
      <w:r w:rsidRPr="00AC3970">
        <w:t>prior</w:t>
      </w:r>
      <w:r w:rsidR="006C6F09">
        <w:t xml:space="preserve"> </w:t>
      </w:r>
      <w:r w:rsidRPr="00AC3970">
        <w:t>to</w:t>
      </w:r>
      <w:r w:rsidR="006C6F09">
        <w:t xml:space="preserve"> </w:t>
      </w:r>
      <w:r w:rsidRPr="00AC3970">
        <w:t>completion</w:t>
      </w:r>
      <w:r w:rsidR="006C6F09">
        <w:t xml:space="preserve"> </w:t>
      </w:r>
      <w:r w:rsidRPr="00AC3970">
        <w:t>of</w:t>
      </w:r>
      <w:r w:rsidR="006C6F09">
        <w:t xml:space="preserve"> </w:t>
      </w:r>
      <w:r w:rsidRPr="00AC3970">
        <w:t>the</w:t>
      </w:r>
      <w:r w:rsidR="006C6F09">
        <w:t xml:space="preserve"> </w:t>
      </w:r>
      <w:r w:rsidRPr="00AC3970">
        <w:t>environmental</w:t>
      </w:r>
      <w:r w:rsidR="006C6F09">
        <w:t xml:space="preserve"> </w:t>
      </w:r>
      <w:r w:rsidRPr="00AC3970">
        <w:t>review</w:t>
      </w:r>
      <w:r w:rsidR="006C6F09">
        <w:t xml:space="preserve"> </w:t>
      </w:r>
      <w:r w:rsidRPr="00AC3970">
        <w:t>of</w:t>
      </w:r>
      <w:r w:rsidR="006C6F09">
        <w:t xml:space="preserve"> </w:t>
      </w:r>
      <w:r w:rsidRPr="00AC3970">
        <w:t>the</w:t>
      </w:r>
      <w:r w:rsidR="006C6F09">
        <w:t xml:space="preserve"> </w:t>
      </w:r>
      <w:r w:rsidRPr="00AC3970">
        <w:t>project.</w:t>
      </w:r>
      <w:r w:rsidR="006C6F09">
        <w:t xml:space="preserve"> </w:t>
      </w:r>
      <w:r w:rsidRPr="00AC3970">
        <w:t>For</w:t>
      </w:r>
      <w:r w:rsidR="006C6F09">
        <w:t xml:space="preserve"> </w:t>
      </w:r>
      <w:r w:rsidRPr="00AC3970">
        <w:t>additional</w:t>
      </w:r>
      <w:r w:rsidR="006C6F09">
        <w:t xml:space="preserve"> </w:t>
      </w:r>
      <w:r w:rsidRPr="00AC3970">
        <w:t>guidance</w:t>
      </w:r>
      <w:r w:rsidR="006C6F09">
        <w:t xml:space="preserve"> </w:t>
      </w:r>
      <w:r w:rsidRPr="00AC3970">
        <w:t>refer</w:t>
      </w:r>
      <w:r w:rsidR="006C6F09">
        <w:t xml:space="preserve"> </w:t>
      </w:r>
      <w:r w:rsidRPr="00AC3970">
        <w:t>to</w:t>
      </w:r>
      <w:r w:rsidR="006C6F09">
        <w:t xml:space="preserve"> </w:t>
      </w:r>
      <w:r w:rsidRPr="00AC3970">
        <w:t>the</w:t>
      </w:r>
      <w:r w:rsidR="006C6F09">
        <w:t xml:space="preserve"> </w:t>
      </w:r>
      <w:r w:rsidRPr="00AC3970">
        <w:t>online</w:t>
      </w:r>
      <w:r w:rsidR="006C6F09">
        <w:t xml:space="preserve"> </w:t>
      </w:r>
      <w:hyperlink r:id="rId82" w:history="1">
        <w:r w:rsidRPr="00AC3970">
          <w:rPr>
            <w:rStyle w:val="Hyperlink"/>
          </w:rPr>
          <w:t>Chapter</w:t>
        </w:r>
        <w:r w:rsidR="006C6F09">
          <w:rPr>
            <w:rStyle w:val="Hyperlink"/>
          </w:rPr>
          <w:t xml:space="preserve"> </w:t>
        </w:r>
        <w:r w:rsidRPr="00AC3970">
          <w:rPr>
            <w:rStyle w:val="Hyperlink"/>
          </w:rPr>
          <w:t>26</w:t>
        </w:r>
        <w:r w:rsidR="006C6F09">
          <w:rPr>
            <w:rStyle w:val="Hyperlink"/>
          </w:rPr>
          <w:t xml:space="preserve"> </w:t>
        </w:r>
        <w:r w:rsidRPr="00AC3970">
          <w:rPr>
            <w:rStyle w:val="Hyperlink"/>
          </w:rPr>
          <w:t>Parks</w:t>
        </w:r>
        <w:r w:rsidR="006C6F09">
          <w:rPr>
            <w:rStyle w:val="Hyperlink"/>
          </w:rPr>
          <w:t xml:space="preserve"> </w:t>
        </w:r>
        <w:r w:rsidRPr="00AC3970">
          <w:rPr>
            <w:rStyle w:val="Hyperlink"/>
          </w:rPr>
          <w:t>and</w:t>
        </w:r>
        <w:r w:rsidR="006C6F09">
          <w:rPr>
            <w:rStyle w:val="Hyperlink"/>
          </w:rPr>
          <w:t xml:space="preserve"> </w:t>
        </w:r>
        <w:r w:rsidRPr="00AC3970">
          <w:rPr>
            <w:rStyle w:val="Hyperlink"/>
          </w:rPr>
          <w:t>Wildlife</w:t>
        </w:r>
        <w:r w:rsidR="006C6F09">
          <w:rPr>
            <w:rStyle w:val="Hyperlink"/>
          </w:rPr>
          <w:t xml:space="preserve"> </w:t>
        </w:r>
        <w:r w:rsidRPr="00AC3970">
          <w:rPr>
            <w:rStyle w:val="Hyperlink"/>
          </w:rPr>
          <w:t>Code</w:t>
        </w:r>
        <w:r w:rsidR="006C6F09">
          <w:rPr>
            <w:rStyle w:val="Hyperlink"/>
          </w:rPr>
          <w:t xml:space="preserve"> </w:t>
        </w:r>
        <w:r w:rsidRPr="00AC3970">
          <w:rPr>
            <w:rStyle w:val="Hyperlink"/>
          </w:rPr>
          <w:t>Toolkit</w:t>
        </w:r>
      </w:hyperlink>
      <w:r w:rsidRPr="00AC3970">
        <w:t>.</w:t>
      </w:r>
    </w:p>
    <w:p w14:paraId="2D7EECFF" w14:textId="5ED3170D" w:rsidR="00457754" w:rsidRPr="005901D0" w:rsidRDefault="00457754" w:rsidP="00457754">
      <w:pPr>
        <w:pStyle w:val="Heading3"/>
      </w:pPr>
      <w:bookmarkStart w:id="106" w:name="_Toc224026238"/>
      <w:r w:rsidRPr="005901D0">
        <w:t>13.2</w:t>
      </w:r>
      <w:r w:rsidR="006C6F09" w:rsidRPr="005901D0">
        <w:t xml:space="preserve"> </w:t>
      </w:r>
      <w:r w:rsidRPr="005901D0">
        <w:t>Transportation</w:t>
      </w:r>
      <w:r w:rsidR="006C6F09" w:rsidRPr="005901D0">
        <w:t xml:space="preserve"> </w:t>
      </w:r>
      <w:r w:rsidRPr="005901D0">
        <w:t>Code,</w:t>
      </w:r>
      <w:r w:rsidR="006C6F09" w:rsidRPr="005901D0">
        <w:t xml:space="preserve"> </w:t>
      </w:r>
      <w:r w:rsidRPr="005901D0">
        <w:t>203.021</w:t>
      </w:r>
      <w:bookmarkEnd w:id="106"/>
      <w:r w:rsidR="006C6F09" w:rsidRPr="005901D0">
        <w:t xml:space="preserve"> </w:t>
      </w:r>
    </w:p>
    <w:p w14:paraId="7956CDE5" w14:textId="7B9DA1F3" w:rsidR="00457754" w:rsidRDefault="00457754" w:rsidP="00457754">
      <w:r w:rsidRPr="001F1FBC">
        <w:t>For</w:t>
      </w:r>
      <w:r w:rsidR="006C6F09">
        <w:t xml:space="preserve"> </w:t>
      </w:r>
      <w:r w:rsidRPr="001F1FBC">
        <w:t>a</w:t>
      </w:r>
      <w:r w:rsidR="006C6F09">
        <w:t xml:space="preserve"> </w:t>
      </w:r>
      <w:r w:rsidRPr="001F1FBC">
        <w:t>project</w:t>
      </w:r>
      <w:r w:rsidR="006C6F09">
        <w:t xml:space="preserve"> </w:t>
      </w:r>
      <w:r w:rsidRPr="001F1FBC">
        <w:t>that</w:t>
      </w:r>
      <w:r w:rsidR="006C6F09">
        <w:t xml:space="preserve"> </w:t>
      </w:r>
      <w:r w:rsidRPr="001F1FBC">
        <w:t>constructs</w:t>
      </w:r>
      <w:r w:rsidR="006C6F09">
        <w:t xml:space="preserve"> </w:t>
      </w:r>
      <w:r w:rsidRPr="001F1FBC">
        <w:t>a</w:t>
      </w:r>
      <w:r w:rsidR="006C6F09">
        <w:t xml:space="preserve"> </w:t>
      </w:r>
      <w:r w:rsidRPr="001F1FBC">
        <w:t>reliever</w:t>
      </w:r>
      <w:r w:rsidR="006C6F09">
        <w:t xml:space="preserve"> </w:t>
      </w:r>
      <w:r w:rsidRPr="001F1FBC">
        <w:t>route</w:t>
      </w:r>
      <w:r w:rsidR="006C6F09">
        <w:t xml:space="preserve"> </w:t>
      </w:r>
      <w:r w:rsidRPr="001F1FBC">
        <w:t>around</w:t>
      </w:r>
      <w:r w:rsidR="006C6F09">
        <w:t xml:space="preserve"> </w:t>
      </w:r>
      <w:r w:rsidRPr="001F1FBC">
        <w:t>or</w:t>
      </w:r>
      <w:r w:rsidR="006C6F09">
        <w:t xml:space="preserve"> </w:t>
      </w:r>
      <w:r w:rsidRPr="001F1FBC">
        <w:t>otherwise</w:t>
      </w:r>
      <w:r w:rsidR="006C6F09">
        <w:t xml:space="preserve"> </w:t>
      </w:r>
      <w:r w:rsidRPr="001F1FBC">
        <w:t>bypasses</w:t>
      </w:r>
      <w:r w:rsidR="006C6F09">
        <w:t xml:space="preserve"> </w:t>
      </w:r>
      <w:r w:rsidRPr="001F1FBC">
        <w:t>a</w:t>
      </w:r>
      <w:r w:rsidR="006C6F09">
        <w:t xml:space="preserve"> </w:t>
      </w:r>
      <w:r w:rsidRPr="001F1FBC">
        <w:t>municipality,</w:t>
      </w:r>
      <w:r w:rsidR="006C6F09">
        <w:t xml:space="preserve"> </w:t>
      </w:r>
      <w:r w:rsidRPr="001F1FBC">
        <w:t>a</w:t>
      </w:r>
      <w:r w:rsidR="006C6F09">
        <w:t xml:space="preserve"> </w:t>
      </w:r>
      <w:r w:rsidRPr="001F1FBC">
        <w:t>hearing</w:t>
      </w:r>
      <w:r w:rsidR="006C6F09">
        <w:t xml:space="preserve"> </w:t>
      </w:r>
      <w:r w:rsidRPr="001F1FBC">
        <w:t>must</w:t>
      </w:r>
      <w:r w:rsidR="006C6F09">
        <w:t xml:space="preserve"> </w:t>
      </w:r>
      <w:r w:rsidRPr="001F1FBC">
        <w:t>be</w:t>
      </w:r>
      <w:r w:rsidR="006C6F09">
        <w:t xml:space="preserve"> </w:t>
      </w:r>
      <w:r w:rsidRPr="001F1FBC">
        <w:t>held</w:t>
      </w:r>
      <w:r w:rsidR="006C6F09">
        <w:t xml:space="preserve"> </w:t>
      </w:r>
      <w:r w:rsidRPr="001F1FBC">
        <w:t>and</w:t>
      </w:r>
      <w:r w:rsidR="006C6F09">
        <w:t xml:space="preserve"> </w:t>
      </w:r>
      <w:r w:rsidRPr="001F1FBC">
        <w:t>notice</w:t>
      </w:r>
      <w:r w:rsidR="006C6F09">
        <w:t xml:space="preserve"> </w:t>
      </w:r>
      <w:r w:rsidRPr="001F1FBC">
        <w:t>must</w:t>
      </w:r>
      <w:r w:rsidR="006C6F09">
        <w:t xml:space="preserve"> </w:t>
      </w:r>
      <w:r w:rsidRPr="001F1FBC">
        <w:t>be</w:t>
      </w:r>
      <w:r w:rsidR="006C6F09">
        <w:t xml:space="preserve"> </w:t>
      </w:r>
      <w:r w:rsidRPr="001F1FBC">
        <w:t>published</w:t>
      </w:r>
      <w:r w:rsidR="006C6F09">
        <w:t xml:space="preserve"> </w:t>
      </w:r>
      <w:r w:rsidRPr="001F1FBC">
        <w:t>in</w:t>
      </w:r>
      <w:r w:rsidR="006C6F09">
        <w:t xml:space="preserve"> </w:t>
      </w:r>
      <w:r w:rsidRPr="001F1FBC">
        <w:t>a</w:t>
      </w:r>
      <w:r w:rsidR="006C6F09">
        <w:t xml:space="preserve"> </w:t>
      </w:r>
      <w:r w:rsidRPr="001F1FBC">
        <w:t>newspaper</w:t>
      </w:r>
      <w:r w:rsidR="006C6F09">
        <w:t xml:space="preserve"> </w:t>
      </w:r>
      <w:r w:rsidRPr="001F1FBC">
        <w:t>of</w:t>
      </w:r>
      <w:r w:rsidR="006C6F09">
        <w:t xml:space="preserve"> </w:t>
      </w:r>
      <w:r w:rsidRPr="001F1FBC">
        <w:t>general</w:t>
      </w:r>
      <w:r w:rsidR="006C6F09">
        <w:t xml:space="preserve"> </w:t>
      </w:r>
      <w:r w:rsidRPr="001F1FBC">
        <w:t>circulation</w:t>
      </w:r>
      <w:r w:rsidR="006C6F09">
        <w:t xml:space="preserve"> </w:t>
      </w:r>
      <w:r w:rsidRPr="001F1FBC">
        <w:t>in</w:t>
      </w:r>
      <w:r w:rsidR="006C6F09">
        <w:t xml:space="preserve"> </w:t>
      </w:r>
      <w:r w:rsidRPr="001F1FBC">
        <w:t>the</w:t>
      </w:r>
      <w:r w:rsidR="006C6F09">
        <w:t xml:space="preserve"> </w:t>
      </w:r>
      <w:r w:rsidRPr="001F1FBC">
        <w:t>bypassed</w:t>
      </w:r>
      <w:r w:rsidR="006C6F09">
        <w:t xml:space="preserve"> </w:t>
      </w:r>
      <w:r w:rsidRPr="001F1FBC">
        <w:t>area,</w:t>
      </w:r>
      <w:r w:rsidR="006C6F09">
        <w:t xml:space="preserve"> </w:t>
      </w:r>
      <w:r w:rsidRPr="001F1FBC">
        <w:t>and</w:t>
      </w:r>
      <w:r w:rsidR="006C6F09">
        <w:t xml:space="preserve"> </w:t>
      </w:r>
      <w:r w:rsidRPr="001F1FBC">
        <w:t>meet</w:t>
      </w:r>
      <w:r w:rsidR="006C6F09">
        <w:t xml:space="preserve"> </w:t>
      </w:r>
      <w:r w:rsidRPr="001F1FBC">
        <w:t>the</w:t>
      </w:r>
      <w:r w:rsidR="006C6F09">
        <w:t xml:space="preserve"> </w:t>
      </w:r>
      <w:r w:rsidRPr="001F1FBC">
        <w:t>other</w:t>
      </w:r>
      <w:r w:rsidR="006C6F09">
        <w:t xml:space="preserve"> </w:t>
      </w:r>
      <w:r w:rsidRPr="001F1FBC">
        <w:t>requirements</w:t>
      </w:r>
      <w:r w:rsidR="006C6F09">
        <w:t xml:space="preserve"> </w:t>
      </w:r>
      <w:r w:rsidRPr="001F1FBC">
        <w:t>of</w:t>
      </w:r>
      <w:r w:rsidR="006C6F09">
        <w:t xml:space="preserve"> </w:t>
      </w:r>
      <w:hyperlink r:id="rId83" w:history="1">
        <w:r w:rsidRPr="00495187">
          <w:rPr>
            <w:rStyle w:val="Hyperlink"/>
          </w:rPr>
          <w:t>Transportation</w:t>
        </w:r>
        <w:r w:rsidR="006C6F09">
          <w:rPr>
            <w:rStyle w:val="Hyperlink"/>
          </w:rPr>
          <w:t xml:space="preserve"> </w:t>
        </w:r>
        <w:r w:rsidRPr="00495187">
          <w:rPr>
            <w:rStyle w:val="Hyperlink"/>
          </w:rPr>
          <w:t>Code</w:t>
        </w:r>
        <w:r w:rsidR="006C6F09">
          <w:rPr>
            <w:rStyle w:val="Hyperlink"/>
          </w:rPr>
          <w:t xml:space="preserve"> </w:t>
        </w:r>
        <w:r w:rsidRPr="00495187">
          <w:rPr>
            <w:rStyle w:val="Hyperlink"/>
          </w:rPr>
          <w:t>203.021</w:t>
        </w:r>
      </w:hyperlink>
      <w:r w:rsidRPr="001F1FBC">
        <w:t>,</w:t>
      </w:r>
      <w:r w:rsidR="006C6F09">
        <w:t xml:space="preserve"> </w:t>
      </w:r>
      <w:r w:rsidRPr="001F1FBC">
        <w:t>including</w:t>
      </w:r>
      <w:r w:rsidR="006C6F09">
        <w:t xml:space="preserve"> </w:t>
      </w:r>
      <w:r w:rsidRPr="001F1FBC">
        <w:t>holding</w:t>
      </w:r>
      <w:r w:rsidR="006C6F09">
        <w:t xml:space="preserve"> </w:t>
      </w:r>
      <w:r w:rsidRPr="001F1FBC">
        <w:t>the</w:t>
      </w:r>
      <w:r w:rsidR="006C6F09">
        <w:t xml:space="preserve"> </w:t>
      </w:r>
      <w:r w:rsidRPr="001F1FBC">
        <w:t>hearing</w:t>
      </w:r>
      <w:r w:rsidR="006C6F09">
        <w:t xml:space="preserve"> </w:t>
      </w:r>
      <w:r w:rsidRPr="001F1FBC">
        <w:t>not</w:t>
      </w:r>
      <w:r w:rsidR="006C6F09">
        <w:t xml:space="preserve"> </w:t>
      </w:r>
      <w:r w:rsidRPr="001F1FBC">
        <w:t>less</w:t>
      </w:r>
      <w:r w:rsidR="006C6F09">
        <w:t xml:space="preserve"> </w:t>
      </w:r>
      <w:r w:rsidRPr="001F1FBC">
        <w:t>than</w:t>
      </w:r>
      <w:r w:rsidR="006C6F09">
        <w:t xml:space="preserve"> </w:t>
      </w:r>
      <w:r w:rsidRPr="001F1FBC">
        <w:t>3</w:t>
      </w:r>
      <w:r w:rsidR="006C6F09">
        <w:t xml:space="preserve"> </w:t>
      </w:r>
      <w:r w:rsidRPr="001F1FBC">
        <w:t>or</w:t>
      </w:r>
      <w:r w:rsidR="006C6F09">
        <w:t xml:space="preserve"> </w:t>
      </w:r>
      <w:r w:rsidRPr="001F1FBC">
        <w:t>more</w:t>
      </w:r>
      <w:r w:rsidR="006C6F09">
        <w:t xml:space="preserve"> </w:t>
      </w:r>
      <w:r w:rsidRPr="001F1FBC">
        <w:t>than</w:t>
      </w:r>
      <w:r w:rsidR="006C6F09">
        <w:t xml:space="preserve"> </w:t>
      </w:r>
      <w:r w:rsidRPr="001F1FBC">
        <w:t>10</w:t>
      </w:r>
      <w:r w:rsidR="006C6F09">
        <w:t xml:space="preserve"> </w:t>
      </w:r>
      <w:r w:rsidRPr="001F1FBC">
        <w:t>calendar</w:t>
      </w:r>
      <w:r w:rsidR="006C6F09">
        <w:t xml:space="preserve"> </w:t>
      </w:r>
      <w:r w:rsidRPr="001F1FBC">
        <w:t>days</w:t>
      </w:r>
      <w:r w:rsidR="006C6F09">
        <w:t xml:space="preserve"> </w:t>
      </w:r>
      <w:r w:rsidRPr="001F1FBC">
        <w:t>after</w:t>
      </w:r>
      <w:r w:rsidR="006C6F09">
        <w:t xml:space="preserve"> </w:t>
      </w:r>
      <w:r w:rsidRPr="001F1FBC">
        <w:t>the</w:t>
      </w:r>
      <w:r w:rsidR="006C6F09">
        <w:t xml:space="preserve"> </w:t>
      </w:r>
      <w:r w:rsidRPr="001F1FBC">
        <w:t>date</w:t>
      </w:r>
      <w:r w:rsidR="006C6F09">
        <w:t xml:space="preserve"> </w:t>
      </w:r>
      <w:r w:rsidRPr="001F1FBC">
        <w:t>of</w:t>
      </w:r>
      <w:r w:rsidR="006C6F09">
        <w:t xml:space="preserve"> </w:t>
      </w:r>
      <w:r w:rsidRPr="001F1FBC">
        <w:t>publication.</w:t>
      </w:r>
      <w:r w:rsidR="00135456">
        <w:t xml:space="preserve"> </w:t>
      </w:r>
      <w:r w:rsidRPr="001F1FBC">
        <w:t>If</w:t>
      </w:r>
      <w:r w:rsidR="006C6F09">
        <w:t xml:space="preserve"> </w:t>
      </w:r>
      <w:r w:rsidRPr="001F1FBC">
        <w:t>the</w:t>
      </w:r>
      <w:r w:rsidR="006C6F09">
        <w:t xml:space="preserve"> </w:t>
      </w:r>
      <w:r w:rsidRPr="001F1FBC">
        <w:t>project</w:t>
      </w:r>
      <w:r w:rsidR="006C6F09">
        <w:t xml:space="preserve"> </w:t>
      </w:r>
      <w:r w:rsidRPr="001F1FBC">
        <w:t>is</w:t>
      </w:r>
      <w:r w:rsidR="006C6F09">
        <w:t xml:space="preserve"> </w:t>
      </w:r>
      <w:r w:rsidRPr="001F1FBC">
        <w:t>in</w:t>
      </w:r>
      <w:r w:rsidR="006C6F09">
        <w:t xml:space="preserve"> </w:t>
      </w:r>
      <w:r w:rsidRPr="001F1FBC">
        <w:t>a</w:t>
      </w:r>
      <w:r w:rsidR="006C6F09">
        <w:t xml:space="preserve"> </w:t>
      </w:r>
      <w:r w:rsidRPr="001F1FBC">
        <w:t>remote</w:t>
      </w:r>
      <w:r w:rsidR="006C6F09">
        <w:t xml:space="preserve"> </w:t>
      </w:r>
      <w:r w:rsidRPr="001F1FBC">
        <w:t>area</w:t>
      </w:r>
      <w:r w:rsidR="006C6F09">
        <w:t xml:space="preserve"> </w:t>
      </w:r>
      <w:r w:rsidRPr="001F1FBC">
        <w:t>with</w:t>
      </w:r>
      <w:r w:rsidR="006C6F09">
        <w:t xml:space="preserve"> </w:t>
      </w:r>
      <w:r w:rsidRPr="001F1FBC">
        <w:t>no</w:t>
      </w:r>
      <w:r w:rsidR="006C6F09">
        <w:t xml:space="preserve"> </w:t>
      </w:r>
      <w:r w:rsidRPr="001F1FBC">
        <w:t>newspapers</w:t>
      </w:r>
      <w:r w:rsidR="006C6F09">
        <w:t xml:space="preserve"> </w:t>
      </w:r>
      <w:r w:rsidRPr="001F1FBC">
        <w:t>in</w:t>
      </w:r>
      <w:r w:rsidR="006C6F09">
        <w:t xml:space="preserve"> </w:t>
      </w:r>
      <w:r w:rsidRPr="001F1FBC">
        <w:t>general</w:t>
      </w:r>
      <w:r w:rsidR="006C6F09">
        <w:t xml:space="preserve"> </w:t>
      </w:r>
      <w:r w:rsidRPr="001F1FBC">
        <w:t>circulation</w:t>
      </w:r>
      <w:r w:rsidR="006C6F09">
        <w:t xml:space="preserve"> </w:t>
      </w:r>
      <w:r w:rsidRPr="001F1FBC">
        <w:t>in</w:t>
      </w:r>
      <w:r w:rsidR="006C6F09">
        <w:t xml:space="preserve"> </w:t>
      </w:r>
      <w:r w:rsidRPr="001F1FBC">
        <w:t>the</w:t>
      </w:r>
      <w:r w:rsidR="006C6F09">
        <w:t xml:space="preserve"> </w:t>
      </w:r>
      <w:r w:rsidRPr="001F1FBC">
        <w:t>area</w:t>
      </w:r>
      <w:r w:rsidR="006C6F09">
        <w:t xml:space="preserve"> </w:t>
      </w:r>
      <w:r w:rsidRPr="001F1FBC">
        <w:t>affected</w:t>
      </w:r>
      <w:r w:rsidR="006C6F09">
        <w:t xml:space="preserve"> </w:t>
      </w:r>
      <w:r w:rsidRPr="001F1FBC">
        <w:t>by</w:t>
      </w:r>
      <w:r w:rsidR="006C6F09">
        <w:t xml:space="preserve"> </w:t>
      </w:r>
      <w:r w:rsidRPr="001F1FBC">
        <w:t>the</w:t>
      </w:r>
      <w:r w:rsidR="006C6F09">
        <w:t xml:space="preserve"> </w:t>
      </w:r>
      <w:r w:rsidRPr="001F1FBC">
        <w:t>project,</w:t>
      </w:r>
      <w:r w:rsidR="006C6F09">
        <w:t xml:space="preserve"> </w:t>
      </w:r>
      <w:r w:rsidRPr="001F1FBC">
        <w:t>or</w:t>
      </w:r>
      <w:r w:rsidR="006C6F09">
        <w:t xml:space="preserve"> </w:t>
      </w:r>
      <w:r w:rsidRPr="001F1FBC">
        <w:t>if</w:t>
      </w:r>
      <w:r w:rsidR="006C6F09">
        <w:t xml:space="preserve"> </w:t>
      </w:r>
      <w:r w:rsidRPr="001F1FBC">
        <w:t>the</w:t>
      </w:r>
      <w:r w:rsidR="006C6F09">
        <w:t xml:space="preserve"> </w:t>
      </w:r>
      <w:r w:rsidRPr="001F1FBC">
        <w:t>project</w:t>
      </w:r>
      <w:r w:rsidR="006C6F09">
        <w:t xml:space="preserve"> </w:t>
      </w:r>
      <w:r w:rsidRPr="001F1FBC">
        <w:t>is</w:t>
      </w:r>
      <w:r w:rsidR="006C6F09">
        <w:t xml:space="preserve"> </w:t>
      </w:r>
      <w:r w:rsidRPr="001F1FBC">
        <w:t>in</w:t>
      </w:r>
      <w:r w:rsidR="006C6F09">
        <w:t xml:space="preserve"> </w:t>
      </w:r>
      <w:r w:rsidRPr="001F1FBC">
        <w:t>a</w:t>
      </w:r>
      <w:r w:rsidR="006C6F09">
        <w:t xml:space="preserve"> </w:t>
      </w:r>
      <w:r w:rsidRPr="001F1FBC">
        <w:t>county</w:t>
      </w:r>
      <w:r w:rsidR="006C6F09">
        <w:t xml:space="preserve"> </w:t>
      </w:r>
      <w:r w:rsidRPr="001F1FBC">
        <w:t>with</w:t>
      </w:r>
      <w:r w:rsidR="006C6F09">
        <w:t xml:space="preserve"> </w:t>
      </w:r>
      <w:r w:rsidRPr="001F1FBC">
        <w:t>a</w:t>
      </w:r>
      <w:r w:rsidR="006C6F09">
        <w:t xml:space="preserve"> </w:t>
      </w:r>
      <w:r w:rsidRPr="001F1FBC">
        <w:t>population</w:t>
      </w:r>
      <w:r w:rsidR="006C6F09">
        <w:t xml:space="preserve"> </w:t>
      </w:r>
      <w:r w:rsidRPr="001F1FBC">
        <w:t>of</w:t>
      </w:r>
      <w:r w:rsidR="006C6F09">
        <w:t xml:space="preserve"> </w:t>
      </w:r>
      <w:r w:rsidRPr="001F1FBC">
        <w:t>at</w:t>
      </w:r>
      <w:r w:rsidR="006C6F09">
        <w:t xml:space="preserve"> </w:t>
      </w:r>
      <w:r w:rsidRPr="001F1FBC">
        <w:t>least</w:t>
      </w:r>
      <w:r w:rsidR="006C6F09">
        <w:t xml:space="preserve"> </w:t>
      </w:r>
      <w:r w:rsidRPr="001F1FBC">
        <w:t>30,000</w:t>
      </w:r>
      <w:r w:rsidR="006C6F09">
        <w:t xml:space="preserve"> </w:t>
      </w:r>
      <w:r w:rsidRPr="001F1FBC">
        <w:t>and</w:t>
      </w:r>
      <w:r w:rsidR="006C6F09">
        <w:t xml:space="preserve"> </w:t>
      </w:r>
      <w:r w:rsidRPr="001F1FBC">
        <w:t>not</w:t>
      </w:r>
      <w:r w:rsidR="006C6F09">
        <w:t xml:space="preserve"> </w:t>
      </w:r>
      <w:r w:rsidRPr="001F1FBC">
        <w:t>more</w:t>
      </w:r>
      <w:r w:rsidR="006C6F09">
        <w:t xml:space="preserve"> </w:t>
      </w:r>
      <w:r w:rsidRPr="001F1FBC">
        <w:t>than</w:t>
      </w:r>
      <w:r w:rsidR="006C6F09">
        <w:t xml:space="preserve"> </w:t>
      </w:r>
      <w:r w:rsidRPr="001F1FBC">
        <w:t>42,000</w:t>
      </w:r>
      <w:r w:rsidR="006C6F09">
        <w:t xml:space="preserve"> </w:t>
      </w:r>
      <w:r w:rsidRPr="001F1FBC">
        <w:t>that</w:t>
      </w:r>
      <w:r w:rsidR="006C6F09">
        <w:t xml:space="preserve"> </w:t>
      </w:r>
      <w:r w:rsidRPr="001F1FBC">
        <w:t>borders</w:t>
      </w:r>
      <w:r w:rsidR="006C6F09">
        <w:t xml:space="preserve"> </w:t>
      </w:r>
      <w:r w:rsidRPr="001F1FBC">
        <w:t>the</w:t>
      </w:r>
      <w:r w:rsidR="006C6F09">
        <w:t xml:space="preserve"> </w:t>
      </w:r>
      <w:r w:rsidRPr="001F1FBC">
        <w:t>Red</w:t>
      </w:r>
      <w:r w:rsidR="006C6F09">
        <w:t xml:space="preserve"> </w:t>
      </w:r>
      <w:r w:rsidRPr="001F1FBC">
        <w:lastRenderedPageBreak/>
        <w:t>River</w:t>
      </w:r>
      <w:r w:rsidR="006C6F09">
        <w:t xml:space="preserve"> </w:t>
      </w:r>
      <w:r w:rsidRPr="001F1FBC">
        <w:t>(currently</w:t>
      </w:r>
      <w:r w:rsidR="006C6F09">
        <w:t xml:space="preserve"> </w:t>
      </w:r>
      <w:r w:rsidRPr="001F1FBC">
        <w:t>only</w:t>
      </w:r>
      <w:r w:rsidR="006C6F09">
        <w:t xml:space="preserve"> </w:t>
      </w:r>
      <w:r w:rsidRPr="001F1FBC">
        <w:t>Fannin</w:t>
      </w:r>
      <w:r w:rsidR="006C6F09">
        <w:t xml:space="preserve"> </w:t>
      </w:r>
      <w:r w:rsidRPr="001F1FBC">
        <w:t>County</w:t>
      </w:r>
      <w:r w:rsidR="006C6F09">
        <w:t xml:space="preserve"> </w:t>
      </w:r>
      <w:r w:rsidRPr="001F1FBC">
        <w:t>meets</w:t>
      </w:r>
      <w:r w:rsidR="006C6F09">
        <w:t xml:space="preserve"> </w:t>
      </w:r>
      <w:r w:rsidRPr="001F1FBC">
        <w:t>this</w:t>
      </w:r>
      <w:r w:rsidR="006C6F09">
        <w:t xml:space="preserve"> </w:t>
      </w:r>
      <w:r w:rsidRPr="001F1FBC">
        <w:t>definition),</w:t>
      </w:r>
      <w:r w:rsidR="006C6F09">
        <w:t xml:space="preserve"> </w:t>
      </w:r>
      <w:r w:rsidRPr="001F1FBC">
        <w:t>then</w:t>
      </w:r>
      <w:r w:rsidR="006C6F09">
        <w:t xml:space="preserve"> </w:t>
      </w:r>
      <w:r w:rsidRPr="001F1FBC">
        <w:t>the</w:t>
      </w:r>
      <w:r w:rsidR="006C6F09">
        <w:t xml:space="preserve"> </w:t>
      </w:r>
      <w:r w:rsidRPr="001F1FBC">
        <w:t>notice</w:t>
      </w:r>
      <w:r w:rsidR="006C6F09">
        <w:t xml:space="preserve"> </w:t>
      </w:r>
      <w:r w:rsidRPr="001F1FBC">
        <w:t>may</w:t>
      </w:r>
      <w:r w:rsidR="006C6F09">
        <w:t xml:space="preserve"> </w:t>
      </w:r>
      <w:r w:rsidRPr="001F1FBC">
        <w:t>be</w:t>
      </w:r>
      <w:r w:rsidR="006C6F09">
        <w:t xml:space="preserve"> </w:t>
      </w:r>
      <w:r w:rsidRPr="001F1FBC">
        <w:t>published</w:t>
      </w:r>
      <w:r w:rsidR="006C6F09">
        <w:t xml:space="preserve"> </w:t>
      </w:r>
      <w:r w:rsidRPr="001F1FBC">
        <w:t>in</w:t>
      </w:r>
      <w:r w:rsidR="006C6F09">
        <w:t xml:space="preserve"> </w:t>
      </w:r>
      <w:r w:rsidRPr="001F1FBC">
        <w:t>a</w:t>
      </w:r>
      <w:r w:rsidR="006C6F09">
        <w:t xml:space="preserve"> </w:t>
      </w:r>
      <w:r w:rsidRPr="001F1FBC">
        <w:t>digital</w:t>
      </w:r>
      <w:r w:rsidR="006C6F09">
        <w:t xml:space="preserve"> </w:t>
      </w:r>
      <w:r w:rsidRPr="001F1FBC">
        <w:t>newspaper</w:t>
      </w:r>
      <w:r w:rsidR="006C6F09">
        <w:t xml:space="preserve"> </w:t>
      </w:r>
      <w:r w:rsidRPr="001F1FBC">
        <w:t>that</w:t>
      </w:r>
      <w:r w:rsidR="006C6F09">
        <w:t xml:space="preserve"> </w:t>
      </w:r>
      <w:r w:rsidRPr="001F1FBC">
        <w:t>meets</w:t>
      </w:r>
      <w:r w:rsidR="006C6F09">
        <w:t xml:space="preserve"> </w:t>
      </w:r>
      <w:r w:rsidRPr="001F1FBC">
        <w:t>certain</w:t>
      </w:r>
      <w:r w:rsidR="006C6F09">
        <w:t xml:space="preserve"> </w:t>
      </w:r>
      <w:r w:rsidRPr="001F1FBC">
        <w:t>requirements</w:t>
      </w:r>
      <w:r w:rsidR="006C6F09">
        <w:t xml:space="preserve"> </w:t>
      </w:r>
      <w:r w:rsidRPr="001F1FBC">
        <w:t>–</w:t>
      </w:r>
      <w:r w:rsidR="006C6F09">
        <w:t xml:space="preserve"> </w:t>
      </w:r>
      <w:r w:rsidRPr="001F1FBC">
        <w:t>see</w:t>
      </w:r>
      <w:r w:rsidR="006C6F09">
        <w:t xml:space="preserve"> </w:t>
      </w:r>
      <w:r w:rsidRPr="00703CD5">
        <w:t>Texas</w:t>
      </w:r>
      <w:r w:rsidR="006C6F09">
        <w:t xml:space="preserve"> </w:t>
      </w:r>
      <w:r w:rsidRPr="00703CD5">
        <w:t>Government</w:t>
      </w:r>
      <w:r w:rsidR="006C6F09">
        <w:t xml:space="preserve"> </w:t>
      </w:r>
      <w:r w:rsidRPr="00703CD5">
        <w:t>Code</w:t>
      </w:r>
      <w:r w:rsidR="006C6F09">
        <w:t xml:space="preserve"> </w:t>
      </w:r>
      <w:r w:rsidRPr="001F1FBC">
        <w:t>2051.0441(b-1).</w:t>
      </w:r>
      <w:r w:rsidR="00135456">
        <w:t xml:space="preserve"> </w:t>
      </w:r>
      <w:r w:rsidRPr="001F1FBC">
        <w:t>This</w:t>
      </w:r>
      <w:r w:rsidR="006C6F09">
        <w:t xml:space="preserve"> </w:t>
      </w:r>
      <w:r w:rsidRPr="001F1FBC">
        <w:t>newspaper</w:t>
      </w:r>
      <w:r w:rsidR="006C6F09">
        <w:t xml:space="preserve"> </w:t>
      </w:r>
      <w:r w:rsidRPr="001F1FBC">
        <w:t>notice</w:t>
      </w:r>
      <w:r w:rsidR="006C6F09">
        <w:t xml:space="preserve"> </w:t>
      </w:r>
      <w:r w:rsidRPr="001F1FBC">
        <w:t>is</w:t>
      </w:r>
      <w:r w:rsidR="006C6F09">
        <w:t xml:space="preserve"> </w:t>
      </w:r>
      <w:r w:rsidRPr="001F1FBC">
        <w:t>in</w:t>
      </w:r>
      <w:r w:rsidR="006C6F09">
        <w:t xml:space="preserve"> </w:t>
      </w:r>
      <w:r w:rsidRPr="001F1FBC">
        <w:t>addition</w:t>
      </w:r>
      <w:r w:rsidR="006C6F09">
        <w:t xml:space="preserve"> </w:t>
      </w:r>
      <w:r w:rsidRPr="001F1FBC">
        <w:t>to</w:t>
      </w:r>
      <w:r w:rsidR="006C6F09">
        <w:t xml:space="preserve"> </w:t>
      </w:r>
      <w:r w:rsidRPr="001F1FBC">
        <w:t>the</w:t>
      </w:r>
      <w:r w:rsidR="006C6F09">
        <w:t xml:space="preserve"> </w:t>
      </w:r>
      <w:r w:rsidRPr="001F1FBC">
        <w:t>normal</w:t>
      </w:r>
      <w:r w:rsidR="006C6F09">
        <w:t xml:space="preserve"> </w:t>
      </w:r>
      <w:r w:rsidRPr="001F1FBC">
        <w:t>15-calendar</w:t>
      </w:r>
      <w:r w:rsidR="006C6F09">
        <w:t xml:space="preserve"> </w:t>
      </w:r>
      <w:r w:rsidRPr="001F1FBC">
        <w:t>day</w:t>
      </w:r>
      <w:r w:rsidR="006C6F09">
        <w:t xml:space="preserve"> </w:t>
      </w:r>
      <w:r w:rsidRPr="001F1FBC">
        <w:t>required</w:t>
      </w:r>
      <w:r w:rsidR="006C6F09">
        <w:t xml:space="preserve"> </w:t>
      </w:r>
      <w:r w:rsidRPr="001F1FBC">
        <w:t>hearing</w:t>
      </w:r>
      <w:r w:rsidR="006C6F09">
        <w:t xml:space="preserve"> </w:t>
      </w:r>
      <w:r w:rsidRPr="001F1FBC">
        <w:t>notice.</w:t>
      </w:r>
    </w:p>
    <w:p w14:paraId="1225D38A" w14:textId="4541C264" w:rsidR="00457754" w:rsidRPr="005901D0" w:rsidRDefault="00457754" w:rsidP="00457754">
      <w:pPr>
        <w:pStyle w:val="Heading3"/>
      </w:pPr>
      <w:bookmarkStart w:id="107" w:name="_Toc224026239"/>
      <w:r w:rsidRPr="005901D0">
        <w:t>13.3</w:t>
      </w:r>
      <w:r w:rsidR="006C6F09" w:rsidRPr="005901D0">
        <w:t xml:space="preserve"> </w:t>
      </w:r>
      <w:r w:rsidRPr="005901D0">
        <w:t>Transportation</w:t>
      </w:r>
      <w:r w:rsidR="006C6F09" w:rsidRPr="005901D0">
        <w:t xml:space="preserve"> </w:t>
      </w:r>
      <w:r w:rsidRPr="005901D0">
        <w:t>Code,</w:t>
      </w:r>
      <w:r w:rsidR="006C6F09" w:rsidRPr="005901D0">
        <w:t xml:space="preserve"> </w:t>
      </w:r>
      <w:r w:rsidRPr="005901D0">
        <w:t>201.811(b)</w:t>
      </w:r>
      <w:bookmarkEnd w:id="107"/>
      <w:r w:rsidR="006C6F09" w:rsidRPr="005901D0">
        <w:t xml:space="preserve"> </w:t>
      </w:r>
    </w:p>
    <w:p w14:paraId="503106A9" w14:textId="161B2065" w:rsidR="00457754" w:rsidRDefault="00457754" w:rsidP="00457754">
      <w:r w:rsidRPr="00495187">
        <w:t>For</w:t>
      </w:r>
      <w:r w:rsidR="006C6F09">
        <w:t xml:space="preserve"> </w:t>
      </w:r>
      <w:r w:rsidRPr="00495187">
        <w:t>a</w:t>
      </w:r>
      <w:r w:rsidR="006C6F09">
        <w:t xml:space="preserve"> </w:t>
      </w:r>
      <w:r w:rsidRPr="00495187">
        <w:t>public</w:t>
      </w:r>
      <w:r w:rsidR="006C6F09">
        <w:t xml:space="preserve"> </w:t>
      </w:r>
      <w:r w:rsidRPr="00495187">
        <w:t>hearing</w:t>
      </w:r>
      <w:r w:rsidR="006C6F09">
        <w:t xml:space="preserve"> </w:t>
      </w:r>
      <w:r w:rsidRPr="00495187">
        <w:t>regarding</w:t>
      </w:r>
      <w:r w:rsidR="006C6F09">
        <w:t xml:space="preserve"> </w:t>
      </w:r>
      <w:r w:rsidRPr="00495187">
        <w:t>an</w:t>
      </w:r>
      <w:r w:rsidR="006C6F09">
        <w:t xml:space="preserve"> </w:t>
      </w:r>
      <w:r w:rsidRPr="00495187">
        <w:t>EIS,</w:t>
      </w:r>
      <w:hyperlink r:id="rId84" w:history="1">
        <w:r w:rsidR="006C6F09">
          <w:rPr>
            <w:rStyle w:val="Hyperlink"/>
          </w:rPr>
          <w:t xml:space="preserve"> </w:t>
        </w:r>
        <w:r w:rsidRPr="002639F7">
          <w:rPr>
            <w:rStyle w:val="Hyperlink"/>
          </w:rPr>
          <w:t>Transportation</w:t>
        </w:r>
        <w:r w:rsidR="006C6F09">
          <w:rPr>
            <w:rStyle w:val="Hyperlink"/>
          </w:rPr>
          <w:t xml:space="preserve"> </w:t>
        </w:r>
        <w:r w:rsidRPr="002639F7">
          <w:rPr>
            <w:rStyle w:val="Hyperlink"/>
          </w:rPr>
          <w:t>Code,</w:t>
        </w:r>
        <w:r w:rsidR="006C6F09">
          <w:rPr>
            <w:rStyle w:val="Hyperlink"/>
          </w:rPr>
          <w:t xml:space="preserve"> </w:t>
        </w:r>
        <w:r w:rsidRPr="002639F7">
          <w:rPr>
            <w:rStyle w:val="Hyperlink"/>
          </w:rPr>
          <w:t>201.811(b)</w:t>
        </w:r>
      </w:hyperlink>
      <w:r w:rsidR="006C6F09">
        <w:t xml:space="preserve"> </w:t>
      </w:r>
      <w:r w:rsidRPr="00495187">
        <w:t>requires</w:t>
      </w:r>
      <w:r w:rsidR="006C6F09">
        <w:t xml:space="preserve"> </w:t>
      </w:r>
      <w:r w:rsidRPr="00495187">
        <w:t>TxDOT</w:t>
      </w:r>
      <w:r w:rsidR="006C6F09">
        <w:t xml:space="preserve"> </w:t>
      </w:r>
      <w:r w:rsidRPr="00495187">
        <w:t>to</w:t>
      </w:r>
      <w:r w:rsidR="006C6F09">
        <w:t xml:space="preserve"> </w:t>
      </w:r>
      <w:r w:rsidRPr="00495187">
        <w:t>tally</w:t>
      </w:r>
      <w:r w:rsidR="006C6F09">
        <w:t xml:space="preserve"> </w:t>
      </w:r>
      <w:r w:rsidRPr="00495187">
        <w:t>and</w:t>
      </w:r>
      <w:r w:rsidR="006C6F09">
        <w:t xml:space="preserve"> </w:t>
      </w:r>
      <w:r w:rsidRPr="00495187">
        <w:t>document</w:t>
      </w:r>
      <w:r w:rsidR="006C6F09">
        <w:t xml:space="preserve"> </w:t>
      </w:r>
      <w:r w:rsidRPr="00495187">
        <w:t>the</w:t>
      </w:r>
      <w:r w:rsidR="006C6F09">
        <w:t xml:space="preserve"> </w:t>
      </w:r>
      <w:r w:rsidRPr="00495187">
        <w:t>number</w:t>
      </w:r>
      <w:r w:rsidR="006C6F09">
        <w:t xml:space="preserve"> </w:t>
      </w:r>
      <w:r w:rsidRPr="00495187">
        <w:t>of</w:t>
      </w:r>
      <w:r w:rsidR="006C6F09">
        <w:t xml:space="preserve"> </w:t>
      </w:r>
      <w:r w:rsidRPr="00495187">
        <w:t>positive,</w:t>
      </w:r>
      <w:r w:rsidR="006C6F09">
        <w:t xml:space="preserve"> </w:t>
      </w:r>
      <w:r w:rsidRPr="00495187">
        <w:t>negative,</w:t>
      </w:r>
      <w:r w:rsidR="006C6F09">
        <w:t xml:space="preserve"> </w:t>
      </w:r>
      <w:r w:rsidRPr="00495187">
        <w:t>and</w:t>
      </w:r>
      <w:r w:rsidR="006C6F09">
        <w:t xml:space="preserve"> </w:t>
      </w:r>
      <w:r w:rsidRPr="00495187">
        <w:t>neutral</w:t>
      </w:r>
      <w:r w:rsidR="006C6F09">
        <w:t xml:space="preserve"> </w:t>
      </w:r>
      <w:r w:rsidRPr="00495187">
        <w:t>comments</w:t>
      </w:r>
      <w:r w:rsidR="006C6F09">
        <w:t xml:space="preserve"> </w:t>
      </w:r>
      <w:r w:rsidRPr="00495187">
        <w:t>received.</w:t>
      </w:r>
      <w:r w:rsidR="006C6F09">
        <w:t xml:space="preserve"> </w:t>
      </w:r>
      <w:r w:rsidRPr="00495187">
        <w:t>This</w:t>
      </w:r>
      <w:r w:rsidR="006C6F09">
        <w:t xml:space="preserve"> </w:t>
      </w:r>
      <w:r w:rsidRPr="00495187">
        <w:t>information</w:t>
      </w:r>
      <w:r w:rsidR="006C6F09">
        <w:t xml:space="preserve"> </w:t>
      </w:r>
      <w:r w:rsidRPr="00495187">
        <w:t>must</w:t>
      </w:r>
      <w:r w:rsidR="006C6F09">
        <w:t xml:space="preserve"> </w:t>
      </w:r>
      <w:r w:rsidRPr="00495187">
        <w:t>be</w:t>
      </w:r>
      <w:r w:rsidR="006C6F09">
        <w:t xml:space="preserve"> </w:t>
      </w:r>
      <w:r w:rsidRPr="00495187">
        <w:t>presented</w:t>
      </w:r>
      <w:r w:rsidR="006C6F09">
        <w:t xml:space="preserve"> </w:t>
      </w:r>
      <w:r w:rsidRPr="00495187">
        <w:t>to</w:t>
      </w:r>
      <w:r w:rsidR="006C6F09">
        <w:t xml:space="preserve"> </w:t>
      </w:r>
      <w:r w:rsidRPr="00495187">
        <w:t>the</w:t>
      </w:r>
      <w:r w:rsidR="006C6F09">
        <w:t xml:space="preserve"> </w:t>
      </w:r>
      <w:r w:rsidRPr="00495187">
        <w:t>commission</w:t>
      </w:r>
      <w:r w:rsidR="006C6F09">
        <w:t xml:space="preserve"> </w:t>
      </w:r>
      <w:r w:rsidRPr="00495187">
        <w:t>in</w:t>
      </w:r>
      <w:r w:rsidR="006C6F09">
        <w:t xml:space="preserve"> </w:t>
      </w:r>
      <w:r w:rsidRPr="00495187">
        <w:t>an</w:t>
      </w:r>
      <w:r w:rsidR="006C6F09">
        <w:t xml:space="preserve"> </w:t>
      </w:r>
      <w:r w:rsidRPr="00495187">
        <w:t>open</w:t>
      </w:r>
      <w:r w:rsidR="006C6F09">
        <w:t xml:space="preserve"> </w:t>
      </w:r>
      <w:r w:rsidRPr="00495187">
        <w:t>meeting</w:t>
      </w:r>
      <w:r w:rsidR="006C6F09">
        <w:t xml:space="preserve"> </w:t>
      </w:r>
      <w:r w:rsidRPr="00495187">
        <w:t>and</w:t>
      </w:r>
      <w:r w:rsidR="006C6F09">
        <w:t xml:space="preserve"> </w:t>
      </w:r>
      <w:r w:rsidRPr="00495187">
        <w:t>reported</w:t>
      </w:r>
      <w:r w:rsidR="006C6F09">
        <w:t xml:space="preserve"> </w:t>
      </w:r>
      <w:r w:rsidRPr="00495187">
        <w:t>on</w:t>
      </w:r>
      <w:r w:rsidR="006C6F09">
        <w:t xml:space="preserve"> </w:t>
      </w:r>
      <w:r w:rsidRPr="00495187">
        <w:t>TxDOT.gov</w:t>
      </w:r>
      <w:r w:rsidR="006C6F09">
        <w:t xml:space="preserve"> </w:t>
      </w:r>
      <w:r w:rsidRPr="00495187">
        <w:t>in</w:t>
      </w:r>
      <w:r w:rsidR="006C6F09">
        <w:t xml:space="preserve"> </w:t>
      </w:r>
      <w:r w:rsidRPr="00495187">
        <w:t>a</w:t>
      </w:r>
      <w:r w:rsidR="006C6F09">
        <w:t xml:space="preserve"> </w:t>
      </w:r>
      <w:r w:rsidRPr="00495187">
        <w:t>timely</w:t>
      </w:r>
      <w:r w:rsidR="006C6F09">
        <w:t xml:space="preserve"> </w:t>
      </w:r>
      <w:r w:rsidRPr="00495187">
        <w:t>manner.</w:t>
      </w:r>
      <w:r w:rsidR="006C6F09">
        <w:t xml:space="preserve"> </w:t>
      </w:r>
      <w:r w:rsidRPr="00495187">
        <w:t>The</w:t>
      </w:r>
      <w:r w:rsidR="006C6F09">
        <w:t xml:space="preserve"> </w:t>
      </w:r>
      <w:r w:rsidRPr="00495187">
        <w:t>tabulation</w:t>
      </w:r>
      <w:r w:rsidR="006C6F09">
        <w:t xml:space="preserve"> </w:t>
      </w:r>
      <w:r w:rsidRPr="00495187">
        <w:t>of</w:t>
      </w:r>
      <w:r w:rsidR="006C6F09">
        <w:t xml:space="preserve"> </w:t>
      </w:r>
      <w:r w:rsidRPr="00495187">
        <w:t>positive,</w:t>
      </w:r>
      <w:r w:rsidR="006C6F09">
        <w:t xml:space="preserve"> </w:t>
      </w:r>
      <w:r w:rsidRPr="00495187">
        <w:t>negative,</w:t>
      </w:r>
      <w:r w:rsidR="006C6F09">
        <w:t xml:space="preserve"> </w:t>
      </w:r>
      <w:r w:rsidRPr="00495187">
        <w:t>and</w:t>
      </w:r>
      <w:r w:rsidR="006C6F09">
        <w:t xml:space="preserve"> </w:t>
      </w:r>
      <w:r w:rsidRPr="00495187">
        <w:t>neutral</w:t>
      </w:r>
      <w:r w:rsidR="006C6F09">
        <w:t xml:space="preserve"> </w:t>
      </w:r>
      <w:r w:rsidRPr="00495187">
        <w:t>comments</w:t>
      </w:r>
      <w:r w:rsidR="006C6F09">
        <w:t xml:space="preserve"> </w:t>
      </w:r>
      <w:r w:rsidRPr="00495187">
        <w:t>received</w:t>
      </w:r>
      <w:r w:rsidR="006C6F09">
        <w:t xml:space="preserve"> </w:t>
      </w:r>
      <w:r w:rsidRPr="00495187">
        <w:t>should</w:t>
      </w:r>
      <w:r w:rsidR="006C6F09">
        <w:t xml:space="preserve"> </w:t>
      </w:r>
      <w:r w:rsidRPr="00495187">
        <w:t>be</w:t>
      </w:r>
      <w:r w:rsidR="006C6F09">
        <w:t xml:space="preserve"> </w:t>
      </w:r>
      <w:r w:rsidRPr="00495187">
        <w:t>done</w:t>
      </w:r>
      <w:r w:rsidR="006C6F09">
        <w:t xml:space="preserve"> </w:t>
      </w:r>
      <w:r w:rsidRPr="00495187">
        <w:t>solely</w:t>
      </w:r>
      <w:r w:rsidR="006C6F09">
        <w:t xml:space="preserve"> </w:t>
      </w:r>
      <w:r w:rsidRPr="00495187">
        <w:t>for</w:t>
      </w:r>
      <w:r w:rsidR="006C6F09">
        <w:t xml:space="preserve"> </w:t>
      </w:r>
      <w:r w:rsidRPr="00495187">
        <w:t>the</w:t>
      </w:r>
      <w:r w:rsidR="006C6F09">
        <w:t xml:space="preserve"> </w:t>
      </w:r>
      <w:r w:rsidRPr="00495187">
        <w:t>purpose</w:t>
      </w:r>
      <w:r w:rsidR="006C6F09">
        <w:t xml:space="preserve"> </w:t>
      </w:r>
      <w:r w:rsidRPr="00495187">
        <w:t>of</w:t>
      </w:r>
      <w:r w:rsidR="006C6F09">
        <w:t xml:space="preserve"> </w:t>
      </w:r>
      <w:r w:rsidRPr="00495187">
        <w:t>complying</w:t>
      </w:r>
      <w:r w:rsidR="006C6F09">
        <w:t xml:space="preserve"> </w:t>
      </w:r>
      <w:r w:rsidRPr="00495187">
        <w:t>with</w:t>
      </w:r>
      <w:r w:rsidR="006C6F09">
        <w:t xml:space="preserve"> </w:t>
      </w:r>
      <w:r w:rsidRPr="00495187">
        <w:t>this</w:t>
      </w:r>
      <w:r w:rsidR="006C6F09">
        <w:t xml:space="preserve"> </w:t>
      </w:r>
      <w:r w:rsidRPr="00495187">
        <w:t>statutory</w:t>
      </w:r>
      <w:r w:rsidR="006C6F09">
        <w:t xml:space="preserve"> </w:t>
      </w:r>
      <w:r w:rsidRPr="00495187">
        <w:t>requirement</w:t>
      </w:r>
      <w:r w:rsidR="006C6F09">
        <w:t xml:space="preserve"> </w:t>
      </w:r>
      <w:r w:rsidRPr="00495187">
        <w:t>and</w:t>
      </w:r>
      <w:r w:rsidR="006C6F09">
        <w:t xml:space="preserve"> </w:t>
      </w:r>
      <w:r w:rsidRPr="00495187">
        <w:t>should</w:t>
      </w:r>
      <w:r w:rsidR="006C6F09">
        <w:t xml:space="preserve"> </w:t>
      </w:r>
      <w:r w:rsidRPr="00495187">
        <w:t>NOT</w:t>
      </w:r>
      <w:r w:rsidR="006C6F09">
        <w:t xml:space="preserve"> </w:t>
      </w:r>
      <w:r w:rsidRPr="00495187">
        <w:t>be</w:t>
      </w:r>
      <w:r w:rsidR="006C6F09">
        <w:t xml:space="preserve"> </w:t>
      </w:r>
      <w:r w:rsidRPr="00495187">
        <w:t>incorporated</w:t>
      </w:r>
      <w:r w:rsidR="006C6F09">
        <w:t xml:space="preserve"> </w:t>
      </w:r>
      <w:r w:rsidRPr="00495187">
        <w:t>into</w:t>
      </w:r>
      <w:r w:rsidR="006C6F09">
        <w:t xml:space="preserve"> </w:t>
      </w:r>
      <w:r w:rsidRPr="00495187">
        <w:t>the</w:t>
      </w:r>
      <w:r w:rsidR="006C6F09">
        <w:t xml:space="preserve"> </w:t>
      </w:r>
      <w:r w:rsidRPr="00495187">
        <w:t>public</w:t>
      </w:r>
      <w:r w:rsidR="006C6F09">
        <w:t xml:space="preserve"> </w:t>
      </w:r>
      <w:r w:rsidRPr="00495187">
        <w:t>hearing</w:t>
      </w:r>
      <w:r w:rsidR="006C6F09">
        <w:t xml:space="preserve"> </w:t>
      </w:r>
      <w:r w:rsidRPr="00495187">
        <w:t>documentation</w:t>
      </w:r>
      <w:r w:rsidR="006C6F09">
        <w:t xml:space="preserve"> </w:t>
      </w:r>
      <w:r w:rsidRPr="00495187">
        <w:t>prepared</w:t>
      </w:r>
      <w:r w:rsidR="006C6F09">
        <w:t xml:space="preserve"> </w:t>
      </w:r>
      <w:r w:rsidRPr="00495187">
        <w:t>as</w:t>
      </w:r>
      <w:r w:rsidR="006C6F09">
        <w:t xml:space="preserve"> </w:t>
      </w:r>
      <w:r w:rsidRPr="00495187">
        <w:t>part</w:t>
      </w:r>
      <w:r w:rsidR="006C6F09">
        <w:t xml:space="preserve"> </w:t>
      </w:r>
      <w:r w:rsidRPr="00495187">
        <w:t>of</w:t>
      </w:r>
      <w:r w:rsidR="006C6F09">
        <w:t xml:space="preserve"> </w:t>
      </w:r>
      <w:r w:rsidRPr="00495187">
        <w:t>the</w:t>
      </w:r>
      <w:r w:rsidR="006C6F09">
        <w:t xml:space="preserve"> </w:t>
      </w:r>
      <w:r w:rsidRPr="00495187">
        <w:t>environmental</w:t>
      </w:r>
      <w:r w:rsidR="006C6F09">
        <w:t xml:space="preserve"> </w:t>
      </w:r>
      <w:r w:rsidRPr="00495187">
        <w:t>review</w:t>
      </w:r>
      <w:r w:rsidR="006C6F09">
        <w:t xml:space="preserve"> </w:t>
      </w:r>
      <w:r w:rsidRPr="00495187">
        <w:t>process.</w:t>
      </w:r>
      <w:r w:rsidR="006C6F09">
        <w:t xml:space="preserve"> </w:t>
      </w:r>
      <w:r w:rsidRPr="00495187">
        <w:t>To</w:t>
      </w:r>
      <w:r w:rsidR="006C6F09">
        <w:t xml:space="preserve"> </w:t>
      </w:r>
      <w:r w:rsidRPr="00495187">
        <w:t>prepare</w:t>
      </w:r>
      <w:r w:rsidR="006C6F09">
        <w:t xml:space="preserve"> </w:t>
      </w:r>
      <w:r w:rsidRPr="00495187">
        <w:t>the</w:t>
      </w:r>
      <w:r w:rsidR="006C6F09">
        <w:t xml:space="preserve"> </w:t>
      </w:r>
      <w:r w:rsidRPr="00495187">
        <w:t>report</w:t>
      </w:r>
      <w:r w:rsidR="006C6F09">
        <w:t xml:space="preserve"> </w:t>
      </w:r>
      <w:r w:rsidRPr="00495187">
        <w:t>use</w:t>
      </w:r>
      <w:r w:rsidR="006C6F09">
        <w:t xml:space="preserve"> </w:t>
      </w:r>
      <w:r w:rsidRPr="00495187">
        <w:t>the</w:t>
      </w:r>
      <w:r w:rsidR="006C6F09">
        <w:t xml:space="preserve"> </w:t>
      </w:r>
      <w:r w:rsidRPr="00495187">
        <w:t>Template:</w:t>
      </w:r>
      <w:r w:rsidR="006C6F09">
        <w:t xml:space="preserve"> </w:t>
      </w:r>
      <w:r w:rsidRPr="00495187">
        <w:t>Environmental</w:t>
      </w:r>
      <w:r w:rsidR="006C6F09">
        <w:t xml:space="preserve"> </w:t>
      </w:r>
      <w:r w:rsidRPr="00495187">
        <w:t>Impact</w:t>
      </w:r>
      <w:r w:rsidR="006C6F09">
        <w:t xml:space="preserve"> </w:t>
      </w:r>
      <w:r w:rsidRPr="00495187">
        <w:t>Statement</w:t>
      </w:r>
      <w:r w:rsidR="006C6F09">
        <w:t xml:space="preserve"> </w:t>
      </w:r>
      <w:r w:rsidRPr="00495187">
        <w:t>Positive,</w:t>
      </w:r>
      <w:r w:rsidR="006C6F09">
        <w:t xml:space="preserve"> </w:t>
      </w:r>
      <w:r w:rsidRPr="00495187">
        <w:t>Negative</w:t>
      </w:r>
      <w:r w:rsidR="006C6F09">
        <w:t xml:space="preserve"> </w:t>
      </w:r>
      <w:r w:rsidRPr="00495187">
        <w:t>or</w:t>
      </w:r>
      <w:r w:rsidR="006C6F09">
        <w:t xml:space="preserve"> </w:t>
      </w:r>
      <w:r w:rsidRPr="00495187">
        <w:t>Neutral</w:t>
      </w:r>
      <w:r w:rsidR="006C6F09">
        <w:t xml:space="preserve"> </w:t>
      </w:r>
      <w:r w:rsidRPr="00495187">
        <w:t>Public</w:t>
      </w:r>
      <w:r w:rsidR="006C6F09">
        <w:t xml:space="preserve"> </w:t>
      </w:r>
      <w:r w:rsidRPr="00495187">
        <w:t>Comments</w:t>
      </w:r>
      <w:r w:rsidR="006C6F09">
        <w:t xml:space="preserve"> </w:t>
      </w:r>
      <w:r w:rsidRPr="00495187">
        <w:t>Report</w:t>
      </w:r>
      <w:r w:rsidR="006C6F09">
        <w:t xml:space="preserve"> </w:t>
      </w:r>
      <w:r w:rsidRPr="00495187">
        <w:t>found</w:t>
      </w:r>
      <w:r w:rsidR="006C6F09">
        <w:t xml:space="preserve"> </w:t>
      </w:r>
      <w:r w:rsidRPr="00495187">
        <w:t>in</w:t>
      </w:r>
      <w:r w:rsidR="006C6F09">
        <w:t xml:space="preserve"> </w:t>
      </w:r>
      <w:r w:rsidRPr="00495187">
        <w:t>the</w:t>
      </w:r>
      <w:r w:rsidR="006C6F09">
        <w:t xml:space="preserve"> </w:t>
      </w:r>
      <w:hyperlink r:id="rId85" w:history="1">
        <w:r w:rsidRPr="00495187">
          <w:rPr>
            <w:rStyle w:val="Hyperlink"/>
          </w:rPr>
          <w:t>Project</w:t>
        </w:r>
        <w:r w:rsidR="006C6F09">
          <w:rPr>
            <w:rStyle w:val="Hyperlink"/>
          </w:rPr>
          <w:t xml:space="preserve"> </w:t>
        </w:r>
        <w:r w:rsidRPr="00495187">
          <w:rPr>
            <w:rStyle w:val="Hyperlink"/>
          </w:rPr>
          <w:t>Delivery</w:t>
        </w:r>
        <w:r w:rsidR="006C6F09">
          <w:rPr>
            <w:rStyle w:val="Hyperlink"/>
          </w:rPr>
          <w:t xml:space="preserve"> </w:t>
        </w:r>
        <w:r w:rsidRPr="00495187">
          <w:rPr>
            <w:rStyle w:val="Hyperlink"/>
          </w:rPr>
          <w:t>SharePoint</w:t>
        </w:r>
        <w:r w:rsidR="006C6F09">
          <w:rPr>
            <w:rStyle w:val="Hyperlink"/>
          </w:rPr>
          <w:t xml:space="preserve"> </w:t>
        </w:r>
        <w:r w:rsidRPr="00495187">
          <w:rPr>
            <w:rStyle w:val="Hyperlink"/>
          </w:rPr>
          <w:t>site</w:t>
        </w:r>
      </w:hyperlink>
      <w:r w:rsidRPr="00495187">
        <w:t>.</w:t>
      </w:r>
    </w:p>
    <w:p w14:paraId="03D95DB6" w14:textId="59197332" w:rsidR="00457754" w:rsidRPr="00C63A54" w:rsidRDefault="00457754" w:rsidP="00457754">
      <w:pPr>
        <w:pStyle w:val="Heading2"/>
      </w:pPr>
      <w:bookmarkStart w:id="108" w:name="_Ref219385972"/>
      <w:bookmarkStart w:id="109" w:name="_Toc224026240"/>
      <w:r w:rsidRPr="00C63A54">
        <w:t>14.0</w:t>
      </w:r>
      <w:r w:rsidR="006C6F09">
        <w:t xml:space="preserve"> </w:t>
      </w:r>
      <w:r w:rsidRPr="00C63A54">
        <w:t>Documentation</w:t>
      </w:r>
      <w:r w:rsidR="006C6F09">
        <w:t xml:space="preserve"> </w:t>
      </w:r>
      <w:r w:rsidRPr="00C63A54">
        <w:t>Requirements</w:t>
      </w:r>
      <w:bookmarkEnd w:id="108"/>
      <w:bookmarkEnd w:id="109"/>
    </w:p>
    <w:p w14:paraId="44ECBA33" w14:textId="03EBC086" w:rsidR="00457754" w:rsidRDefault="00457754" w:rsidP="00457754">
      <w:r w:rsidRPr="00CD2F8E">
        <w:t>Documentation</w:t>
      </w:r>
      <w:r w:rsidR="006C6F09">
        <w:t xml:space="preserve"> </w:t>
      </w:r>
      <w:r w:rsidRPr="00CD2F8E">
        <w:t>requirements</w:t>
      </w:r>
      <w:r w:rsidR="006C6F09">
        <w:t xml:space="preserve"> </w:t>
      </w:r>
      <w:r w:rsidRPr="00CD2F8E">
        <w:t>vary</w:t>
      </w:r>
      <w:r w:rsidR="006C6F09">
        <w:t xml:space="preserve"> </w:t>
      </w:r>
      <w:r w:rsidRPr="00CD2F8E">
        <w:t>based</w:t>
      </w:r>
      <w:r w:rsidR="006C6F09">
        <w:t xml:space="preserve"> </w:t>
      </w:r>
      <w:r w:rsidRPr="00CD2F8E">
        <w:t>on</w:t>
      </w:r>
      <w:r w:rsidR="006C6F09">
        <w:t xml:space="preserve"> </w:t>
      </w:r>
      <w:r w:rsidRPr="00CD2F8E">
        <w:t>the</w:t>
      </w:r>
      <w:r w:rsidR="006C6F09">
        <w:t xml:space="preserve"> </w:t>
      </w:r>
      <w:r w:rsidRPr="00CD2F8E">
        <w:t>type</w:t>
      </w:r>
      <w:r w:rsidR="006C6F09">
        <w:t xml:space="preserve"> </w:t>
      </w:r>
      <w:r w:rsidRPr="00CD2F8E">
        <w:t>of</w:t>
      </w:r>
      <w:r w:rsidR="006C6F09">
        <w:t xml:space="preserve"> </w:t>
      </w:r>
      <w:r w:rsidRPr="00CD2F8E">
        <w:t>public</w:t>
      </w:r>
      <w:r w:rsidR="006C6F09">
        <w:t xml:space="preserve"> </w:t>
      </w:r>
      <w:r w:rsidRPr="00CD2F8E">
        <w:t>involvement</w:t>
      </w:r>
      <w:r w:rsidR="006C6F09">
        <w:t xml:space="preserve"> </w:t>
      </w:r>
      <w:r w:rsidRPr="00CD2F8E">
        <w:t>conducted.</w:t>
      </w:r>
    </w:p>
    <w:p w14:paraId="48B02160" w14:textId="3DB2D372" w:rsidR="00457754" w:rsidRPr="00C63A54" w:rsidRDefault="00457754" w:rsidP="00457754">
      <w:pPr>
        <w:pStyle w:val="Heading3"/>
      </w:pPr>
      <w:bookmarkStart w:id="110" w:name="_Ref219785466"/>
      <w:bookmarkStart w:id="111" w:name="_Toc224026241"/>
      <w:r w:rsidRPr="005901D0">
        <w:t>14.1</w:t>
      </w:r>
      <w:r w:rsidR="006C6F09" w:rsidRPr="005901D0">
        <w:t xml:space="preserve"> </w:t>
      </w:r>
      <w:r w:rsidRPr="005901D0">
        <w:t>Notice</w:t>
      </w:r>
      <w:r w:rsidR="006C6F09" w:rsidRPr="005901D0">
        <w:t xml:space="preserve"> </w:t>
      </w:r>
      <w:r w:rsidRPr="005901D0">
        <w:t>and</w:t>
      </w:r>
      <w:r w:rsidR="006C6F09" w:rsidRPr="005901D0">
        <w:t xml:space="preserve"> </w:t>
      </w:r>
      <w:r w:rsidRPr="005901D0">
        <w:t>Opportunity</w:t>
      </w:r>
      <w:r w:rsidR="006C6F09" w:rsidRPr="005901D0">
        <w:t xml:space="preserve"> </w:t>
      </w:r>
      <w:r w:rsidRPr="005901D0">
        <w:t>to</w:t>
      </w:r>
      <w:r w:rsidR="006C6F09" w:rsidRPr="005901D0">
        <w:t xml:space="preserve"> </w:t>
      </w:r>
      <w:r w:rsidRPr="005901D0">
        <w:t>Comment</w:t>
      </w:r>
      <w:bookmarkEnd w:id="110"/>
      <w:bookmarkEnd w:id="111"/>
      <w:r w:rsidR="006C6F09">
        <w:t xml:space="preserve"> </w:t>
      </w:r>
    </w:p>
    <w:p w14:paraId="27FD3A77" w14:textId="7C698C8D" w:rsidR="00457754" w:rsidRDefault="00457754" w:rsidP="00457754">
      <w:r>
        <w:t>Once</w:t>
      </w:r>
      <w:r w:rsidR="006C6F09">
        <w:t xml:space="preserve"> </w:t>
      </w:r>
      <w:r>
        <w:t>a</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has</w:t>
      </w:r>
      <w:r w:rsidR="006C6F09">
        <w:t xml:space="preserve"> </w:t>
      </w:r>
      <w:r>
        <w:t>been</w:t>
      </w:r>
      <w:r w:rsidR="006C6F09">
        <w:t xml:space="preserve"> </w:t>
      </w:r>
      <w:r>
        <w:t>provided,</w:t>
      </w:r>
      <w:r w:rsidR="006C6F09">
        <w:t xml:space="preserve"> </w:t>
      </w:r>
      <w:r>
        <w:t>documentation</w:t>
      </w:r>
      <w:r w:rsidR="006C6F09">
        <w:t xml:space="preserve"> </w:t>
      </w:r>
      <w:r>
        <w:t>shall</w:t>
      </w:r>
      <w:r w:rsidR="006C6F09">
        <w:t xml:space="preserve"> </w:t>
      </w:r>
      <w:r>
        <w:t>be</w:t>
      </w:r>
      <w:r w:rsidR="006C6F09">
        <w:t xml:space="preserve"> </w:t>
      </w:r>
      <w:r>
        <w:t>prepared</w:t>
      </w:r>
      <w:r w:rsidR="006C6F09">
        <w:t xml:space="preserve"> </w:t>
      </w:r>
      <w:r>
        <w:t>that</w:t>
      </w:r>
      <w:r w:rsidR="006C6F09">
        <w:t xml:space="preserve"> </w:t>
      </w:r>
      <w:r>
        <w:t>includes</w:t>
      </w:r>
      <w:r w:rsidR="006C6F09">
        <w:t xml:space="preserve"> </w:t>
      </w:r>
      <w:r>
        <w:t>the</w:t>
      </w:r>
      <w:r w:rsidR="006C6F09">
        <w:t xml:space="preserve"> </w:t>
      </w:r>
      <w:r>
        <w:t>items</w:t>
      </w:r>
      <w:r w:rsidR="006C6F09">
        <w:t xml:space="preserve"> </w:t>
      </w:r>
      <w:r>
        <w:t>enumerated</w:t>
      </w:r>
      <w:r w:rsidR="006C6F09">
        <w:t xml:space="preserve"> </w:t>
      </w:r>
      <w:r>
        <w:t>below.</w:t>
      </w:r>
      <w:r w:rsidR="006C6F09">
        <w:t xml:space="preserve"> </w:t>
      </w:r>
      <w:r>
        <w:t>The</w:t>
      </w:r>
      <w:r w:rsidR="006C6F09">
        <w:t xml:space="preserve"> </w:t>
      </w:r>
      <w:r>
        <w:t>project</w:t>
      </w:r>
      <w:r w:rsidR="006C6F09">
        <w:t xml:space="preserve"> </w:t>
      </w:r>
      <w:r>
        <w:t>sponsor</w:t>
      </w:r>
      <w:r w:rsidR="006C6F09">
        <w:t xml:space="preserve"> </w:t>
      </w:r>
      <w:r>
        <w:t>forwards</w:t>
      </w:r>
      <w:r w:rsidR="006C6F09">
        <w:t xml:space="preserve"> </w:t>
      </w:r>
      <w:r>
        <w:t>the</w:t>
      </w:r>
      <w:r w:rsidR="006C6F09">
        <w:t xml:space="preserve"> </w:t>
      </w:r>
      <w:r>
        <w:t>documentation</w:t>
      </w:r>
      <w:r w:rsidR="006C6F09">
        <w:t xml:space="preserve"> </w:t>
      </w:r>
      <w:r>
        <w:t>of</w:t>
      </w:r>
      <w:r w:rsidR="006C6F09">
        <w:t xml:space="preserve"> </w:t>
      </w:r>
      <w:r>
        <w:t>the</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to</w:t>
      </w:r>
      <w:r w:rsidR="006C6F09">
        <w:t xml:space="preserve"> </w:t>
      </w:r>
      <w:r>
        <w:t>the</w:t>
      </w:r>
      <w:r w:rsidR="006C6F09">
        <w:t xml:space="preserve"> </w:t>
      </w:r>
      <w:r>
        <w:t>department</w:t>
      </w:r>
      <w:r w:rsidR="006C6F09">
        <w:t xml:space="preserve"> </w:t>
      </w:r>
      <w:r>
        <w:t>delegate</w:t>
      </w:r>
      <w:r w:rsidR="006C6F09">
        <w:t xml:space="preserve"> </w:t>
      </w:r>
      <w:r>
        <w:t>for</w:t>
      </w:r>
      <w:r w:rsidR="006C6F09">
        <w:t xml:space="preserve"> </w:t>
      </w:r>
      <w:r>
        <w:t>review,</w:t>
      </w:r>
      <w:r w:rsidR="006C6F09">
        <w:t xml:space="preserve"> </w:t>
      </w:r>
      <w:r>
        <w:t>and</w:t>
      </w:r>
      <w:r w:rsidR="006C6F09">
        <w:t xml:space="preserve"> </w:t>
      </w:r>
      <w:r>
        <w:t>the</w:t>
      </w:r>
      <w:r w:rsidR="006C6F09">
        <w:t xml:space="preserve"> </w:t>
      </w:r>
      <w:r>
        <w:t>documentation</w:t>
      </w:r>
      <w:r w:rsidR="006C6F09">
        <w:t xml:space="preserve"> </w:t>
      </w:r>
      <w:r>
        <w:t>is</w:t>
      </w:r>
      <w:r w:rsidR="006C6F09">
        <w:t xml:space="preserve"> </w:t>
      </w:r>
      <w:r>
        <w:t>retained</w:t>
      </w:r>
      <w:r w:rsidR="006C6F09">
        <w:t xml:space="preserve"> </w:t>
      </w:r>
      <w:r>
        <w:t>in</w:t>
      </w:r>
      <w:r w:rsidR="006C6F09">
        <w:t xml:space="preserve"> </w:t>
      </w:r>
      <w:r>
        <w:t>the</w:t>
      </w:r>
      <w:r w:rsidR="006C6F09">
        <w:t xml:space="preserve"> </w:t>
      </w:r>
      <w:r>
        <w:t>official</w:t>
      </w:r>
      <w:r w:rsidR="006C6F09">
        <w:t xml:space="preserve"> </w:t>
      </w:r>
      <w:r>
        <w:t>project</w:t>
      </w:r>
      <w:r w:rsidR="006C6F09">
        <w:t xml:space="preserve"> </w:t>
      </w:r>
      <w:r>
        <w:t>file.</w:t>
      </w:r>
      <w:r w:rsidR="006C6F09">
        <w:t xml:space="preserve"> </w:t>
      </w:r>
      <w:r>
        <w:t>Templates</w:t>
      </w:r>
      <w:r w:rsidR="006C6F09">
        <w:t xml:space="preserve"> </w:t>
      </w:r>
      <w:r>
        <w:t>and</w:t>
      </w:r>
      <w:r w:rsidR="006C6F09">
        <w:t xml:space="preserve"> </w:t>
      </w:r>
      <w:r>
        <w:t>guidance</w:t>
      </w:r>
      <w:r w:rsidR="006C6F09">
        <w:t xml:space="preserve"> </w:t>
      </w:r>
      <w:r>
        <w:t>for</w:t>
      </w:r>
      <w:r w:rsidR="006C6F09">
        <w:t xml:space="preserve"> </w:t>
      </w:r>
      <w:r>
        <w:t>the</w:t>
      </w:r>
      <w:r w:rsidR="006C6F09">
        <w:t xml:space="preserve"> </w:t>
      </w:r>
      <w:r>
        <w:t>required</w:t>
      </w:r>
      <w:r w:rsidR="006C6F09">
        <w:t xml:space="preserve"> </w:t>
      </w:r>
      <w:r>
        <w:t>documentation</w:t>
      </w:r>
      <w:r w:rsidR="006C6F09">
        <w:t xml:space="preserve"> </w:t>
      </w:r>
      <w:r>
        <w:t>format</w:t>
      </w:r>
      <w:r w:rsidR="006C6F09">
        <w:t xml:space="preserve"> </w:t>
      </w:r>
      <w:r>
        <w:t>are</w:t>
      </w:r>
      <w:r w:rsidR="006C6F09">
        <w:t xml:space="preserve"> </w:t>
      </w:r>
      <w:r>
        <w:t>available</w:t>
      </w:r>
      <w:r w:rsidR="006C6F09">
        <w:t xml:space="preserve"> </w:t>
      </w:r>
      <w:r>
        <w:t>in</w:t>
      </w:r>
      <w:r w:rsidR="006C6F09">
        <w:t xml:space="preserve"> </w:t>
      </w:r>
      <w:r>
        <w:t>the</w:t>
      </w:r>
      <w:r w:rsidR="006C6F09">
        <w:t xml:space="preserve"> </w:t>
      </w:r>
      <w:r>
        <w:t>online</w:t>
      </w:r>
      <w:r w:rsidR="006C6F09">
        <w:t xml:space="preserve"> </w:t>
      </w:r>
      <w:hyperlink r:id="rId86" w:history="1">
        <w:r w:rsidRPr="00190118">
          <w:rPr>
            <w:rStyle w:val="Hyperlink"/>
          </w:rPr>
          <w:t>Public</w:t>
        </w:r>
        <w:r w:rsidR="006C6F09">
          <w:rPr>
            <w:rStyle w:val="Hyperlink"/>
          </w:rPr>
          <w:t xml:space="preserve"> </w:t>
        </w:r>
        <w:r w:rsidRPr="00190118">
          <w:rPr>
            <w:rStyle w:val="Hyperlink"/>
          </w:rPr>
          <w:t>Involvement</w:t>
        </w:r>
        <w:r w:rsidR="006C6F09">
          <w:rPr>
            <w:rStyle w:val="Hyperlink"/>
          </w:rPr>
          <w:t xml:space="preserve"> </w:t>
        </w:r>
        <w:r w:rsidRPr="00190118">
          <w:rPr>
            <w:rStyle w:val="Hyperlink"/>
          </w:rPr>
          <w:t>Toolkit</w:t>
        </w:r>
      </w:hyperlink>
      <w:r>
        <w:t>.</w:t>
      </w:r>
    </w:p>
    <w:p w14:paraId="7C19221B" w14:textId="7D524333" w:rsidR="00A96223" w:rsidRDefault="00457754" w:rsidP="00A96223">
      <w:r>
        <w:lastRenderedPageBreak/>
        <w:t>The</w:t>
      </w:r>
      <w:r w:rsidR="006C6F09">
        <w:t xml:space="preserve"> </w:t>
      </w:r>
      <w:r>
        <w:t>documentation</w:t>
      </w:r>
      <w:r w:rsidR="006C6F09">
        <w:t xml:space="preserve"> </w:t>
      </w:r>
      <w:r>
        <w:t>will</w:t>
      </w:r>
      <w:r w:rsidR="006C6F09">
        <w:t xml:space="preserve"> </w:t>
      </w:r>
      <w:r>
        <w:t>be</w:t>
      </w:r>
      <w:r w:rsidR="006C6F09">
        <w:t xml:space="preserve"> </w:t>
      </w:r>
      <w:r>
        <w:t>submitted</w:t>
      </w:r>
      <w:r w:rsidR="006C6F09">
        <w:t xml:space="preserve"> </w:t>
      </w:r>
      <w:r>
        <w:t>as</w:t>
      </w:r>
      <w:r w:rsidR="006C6F09">
        <w:t xml:space="preserve"> </w:t>
      </w:r>
      <w:r>
        <w:t>a</w:t>
      </w:r>
      <w:r w:rsidR="006C6F09">
        <w:t xml:space="preserve"> </w:t>
      </w:r>
      <w:r>
        <w:t>single</w:t>
      </w:r>
      <w:r w:rsidR="006C6F09">
        <w:t xml:space="preserve"> </w:t>
      </w:r>
      <w:r>
        <w:t>and</w:t>
      </w:r>
      <w:r w:rsidR="006C6F09">
        <w:t xml:space="preserve"> </w:t>
      </w:r>
      <w:r>
        <w:t>complete</w:t>
      </w:r>
      <w:r w:rsidR="006C6F09">
        <w:t xml:space="preserve"> </w:t>
      </w:r>
      <w:r>
        <w:t>packet.</w:t>
      </w:r>
      <w:r w:rsidR="006C6F09">
        <w:t xml:space="preserve"> </w:t>
      </w:r>
      <w:r>
        <w:t>Documentation</w:t>
      </w:r>
      <w:r w:rsidR="006C6F09">
        <w:t xml:space="preserve"> </w:t>
      </w:r>
      <w:r>
        <w:t>of</w:t>
      </w:r>
      <w:r w:rsidR="006C6F09">
        <w:t xml:space="preserve"> </w:t>
      </w:r>
      <w:r>
        <w:t>a</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shall</w:t>
      </w:r>
      <w:r w:rsidR="006C6F09">
        <w:t xml:space="preserve"> </w:t>
      </w:r>
      <w:r>
        <w:t>include</w:t>
      </w:r>
      <w:r w:rsidR="006C6F09">
        <w:t xml:space="preserve"> </w:t>
      </w:r>
      <w:r>
        <w:t>the</w:t>
      </w:r>
      <w:r w:rsidR="006C6F09">
        <w:t xml:space="preserve"> </w:t>
      </w:r>
      <w:r>
        <w:t>following:</w:t>
      </w:r>
    </w:p>
    <w:p w14:paraId="208C1B77" w14:textId="3051FBC7" w:rsidR="00457754" w:rsidRDefault="00A96223" w:rsidP="00A96223">
      <w:r>
        <w:t>1.</w:t>
      </w:r>
      <w:r w:rsidR="006C6F09">
        <w:t xml:space="preserve"> </w:t>
      </w:r>
      <w:r w:rsidR="00457754">
        <w:t>Cover</w:t>
      </w:r>
      <w:r w:rsidR="006C6F09">
        <w:t xml:space="preserve"> </w:t>
      </w:r>
      <w:r w:rsidR="00457754">
        <w:t>Sheet</w:t>
      </w:r>
      <w:r w:rsidR="006C6F09">
        <w:t xml:space="preserve"> </w:t>
      </w:r>
      <w:r w:rsidR="00457754">
        <w:t>–</w:t>
      </w:r>
      <w:r w:rsidR="006C6F09">
        <w:t xml:space="preserve"> </w:t>
      </w:r>
      <w:r w:rsidR="00457754">
        <w:t>Documentation</w:t>
      </w:r>
      <w:r w:rsidR="006C6F09">
        <w:t xml:space="preserve"> </w:t>
      </w:r>
      <w:r w:rsidR="00457754">
        <w:t>of</w:t>
      </w:r>
      <w:r w:rsidR="006C6F09">
        <w:t xml:space="preserve"> </w:t>
      </w:r>
      <w:r w:rsidR="00457754">
        <w:t>Notice</w:t>
      </w:r>
      <w:r w:rsidR="006C6F09">
        <w:t xml:space="preserve"> </w:t>
      </w:r>
      <w:r w:rsidR="00457754">
        <w:t>and</w:t>
      </w:r>
      <w:r w:rsidR="006C6F09">
        <w:t xml:space="preserve"> </w:t>
      </w:r>
      <w:r w:rsidR="00457754">
        <w:t>Opportunity</w:t>
      </w:r>
      <w:r w:rsidR="006C6F09">
        <w:t xml:space="preserve"> </w:t>
      </w:r>
      <w:r w:rsidR="00457754">
        <w:t>to</w:t>
      </w:r>
      <w:r w:rsidR="006C6F09">
        <w:t xml:space="preserve"> </w:t>
      </w:r>
      <w:r w:rsidR="00457754">
        <w:t>Comment</w:t>
      </w:r>
      <w:r w:rsidR="006C6F09">
        <w:t xml:space="preserve"> </w:t>
      </w:r>
    </w:p>
    <w:p w14:paraId="3A067634" w14:textId="7AED8C72" w:rsidR="00457754" w:rsidRDefault="00457754" w:rsidP="00A96223">
      <w:pPr>
        <w:pStyle w:val="ListNumber"/>
        <w:numPr>
          <w:ilvl w:val="0"/>
          <w:numId w:val="0"/>
        </w:numPr>
      </w:pPr>
      <w:r>
        <w:t>Include</w:t>
      </w:r>
      <w:r w:rsidR="006C6F09">
        <w:t xml:space="preserve"> </w:t>
      </w:r>
      <w:r>
        <w:t>information</w:t>
      </w:r>
      <w:r w:rsidR="006C6F09">
        <w:t xml:space="preserve"> </w:t>
      </w:r>
      <w:r>
        <w:t>listed</w:t>
      </w:r>
      <w:r w:rsidR="006C6F09">
        <w:t xml:space="preserve"> </w:t>
      </w:r>
      <w:r>
        <w:t>on</w:t>
      </w:r>
      <w:r w:rsidR="006C6F09">
        <w:t xml:space="preserve"> </w:t>
      </w:r>
      <w:r>
        <w:t>ENV’s</w:t>
      </w:r>
      <w:r w:rsidR="006C6F09">
        <w:t xml:space="preserve"> </w:t>
      </w:r>
      <w:r>
        <w:t>Template:</w:t>
      </w:r>
      <w:r w:rsidR="006C6F09">
        <w:t xml:space="preserve"> </w:t>
      </w:r>
      <w:r>
        <w:t>Documentation</w:t>
      </w:r>
      <w:r w:rsidR="006C6F09">
        <w:t xml:space="preserve"> </w:t>
      </w:r>
      <w:r>
        <w:t>of</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Cover</w:t>
      </w:r>
      <w:r w:rsidR="006C6F09">
        <w:t xml:space="preserve"> </w:t>
      </w:r>
      <w:r>
        <w:t>Page,</w:t>
      </w:r>
      <w:r w:rsidR="006C6F09">
        <w:t xml:space="preserve"> </w:t>
      </w:r>
      <w:r>
        <w:t>available</w:t>
      </w:r>
      <w:r w:rsidR="006C6F09">
        <w:t xml:space="preserve"> </w:t>
      </w:r>
      <w:r>
        <w:t>in</w:t>
      </w:r>
      <w:r w:rsidR="006C6F09">
        <w:t xml:space="preserve"> </w:t>
      </w:r>
      <w:r>
        <w:t>the</w:t>
      </w:r>
      <w:r w:rsidR="006C6F09">
        <w:t xml:space="preserve"> </w:t>
      </w:r>
      <w:r>
        <w:t>Public</w:t>
      </w:r>
      <w:r w:rsidR="006C6F09">
        <w:t xml:space="preserve"> </w:t>
      </w:r>
      <w:r>
        <w:t>Involvement</w:t>
      </w:r>
      <w:r w:rsidR="006C6F09">
        <w:t xml:space="preserve"> </w:t>
      </w:r>
      <w:r>
        <w:t>Toolkit.</w:t>
      </w:r>
    </w:p>
    <w:p w14:paraId="24F177CB" w14:textId="4091ABBA" w:rsidR="00457754" w:rsidRDefault="00A96223" w:rsidP="00A96223">
      <w:pPr>
        <w:pStyle w:val="ListNumber"/>
        <w:numPr>
          <w:ilvl w:val="0"/>
          <w:numId w:val="0"/>
        </w:numPr>
      </w:pPr>
      <w:r>
        <w:t>2.</w:t>
      </w:r>
      <w:r w:rsidR="006C6F09">
        <w:t xml:space="preserve"> </w:t>
      </w:r>
      <w:r w:rsidR="00457754">
        <w:t>Comments</w:t>
      </w:r>
      <w:r w:rsidR="006C6F09">
        <w:t xml:space="preserve"> </w:t>
      </w:r>
      <w:r w:rsidR="00457754">
        <w:t>and</w:t>
      </w:r>
      <w:r w:rsidR="006C6F09">
        <w:t xml:space="preserve"> </w:t>
      </w:r>
      <w:r w:rsidR="00457754">
        <w:t>Response</w:t>
      </w:r>
      <w:r w:rsidR="006C6F09">
        <w:t xml:space="preserve"> </w:t>
      </w:r>
      <w:r w:rsidR="00457754">
        <w:t>Matrix</w:t>
      </w:r>
      <w:r w:rsidR="006C6F09">
        <w:t xml:space="preserve"> </w:t>
      </w:r>
    </w:p>
    <w:p w14:paraId="5E8D647C" w14:textId="55880EC8" w:rsidR="00457754" w:rsidRDefault="00457754" w:rsidP="00A96223">
      <w:pPr>
        <w:pStyle w:val="ListNumber"/>
        <w:numPr>
          <w:ilvl w:val="0"/>
          <w:numId w:val="0"/>
        </w:numPr>
      </w:pPr>
      <w:r>
        <w:t>Document</w:t>
      </w:r>
      <w:r w:rsidR="006C6F09">
        <w:t xml:space="preserve"> </w:t>
      </w:r>
      <w:r>
        <w:t>all</w:t>
      </w:r>
      <w:r w:rsidR="006C6F09">
        <w:t xml:space="preserve"> </w:t>
      </w:r>
      <w:r>
        <w:t>comments</w:t>
      </w:r>
      <w:r w:rsidR="006C6F09">
        <w:t xml:space="preserve"> </w:t>
      </w:r>
      <w:r>
        <w:t>received</w:t>
      </w:r>
      <w:r w:rsidR="006C6F09">
        <w:t xml:space="preserve"> </w:t>
      </w:r>
      <w:r>
        <w:t>between</w:t>
      </w:r>
      <w:r w:rsidR="006C6F09">
        <w:t xml:space="preserve"> </w:t>
      </w:r>
      <w:r>
        <w:t>the</w:t>
      </w:r>
      <w:r w:rsidR="006C6F09">
        <w:t xml:space="preserve"> </w:t>
      </w:r>
      <w:r>
        <w:t>date</w:t>
      </w:r>
      <w:r w:rsidR="006C6F09">
        <w:t xml:space="preserve"> </w:t>
      </w:r>
      <w:r>
        <w:t>the</w:t>
      </w:r>
      <w:r w:rsidR="006C6F09">
        <w:t xml:space="preserve"> </w:t>
      </w:r>
      <w:r>
        <w:t>notice</w:t>
      </w:r>
      <w:r w:rsidR="006C6F09">
        <w:t xml:space="preserve"> </w:t>
      </w:r>
      <w:r>
        <w:t>was</w:t>
      </w:r>
      <w:r w:rsidR="006C6F09">
        <w:t xml:space="preserve"> </w:t>
      </w:r>
      <w:r>
        <w:t>provided</w:t>
      </w:r>
      <w:r w:rsidR="006C6F09">
        <w:t xml:space="preserve"> </w:t>
      </w:r>
      <w:r>
        <w:t>and</w:t>
      </w:r>
      <w:r w:rsidR="006C6F09">
        <w:t xml:space="preserve"> </w:t>
      </w:r>
      <w:r>
        <w:t>the</w:t>
      </w:r>
      <w:r w:rsidR="006C6F09">
        <w:t xml:space="preserve"> </w:t>
      </w:r>
      <w:r>
        <w:t>deadline</w:t>
      </w:r>
      <w:r w:rsidR="006C6F09">
        <w:t xml:space="preserve"> </w:t>
      </w:r>
      <w:r>
        <w:t>specified</w:t>
      </w:r>
      <w:r w:rsidR="006C6F09">
        <w:t xml:space="preserve"> </w:t>
      </w:r>
      <w:r>
        <w:t>in</w:t>
      </w:r>
      <w:r w:rsidR="006C6F09">
        <w:t xml:space="preserve"> </w:t>
      </w:r>
      <w:r>
        <w:t>the</w:t>
      </w:r>
      <w:r w:rsidR="006C6F09">
        <w:t xml:space="preserve"> </w:t>
      </w:r>
      <w:r>
        <w:t>notice</w:t>
      </w:r>
      <w:r w:rsidR="006C6F09">
        <w:t xml:space="preserve"> </w:t>
      </w:r>
      <w:r>
        <w:t>(which</w:t>
      </w:r>
      <w:r w:rsidR="006C6F09">
        <w:t xml:space="preserve"> </w:t>
      </w:r>
      <w:r>
        <w:t>will</w:t>
      </w:r>
      <w:r w:rsidR="006C6F09">
        <w:t xml:space="preserve"> </w:t>
      </w:r>
      <w:r>
        <w:t>be</w:t>
      </w:r>
      <w:r w:rsidR="006C6F09">
        <w:t xml:space="preserve"> </w:t>
      </w:r>
      <w:r>
        <w:t>at</w:t>
      </w:r>
      <w:r w:rsidR="006C6F09">
        <w:t xml:space="preserve"> </w:t>
      </w:r>
      <w:r>
        <w:t>least</w:t>
      </w:r>
      <w:r w:rsidR="006C6F09">
        <w:t xml:space="preserve"> </w:t>
      </w:r>
      <w:r>
        <w:t>15</w:t>
      </w:r>
      <w:r w:rsidR="006C6F09">
        <w:t xml:space="preserve"> </w:t>
      </w:r>
      <w:r>
        <w:t>calendar</w:t>
      </w:r>
      <w:r w:rsidR="006C6F09">
        <w:t xml:space="preserve"> </w:t>
      </w:r>
      <w:r>
        <w:t>days</w:t>
      </w:r>
      <w:r w:rsidR="006C6F09">
        <w:t xml:space="preserve"> </w:t>
      </w:r>
      <w:r>
        <w:t>after</w:t>
      </w:r>
      <w:r w:rsidR="006C6F09">
        <w:t xml:space="preserve"> </w:t>
      </w:r>
      <w:r>
        <w:t>the</w:t>
      </w:r>
      <w:r w:rsidR="006C6F09">
        <w:t xml:space="preserve"> </w:t>
      </w:r>
      <w:r>
        <w:t>notice</w:t>
      </w:r>
      <w:r w:rsidR="006C6F09">
        <w:t xml:space="preserve"> </w:t>
      </w:r>
      <w:r>
        <w:t>was</w:t>
      </w:r>
      <w:r w:rsidR="006C6F09">
        <w:t xml:space="preserve"> </w:t>
      </w:r>
      <w:r>
        <w:t>emailed</w:t>
      </w:r>
      <w:r w:rsidR="006C6F09">
        <w:t xml:space="preserve"> </w:t>
      </w:r>
      <w:r>
        <w:t>or</w:t>
      </w:r>
      <w:r w:rsidR="006C6F09">
        <w:t xml:space="preserve"> </w:t>
      </w:r>
      <w:r>
        <w:t>18</w:t>
      </w:r>
      <w:r w:rsidR="006C6F09">
        <w:t xml:space="preserve"> </w:t>
      </w:r>
      <w:r>
        <w:t>calendar</w:t>
      </w:r>
      <w:r w:rsidR="006C6F09">
        <w:t xml:space="preserve"> </w:t>
      </w:r>
      <w:r>
        <w:t>days</w:t>
      </w:r>
      <w:r w:rsidR="006C6F09">
        <w:t xml:space="preserve"> </w:t>
      </w:r>
      <w:r>
        <w:t>after</w:t>
      </w:r>
      <w:r w:rsidR="006C6F09">
        <w:t xml:space="preserve"> </w:t>
      </w:r>
      <w:r>
        <w:t>the</w:t>
      </w:r>
      <w:r w:rsidR="006C6F09">
        <w:t xml:space="preserve"> </w:t>
      </w:r>
      <w:r>
        <w:t>notice</w:t>
      </w:r>
      <w:r w:rsidR="006C6F09">
        <w:t xml:space="preserve"> </w:t>
      </w:r>
      <w:r>
        <w:t>if</w:t>
      </w:r>
      <w:r w:rsidR="006C6F09">
        <w:t xml:space="preserve"> </w:t>
      </w:r>
      <w:r>
        <w:t>it</w:t>
      </w:r>
      <w:r w:rsidR="006C6F09">
        <w:t xml:space="preserve"> </w:t>
      </w:r>
      <w:r>
        <w:t>was</w:t>
      </w:r>
      <w:r w:rsidR="006C6F09">
        <w:t xml:space="preserve"> </w:t>
      </w:r>
      <w:r>
        <w:t>mailed).</w:t>
      </w:r>
      <w:r w:rsidR="006C6F09">
        <w:t xml:space="preserve"> </w:t>
      </w:r>
      <w:r>
        <w:t>The</w:t>
      </w:r>
      <w:r w:rsidR="006C6F09">
        <w:t xml:space="preserve"> </w:t>
      </w:r>
      <w:r>
        <w:t>responses</w:t>
      </w:r>
      <w:r w:rsidR="006C6F09">
        <w:t xml:space="preserve"> </w:t>
      </w:r>
      <w:r>
        <w:t>must</w:t>
      </w:r>
      <w:r w:rsidR="006C6F09">
        <w:t xml:space="preserve"> </w:t>
      </w:r>
      <w:r>
        <w:t>address</w:t>
      </w:r>
      <w:r w:rsidR="006C6F09">
        <w:t xml:space="preserve"> </w:t>
      </w:r>
      <w:r>
        <w:t>the</w:t>
      </w:r>
      <w:r w:rsidR="006C6F09">
        <w:t xml:space="preserve"> </w:t>
      </w:r>
      <w:r>
        <w:t>comments</w:t>
      </w:r>
      <w:r w:rsidR="006C6F09">
        <w:t xml:space="preserve"> </w:t>
      </w:r>
      <w:r>
        <w:t>received.</w:t>
      </w:r>
      <w:r w:rsidR="006C6F09">
        <w:t xml:space="preserve"> </w:t>
      </w:r>
      <w:r>
        <w:t>See</w:t>
      </w:r>
      <w:r w:rsidR="006C6F09">
        <w:t xml:space="preserve"> </w:t>
      </w:r>
      <w:r>
        <w:t>ENV’s</w:t>
      </w:r>
      <w:r w:rsidR="006C6F09">
        <w:t xml:space="preserve"> </w:t>
      </w:r>
      <w:r>
        <w:t>Guidance</w:t>
      </w:r>
      <w:r w:rsidR="006C6F09">
        <w:t xml:space="preserve"> </w:t>
      </w:r>
      <w:r>
        <w:t>–</w:t>
      </w:r>
      <w:r w:rsidR="006C6F09">
        <w:t xml:space="preserve"> </w:t>
      </w:r>
      <w:r w:rsidRPr="0060584C">
        <w:t>Public</w:t>
      </w:r>
      <w:r w:rsidR="006C6F09">
        <w:t xml:space="preserve"> </w:t>
      </w:r>
      <w:r w:rsidRPr="0060584C">
        <w:t>Comment</w:t>
      </w:r>
      <w:r w:rsidR="006C6F09">
        <w:t xml:space="preserve"> </w:t>
      </w:r>
      <w:r w:rsidRPr="0060584C">
        <w:t>Response</w:t>
      </w:r>
      <w:r w:rsidR="006C6F09">
        <w:t xml:space="preserve"> </w:t>
      </w:r>
      <w:r w:rsidRPr="0060584C">
        <w:t>Matrix</w:t>
      </w:r>
      <w:r w:rsidR="006C6F09">
        <w:t xml:space="preserve"> </w:t>
      </w:r>
      <w:r>
        <w:t>for</w:t>
      </w:r>
      <w:r w:rsidR="006C6F09">
        <w:t xml:space="preserve"> </w:t>
      </w:r>
      <w:r>
        <w:t>further</w:t>
      </w:r>
      <w:r w:rsidR="006C6F09">
        <w:t xml:space="preserve"> </w:t>
      </w:r>
      <w:r>
        <w:t>instructions</w:t>
      </w:r>
      <w:r w:rsidR="006C6F09">
        <w:t xml:space="preserve"> </w:t>
      </w:r>
      <w:r>
        <w:t>regarding</w:t>
      </w:r>
      <w:r w:rsidR="006C6F09">
        <w:t xml:space="preserve"> </w:t>
      </w:r>
      <w:r>
        <w:t>the</w:t>
      </w:r>
      <w:r w:rsidR="006C6F09">
        <w:t xml:space="preserve"> </w:t>
      </w:r>
      <w:r>
        <w:t>comment</w:t>
      </w:r>
      <w:r w:rsidR="006C6F09">
        <w:t xml:space="preserve"> </w:t>
      </w:r>
      <w:r>
        <w:t>and</w:t>
      </w:r>
      <w:r w:rsidR="006C6F09">
        <w:t xml:space="preserve"> </w:t>
      </w:r>
      <w:r>
        <w:t>response</w:t>
      </w:r>
      <w:r w:rsidR="006C6F09">
        <w:t xml:space="preserve"> </w:t>
      </w:r>
      <w:r>
        <w:t>matrix.</w:t>
      </w:r>
      <w:r w:rsidR="006C6F09">
        <w:t xml:space="preserve"> </w:t>
      </w:r>
      <w:r>
        <w:t>The</w:t>
      </w:r>
      <w:r w:rsidR="006C6F09">
        <w:t xml:space="preserve"> </w:t>
      </w:r>
      <w:r>
        <w:t>department</w:t>
      </w:r>
      <w:r w:rsidR="006C6F09">
        <w:t xml:space="preserve"> </w:t>
      </w:r>
      <w:r>
        <w:t>delegate</w:t>
      </w:r>
      <w:r w:rsidR="006C6F09">
        <w:t xml:space="preserve"> </w:t>
      </w:r>
      <w:r>
        <w:t>will</w:t>
      </w:r>
      <w:r w:rsidR="006C6F09">
        <w:t xml:space="preserve"> </w:t>
      </w:r>
      <w:r>
        <w:t>review</w:t>
      </w:r>
      <w:r w:rsidR="006C6F09">
        <w:t xml:space="preserve"> </w:t>
      </w:r>
      <w:r>
        <w:t>the</w:t>
      </w:r>
      <w:r w:rsidR="006C6F09">
        <w:t xml:space="preserve"> </w:t>
      </w:r>
      <w:r>
        <w:t>comment</w:t>
      </w:r>
      <w:r w:rsidR="006C6F09">
        <w:t xml:space="preserve"> </w:t>
      </w:r>
      <w:r>
        <w:t>and</w:t>
      </w:r>
      <w:r w:rsidR="006C6F09">
        <w:t xml:space="preserve"> </w:t>
      </w:r>
      <w:r>
        <w:t>response</w:t>
      </w:r>
      <w:r w:rsidR="006C6F09">
        <w:t xml:space="preserve"> </w:t>
      </w:r>
      <w:r>
        <w:t>matrix</w:t>
      </w:r>
      <w:r w:rsidR="006C6F09">
        <w:t xml:space="preserve"> </w:t>
      </w:r>
      <w:r>
        <w:t>to</w:t>
      </w:r>
      <w:r w:rsidR="006C6F09">
        <w:t xml:space="preserve"> </w:t>
      </w:r>
      <w:r>
        <w:t>ensure</w:t>
      </w:r>
      <w:r w:rsidR="006C6F09">
        <w:t xml:space="preserve"> </w:t>
      </w:r>
      <w:r>
        <w:t>that</w:t>
      </w:r>
      <w:r w:rsidR="006C6F09">
        <w:t xml:space="preserve"> </w:t>
      </w:r>
      <w:r>
        <w:t>all</w:t>
      </w:r>
      <w:r w:rsidR="006C6F09">
        <w:t xml:space="preserve"> </w:t>
      </w:r>
      <w:r>
        <w:t>comments</w:t>
      </w:r>
      <w:r w:rsidR="006C6F09">
        <w:t xml:space="preserve"> </w:t>
      </w:r>
      <w:r>
        <w:t>are</w:t>
      </w:r>
      <w:r w:rsidR="006C6F09">
        <w:t xml:space="preserve"> </w:t>
      </w:r>
      <w:r>
        <w:t>adequately</w:t>
      </w:r>
      <w:r w:rsidR="006C6F09">
        <w:t xml:space="preserve"> </w:t>
      </w:r>
      <w:r>
        <w:t>addressed</w:t>
      </w:r>
      <w:r w:rsidR="006C6F09">
        <w:t xml:space="preserve"> </w:t>
      </w:r>
      <w:r>
        <w:t>before</w:t>
      </w:r>
      <w:r w:rsidR="006C6F09">
        <w:t xml:space="preserve"> </w:t>
      </w:r>
      <w:r>
        <w:t>the</w:t>
      </w:r>
      <w:r w:rsidR="006C6F09">
        <w:t xml:space="preserve"> </w:t>
      </w:r>
      <w:r>
        <w:t>matrix</w:t>
      </w:r>
      <w:r w:rsidR="006C6F09">
        <w:t xml:space="preserve"> </w:t>
      </w:r>
      <w:r>
        <w:t>is</w:t>
      </w:r>
      <w:r w:rsidR="006C6F09">
        <w:t xml:space="preserve"> </w:t>
      </w:r>
      <w:r>
        <w:t>finalized.</w:t>
      </w:r>
    </w:p>
    <w:p w14:paraId="7154DCA9" w14:textId="5FABE8B8" w:rsidR="00457754" w:rsidRDefault="00A96223" w:rsidP="00A96223">
      <w:pPr>
        <w:pStyle w:val="ListNumber"/>
        <w:numPr>
          <w:ilvl w:val="0"/>
          <w:numId w:val="0"/>
        </w:numPr>
      </w:pPr>
      <w:r>
        <w:t>3.</w:t>
      </w:r>
      <w:r w:rsidR="00457754">
        <w:t>Notices</w:t>
      </w:r>
      <w:r w:rsidR="006C6F09">
        <w:t xml:space="preserve"> </w:t>
      </w:r>
    </w:p>
    <w:p w14:paraId="5FA223A6" w14:textId="6940F3B0" w:rsidR="00457754" w:rsidRDefault="00457754" w:rsidP="00A96223">
      <w:pPr>
        <w:pStyle w:val="ListNumber"/>
        <w:numPr>
          <w:ilvl w:val="0"/>
          <w:numId w:val="0"/>
        </w:numPr>
      </w:pPr>
      <w:r>
        <w:t>Include</w:t>
      </w:r>
      <w:r w:rsidR="006C6F09">
        <w:t xml:space="preserve"> </w:t>
      </w:r>
      <w:r>
        <w:t>a</w:t>
      </w:r>
      <w:r w:rsidR="006C6F09">
        <w:t xml:space="preserve"> </w:t>
      </w:r>
      <w:r>
        <w:t>copy</w:t>
      </w:r>
      <w:r w:rsidR="006C6F09">
        <w:t xml:space="preserve"> </w:t>
      </w:r>
      <w:r>
        <w:t>of</w:t>
      </w:r>
      <w:r w:rsidR="006C6F09">
        <w:t xml:space="preserve"> </w:t>
      </w:r>
      <w:r>
        <w:t>the</w:t>
      </w:r>
      <w:r w:rsidR="006C6F09">
        <w:t xml:space="preserve"> </w:t>
      </w:r>
      <w:r>
        <w:t>notice</w:t>
      </w:r>
      <w:r w:rsidR="006C6F09">
        <w:t xml:space="preserve"> </w:t>
      </w:r>
      <w:r>
        <w:t>provided</w:t>
      </w:r>
      <w:r w:rsidR="006C6F09">
        <w:t xml:space="preserve"> </w:t>
      </w:r>
      <w:r>
        <w:t>and</w:t>
      </w:r>
      <w:r w:rsidR="006C6F09">
        <w:t xml:space="preserve"> </w:t>
      </w:r>
      <w:r>
        <w:t>a</w:t>
      </w:r>
      <w:r w:rsidR="006C6F09">
        <w:t xml:space="preserve"> </w:t>
      </w:r>
      <w:r>
        <w:t>mailing</w:t>
      </w:r>
      <w:r w:rsidR="006C6F09">
        <w:t xml:space="preserve"> </w:t>
      </w:r>
      <w:r>
        <w:t>list,</w:t>
      </w:r>
      <w:r w:rsidR="006C6F09">
        <w:t xml:space="preserve"> </w:t>
      </w:r>
      <w:r>
        <w:t>copies</w:t>
      </w:r>
      <w:r w:rsidR="006C6F09">
        <w:t xml:space="preserve"> </w:t>
      </w:r>
      <w:r>
        <w:t>of</w:t>
      </w:r>
      <w:r w:rsidR="006C6F09">
        <w:t xml:space="preserve"> </w:t>
      </w:r>
      <w:r>
        <w:t>emails</w:t>
      </w:r>
      <w:r w:rsidR="006C6F09">
        <w:t xml:space="preserve"> </w:t>
      </w:r>
      <w:r>
        <w:t>sent,</w:t>
      </w:r>
      <w:r w:rsidR="006C6F09">
        <w:t xml:space="preserve"> </w:t>
      </w:r>
      <w:r>
        <w:t>or</w:t>
      </w:r>
      <w:r w:rsidR="006C6F09">
        <w:t xml:space="preserve"> </w:t>
      </w:r>
      <w:r>
        <w:t>an</w:t>
      </w:r>
      <w:r w:rsidR="006C6F09">
        <w:t xml:space="preserve"> </w:t>
      </w:r>
      <w:r>
        <w:t>explanation</w:t>
      </w:r>
      <w:r w:rsidR="006C6F09">
        <w:t xml:space="preserve"> </w:t>
      </w:r>
      <w:r>
        <w:t>of</w:t>
      </w:r>
      <w:r w:rsidR="006C6F09">
        <w:t xml:space="preserve"> </w:t>
      </w:r>
      <w:r>
        <w:t>any</w:t>
      </w:r>
      <w:r w:rsidR="006C6F09">
        <w:t xml:space="preserve"> </w:t>
      </w:r>
      <w:r>
        <w:t>in-person</w:t>
      </w:r>
      <w:r w:rsidR="006C6F09">
        <w:t xml:space="preserve"> </w:t>
      </w:r>
      <w:r>
        <w:t>delivery</w:t>
      </w:r>
      <w:r w:rsidR="006C6F09">
        <w:t xml:space="preserve"> </w:t>
      </w:r>
      <w:r>
        <w:t>of</w:t>
      </w:r>
      <w:r w:rsidR="006C6F09">
        <w:t xml:space="preserve"> </w:t>
      </w:r>
      <w:r>
        <w:t>the</w:t>
      </w:r>
      <w:r w:rsidR="006C6F09">
        <w:t xml:space="preserve"> </w:t>
      </w:r>
      <w:r>
        <w:t>notice.</w:t>
      </w:r>
      <w:r w:rsidR="006C6F09">
        <w:t xml:space="preserve"> </w:t>
      </w:r>
      <w:r>
        <w:t>Redact</w:t>
      </w:r>
      <w:r w:rsidR="006C6F09">
        <w:t xml:space="preserve"> </w:t>
      </w:r>
      <w:r>
        <w:t>any</w:t>
      </w:r>
      <w:r w:rsidR="006C6F09">
        <w:t xml:space="preserve"> </w:t>
      </w:r>
      <w:r>
        <w:t>email</w:t>
      </w:r>
      <w:r w:rsidR="006C6F09">
        <w:t xml:space="preserve"> </w:t>
      </w:r>
      <w:r>
        <w:t>addresses</w:t>
      </w:r>
      <w:r w:rsidR="006C6F09">
        <w:t xml:space="preserve"> </w:t>
      </w:r>
      <w:r>
        <w:t>for</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in</w:t>
      </w:r>
      <w:r w:rsidR="006C6F09">
        <w:t xml:space="preserve"> </w:t>
      </w:r>
      <w:r>
        <w:t>accordance</w:t>
      </w:r>
      <w:r w:rsidR="006C6F09">
        <w:t xml:space="preserve"> </w:t>
      </w:r>
      <w:r>
        <w:t>with</w:t>
      </w:r>
      <w:r w:rsidR="006C6F09">
        <w:t xml:space="preserve"> </w:t>
      </w:r>
      <w:r w:rsidRPr="00C45347">
        <w:t>Texas</w:t>
      </w:r>
      <w:r w:rsidR="006C6F09">
        <w:t xml:space="preserve"> </w:t>
      </w:r>
      <w:r w:rsidRPr="00C45347">
        <w:t>Government</w:t>
      </w:r>
      <w:r w:rsidR="006C6F09">
        <w:t xml:space="preserve"> </w:t>
      </w:r>
      <w:r w:rsidRPr="00C45347">
        <w:t>Code</w:t>
      </w:r>
      <w:r w:rsidR="006C6F09">
        <w:t xml:space="preserve"> </w:t>
      </w:r>
      <w:r>
        <w:t>552.137(a)</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rsidRPr="00C45347">
        <w:t>Texas</w:t>
      </w:r>
      <w:r w:rsidR="006C6F09">
        <w:t xml:space="preserve"> </w:t>
      </w:r>
      <w:r w:rsidRPr="00C45347">
        <w:t>Attorney</w:t>
      </w:r>
      <w:r w:rsidR="006C6F09">
        <w:t xml:space="preserve"> </w:t>
      </w:r>
      <w:r w:rsidRPr="00C45347">
        <w:t>General’s</w:t>
      </w:r>
      <w:r w:rsidR="006C6F09">
        <w:t xml:space="preserve"> </w:t>
      </w:r>
      <w:r w:rsidRPr="00C45347">
        <w:t>2020</w:t>
      </w:r>
      <w:r w:rsidR="006C6F09">
        <w:t xml:space="preserve"> </w:t>
      </w:r>
      <w:r w:rsidRPr="00C45347">
        <w:t>Public</w:t>
      </w:r>
      <w:r w:rsidR="006C6F09">
        <w:t xml:space="preserve"> </w:t>
      </w:r>
      <w:r w:rsidRPr="00C45347">
        <w:t>Information</w:t>
      </w:r>
      <w:r w:rsidR="006C6F09">
        <w:t xml:space="preserve"> </w:t>
      </w:r>
      <w:r w:rsidRPr="00C45347">
        <w:t>Act</w:t>
      </w:r>
      <w:r w:rsidR="006C6F09">
        <w:t xml:space="preserve"> </w:t>
      </w:r>
      <w:r w:rsidRPr="00C45347">
        <w:t>Handbook</w:t>
      </w:r>
      <w:r w:rsidR="006C6F09">
        <w:t xml:space="preserve"> </w:t>
      </w:r>
      <w:r>
        <w:t>at</w:t>
      </w:r>
      <w:r w:rsidR="006C6F09">
        <w:t xml:space="preserve"> </w:t>
      </w:r>
      <w:r>
        <w:t>pages</w:t>
      </w:r>
      <w:r w:rsidR="006C6F09">
        <w:t xml:space="preserve"> </w:t>
      </w:r>
      <w:r>
        <w:t>161-162).</w:t>
      </w:r>
      <w:r w:rsidR="006C6F09">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t>to</w:t>
      </w:r>
      <w:r w:rsidR="006C6F09">
        <w:t xml:space="preserve"> </w:t>
      </w:r>
      <w:r>
        <w:t>physical.</w:t>
      </w:r>
      <w:r w:rsidR="006C6F09">
        <w:t xml:space="preserve"> </w:t>
      </w:r>
      <w:proofErr w:type="gramStart"/>
      <w:r>
        <w:t>Redaction</w:t>
      </w:r>
      <w:proofErr w:type="gramEnd"/>
      <w:r w:rsidR="006C6F09">
        <w:t xml:space="preserve"> </w:t>
      </w:r>
      <w:r>
        <w:t>of</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done</w:t>
      </w:r>
      <w:r w:rsidR="006C6F09">
        <w:t xml:space="preserve"> </w:t>
      </w:r>
      <w:r>
        <w:t>on</w:t>
      </w:r>
      <w:r w:rsidR="006C6F09">
        <w:t xml:space="preserve"> </w:t>
      </w:r>
      <w:r>
        <w:t>a</w:t>
      </w:r>
      <w:r w:rsidR="006C6F09">
        <w:t xml:space="preserve"> </w:t>
      </w:r>
      <w:r>
        <w:t>discretionary</w:t>
      </w:r>
      <w:r w:rsidR="006C6F09">
        <w:t xml:space="preserve"> </w:t>
      </w:r>
      <w:r>
        <w:t>basis.</w:t>
      </w:r>
      <w:r w:rsidR="006C6F09">
        <w:t xml:space="preserve"> </w:t>
      </w:r>
    </w:p>
    <w:p w14:paraId="6A3E72A4" w14:textId="7BD19933" w:rsidR="00457754" w:rsidRDefault="00A96223" w:rsidP="00A96223">
      <w:pPr>
        <w:pStyle w:val="ListNumber"/>
        <w:numPr>
          <w:ilvl w:val="0"/>
          <w:numId w:val="0"/>
        </w:numPr>
        <w:spacing w:before="240"/>
      </w:pPr>
      <w:r>
        <w:t>4.</w:t>
      </w:r>
      <w:r w:rsidR="00457754">
        <w:t>Comments</w:t>
      </w:r>
      <w:r w:rsidR="006C6F09">
        <w:t xml:space="preserve"> </w:t>
      </w:r>
      <w:r w:rsidR="00457754">
        <w:t>Received</w:t>
      </w:r>
    </w:p>
    <w:p w14:paraId="78C0E786" w14:textId="41FAAC9F" w:rsidR="00457754" w:rsidRDefault="00457754" w:rsidP="00A96223">
      <w:pPr>
        <w:pStyle w:val="ListNumber"/>
        <w:numPr>
          <w:ilvl w:val="0"/>
          <w:numId w:val="0"/>
        </w:numPr>
        <w:spacing w:before="240"/>
      </w:pPr>
      <w:r>
        <w:t>Include</w:t>
      </w:r>
      <w:r w:rsidR="006C6F09">
        <w:t xml:space="preserve"> </w:t>
      </w:r>
      <w:r>
        <w:t>a</w:t>
      </w:r>
      <w:r w:rsidR="006C6F09">
        <w:t xml:space="preserve"> </w:t>
      </w:r>
      <w:r>
        <w:t>copy</w:t>
      </w:r>
      <w:r w:rsidR="006C6F09">
        <w:t xml:space="preserve"> </w:t>
      </w:r>
      <w:r>
        <w:t>of</w:t>
      </w:r>
      <w:r w:rsidR="006C6F09">
        <w:t xml:space="preserve"> </w:t>
      </w:r>
      <w:r>
        <w:t>all</w:t>
      </w:r>
      <w:r w:rsidR="006C6F09">
        <w:t xml:space="preserve"> </w:t>
      </w:r>
      <w:r>
        <w:t>written</w:t>
      </w:r>
      <w:r w:rsidR="006C6F09">
        <w:t xml:space="preserve"> </w:t>
      </w:r>
      <w:r>
        <w:t>comments</w:t>
      </w:r>
      <w:r w:rsidR="006C6F09">
        <w:t xml:space="preserve"> </w:t>
      </w:r>
      <w:r>
        <w:t>received</w:t>
      </w:r>
      <w:r w:rsidR="006C6F09">
        <w:t xml:space="preserve"> </w:t>
      </w:r>
      <w:r>
        <w:t>between</w:t>
      </w:r>
      <w:r w:rsidR="006C6F09">
        <w:t xml:space="preserve"> </w:t>
      </w:r>
      <w:r>
        <w:t>the</w:t>
      </w:r>
      <w:r w:rsidR="006C6F09">
        <w:t xml:space="preserve"> </w:t>
      </w:r>
      <w:r>
        <w:t>date</w:t>
      </w:r>
      <w:r w:rsidR="006C6F09">
        <w:t xml:space="preserve"> </w:t>
      </w:r>
      <w:r>
        <w:t>the</w:t>
      </w:r>
      <w:r w:rsidR="006C6F09">
        <w:t xml:space="preserve"> </w:t>
      </w:r>
      <w:r>
        <w:t>notice</w:t>
      </w:r>
      <w:r w:rsidR="006C6F09">
        <w:t xml:space="preserve"> </w:t>
      </w:r>
      <w:r>
        <w:t>was</w:t>
      </w:r>
      <w:r w:rsidR="006C6F09">
        <w:t xml:space="preserve"> </w:t>
      </w:r>
      <w:r>
        <w:t>provided</w:t>
      </w:r>
      <w:r w:rsidR="006C6F09">
        <w:t xml:space="preserve"> </w:t>
      </w:r>
      <w:r>
        <w:t>and</w:t>
      </w:r>
      <w:r w:rsidR="006C6F09">
        <w:t xml:space="preserve"> </w:t>
      </w:r>
      <w:r>
        <w:t>the</w:t>
      </w:r>
      <w:r w:rsidR="006C6F09">
        <w:t xml:space="preserve"> </w:t>
      </w:r>
      <w:r>
        <w:t>deadline</w:t>
      </w:r>
      <w:r w:rsidR="006C6F09">
        <w:t xml:space="preserve"> </w:t>
      </w:r>
      <w:r>
        <w:t>specified</w:t>
      </w:r>
      <w:r w:rsidR="006C6F09">
        <w:t xml:space="preserve"> </w:t>
      </w:r>
      <w:r>
        <w:t>in</w:t>
      </w:r>
      <w:r w:rsidR="006C6F09">
        <w:t xml:space="preserve"> </w:t>
      </w:r>
      <w:r>
        <w:t>the</w:t>
      </w:r>
      <w:r w:rsidR="006C6F09">
        <w:t xml:space="preserve"> </w:t>
      </w:r>
      <w:r>
        <w:t>notice.</w:t>
      </w:r>
      <w:r w:rsidR="006C6F09">
        <w:t xml:space="preserve"> </w:t>
      </w:r>
      <w:r>
        <w:t>In</w:t>
      </w:r>
      <w:r w:rsidR="006C6F09">
        <w:t xml:space="preserve"> </w:t>
      </w:r>
      <w:r>
        <w:t>cases</w:t>
      </w:r>
      <w:r w:rsidR="006C6F09">
        <w:t xml:space="preserve"> </w:t>
      </w:r>
      <w:r>
        <w:t>in</w:t>
      </w:r>
      <w:r w:rsidR="006C6F09">
        <w:t xml:space="preserve"> </w:t>
      </w:r>
      <w:r>
        <w:t>which</w:t>
      </w:r>
      <w:r w:rsidR="006C6F09">
        <w:t xml:space="preserve"> </w:t>
      </w:r>
      <w:r>
        <w:lastRenderedPageBreak/>
        <w:t>there</w:t>
      </w:r>
      <w:r w:rsidR="006C6F09">
        <w:t xml:space="preserve"> </w:t>
      </w:r>
      <w:r>
        <w:t>are</w:t>
      </w:r>
      <w:r w:rsidR="006C6F09">
        <w:t xml:space="preserve"> </w:t>
      </w:r>
      <w:r>
        <w:t>large</w:t>
      </w:r>
      <w:r w:rsidR="006C6F09">
        <w:t xml:space="preserve"> </w:t>
      </w:r>
      <w:r>
        <w:t>number</w:t>
      </w:r>
      <w:r w:rsidR="006C6F09">
        <w:t xml:space="preserve"> </w:t>
      </w:r>
      <w:r>
        <w:t>of</w:t>
      </w:r>
      <w:r w:rsidR="006C6F09">
        <w:t xml:space="preserve"> </w:t>
      </w:r>
      <w:r>
        <w:t>identical</w:t>
      </w:r>
      <w:r w:rsidR="006C6F09">
        <w:t xml:space="preserve"> </w:t>
      </w:r>
      <w:r>
        <w:t>comments,</w:t>
      </w:r>
      <w:r w:rsidR="006C6F09">
        <w:t xml:space="preserve"> </w:t>
      </w:r>
      <w:r>
        <w:t>it</w:t>
      </w:r>
      <w:r w:rsidR="006C6F09">
        <w:t xml:space="preserve"> </w:t>
      </w:r>
      <w:r>
        <w:t>may</w:t>
      </w:r>
      <w:r w:rsidR="006C6F09">
        <w:t xml:space="preserve"> </w:t>
      </w:r>
      <w:r>
        <w:t>be</w:t>
      </w:r>
      <w:r w:rsidR="006C6F09">
        <w:t xml:space="preserve"> </w:t>
      </w:r>
      <w:r>
        <w:t>appropriate</w:t>
      </w:r>
      <w:r w:rsidR="006C6F09">
        <w:t xml:space="preserve"> </w:t>
      </w:r>
      <w:r>
        <w:t>to</w:t>
      </w:r>
      <w:r w:rsidR="006C6F09">
        <w:t xml:space="preserve"> </w:t>
      </w:r>
      <w:r>
        <w:t>include</w:t>
      </w:r>
      <w:r w:rsidR="006C6F09">
        <w:t xml:space="preserve"> </w:t>
      </w:r>
      <w:r>
        <w:t>only</w:t>
      </w:r>
      <w:r w:rsidR="006C6F09">
        <w:t xml:space="preserve"> </w:t>
      </w:r>
      <w:r>
        <w:t>a</w:t>
      </w:r>
      <w:r w:rsidR="006C6F09">
        <w:t xml:space="preserve"> </w:t>
      </w:r>
      <w:r>
        <w:t>single</w:t>
      </w:r>
      <w:r w:rsidR="006C6F09">
        <w:t xml:space="preserve"> </w:t>
      </w:r>
      <w:r>
        <w:t>copy</w:t>
      </w:r>
      <w:r w:rsidR="006C6F09">
        <w:t xml:space="preserve"> </w:t>
      </w:r>
      <w:r>
        <w:t>–</w:t>
      </w:r>
      <w:r w:rsidR="006C6F09">
        <w:t xml:space="preserve"> </w:t>
      </w:r>
      <w:r>
        <w:t>consult</w:t>
      </w:r>
      <w:r w:rsidR="006C6F09">
        <w:t xml:space="preserve"> </w:t>
      </w:r>
      <w:r>
        <w:t>with</w:t>
      </w:r>
      <w:r w:rsidR="006C6F09">
        <w:t xml:space="preserve"> </w:t>
      </w:r>
      <w:r>
        <w:t>ENV’s</w:t>
      </w:r>
      <w:r w:rsidR="006C6F09">
        <w:t xml:space="preserve"> </w:t>
      </w:r>
      <w:r>
        <w:t>Project</w:t>
      </w:r>
      <w:r w:rsidR="006C6F09">
        <w:t xml:space="preserve"> </w:t>
      </w:r>
      <w:r>
        <w:t>Delivery</w:t>
      </w:r>
      <w:r w:rsidR="006C6F09">
        <w:t xml:space="preserve"> </w:t>
      </w:r>
      <w:r>
        <w:t>Section</w:t>
      </w:r>
      <w:r w:rsidR="006C6F09">
        <w:t xml:space="preserve"> </w:t>
      </w:r>
      <w:r>
        <w:t>to</w:t>
      </w:r>
      <w:r w:rsidR="006C6F09">
        <w:t xml:space="preserve"> </w:t>
      </w:r>
      <w:r>
        <w:t>discuss</w:t>
      </w:r>
      <w:r w:rsidR="006C6F09">
        <w:t xml:space="preserve"> </w:t>
      </w:r>
      <w:r>
        <w:t>the</w:t>
      </w:r>
      <w:r w:rsidR="006C6F09">
        <w:t xml:space="preserve"> </w:t>
      </w:r>
      <w:r>
        <w:t>best</w:t>
      </w:r>
      <w:r w:rsidR="006C6F09">
        <w:t xml:space="preserve"> </w:t>
      </w:r>
      <w:r>
        <w:t>approach.</w:t>
      </w:r>
      <w:r w:rsidR="006C6F09">
        <w:t xml:space="preserve"> </w:t>
      </w:r>
      <w:r>
        <w:t>Redact</w:t>
      </w:r>
      <w:r w:rsidR="006C6F09">
        <w:t xml:space="preserve"> </w:t>
      </w:r>
      <w:r>
        <w:t>any</w:t>
      </w:r>
      <w:r w:rsidR="006C6F09">
        <w:t xml:space="preserve"> </w:t>
      </w:r>
      <w:r>
        <w:t>email</w:t>
      </w:r>
      <w:r w:rsidR="006C6F09">
        <w:t xml:space="preserve"> </w:t>
      </w:r>
      <w:r>
        <w:t>addresses</w:t>
      </w:r>
      <w:r w:rsidR="006C6F09">
        <w:t xml:space="preserve"> </w:t>
      </w:r>
      <w:r>
        <w:t>visible</w:t>
      </w:r>
      <w:r w:rsidR="006C6F09">
        <w:t xml:space="preserve"> </w:t>
      </w:r>
      <w:r>
        <w:t>on</w:t>
      </w:r>
      <w:r w:rsidR="006C6F09">
        <w:t xml:space="preserve"> </w:t>
      </w:r>
      <w:r>
        <w:t>comments</w:t>
      </w:r>
      <w:r w:rsidR="006C6F09">
        <w:t xml:space="preserve"> </w:t>
      </w:r>
      <w:r>
        <w:t>provided</w:t>
      </w:r>
      <w:r w:rsidR="006C6F09">
        <w:t xml:space="preserve"> </w:t>
      </w:r>
      <w:r>
        <w:t>by</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in</w:t>
      </w:r>
      <w:r w:rsidR="006C6F09">
        <w:t xml:space="preserve"> </w:t>
      </w:r>
      <w:r>
        <w:t>accordance</w:t>
      </w:r>
      <w:r w:rsidR="006C6F09">
        <w:t xml:space="preserve"> </w:t>
      </w:r>
      <w:r>
        <w:t>with</w:t>
      </w:r>
      <w:r w:rsidR="006C6F09">
        <w:t xml:space="preserve"> </w:t>
      </w:r>
      <w:r w:rsidRPr="00C45347">
        <w:t>Texas</w:t>
      </w:r>
      <w:r w:rsidR="006C6F09">
        <w:t xml:space="preserve"> </w:t>
      </w:r>
      <w:r w:rsidRPr="00C45347">
        <w:t>Government</w:t>
      </w:r>
      <w:r w:rsidR="006C6F09">
        <w:t xml:space="preserve"> </w:t>
      </w:r>
      <w:r w:rsidRPr="00C45347">
        <w:t>Code</w:t>
      </w:r>
      <w:r w:rsidR="006C6F09">
        <w:t xml:space="preserve"> </w:t>
      </w:r>
      <w:r w:rsidRPr="00C45347">
        <w:t>552.137</w:t>
      </w:r>
      <w:r>
        <w:t>(a)</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rsidRPr="00263E76">
        <w:t>Texas</w:t>
      </w:r>
      <w:r w:rsidR="006C6F09">
        <w:t xml:space="preserve"> </w:t>
      </w:r>
      <w:r w:rsidRPr="00263E76">
        <w:t>Attorney</w:t>
      </w:r>
      <w:r w:rsidR="006C6F09">
        <w:t xml:space="preserve"> </w:t>
      </w:r>
      <w:r w:rsidRPr="00263E76">
        <w:t>General’s</w:t>
      </w:r>
      <w:r w:rsidR="006C6F09">
        <w:t xml:space="preserve"> </w:t>
      </w:r>
      <w:r w:rsidRPr="00263E76">
        <w:t>2020</w:t>
      </w:r>
      <w:r w:rsidR="006C6F09">
        <w:t xml:space="preserve"> </w:t>
      </w:r>
      <w:r w:rsidRPr="00263E76">
        <w:t>Public</w:t>
      </w:r>
      <w:r w:rsidR="006C6F09">
        <w:t xml:space="preserve"> </w:t>
      </w:r>
      <w:r w:rsidRPr="00263E76">
        <w:t>Information</w:t>
      </w:r>
      <w:r w:rsidR="006C6F09">
        <w:t xml:space="preserve"> </w:t>
      </w:r>
      <w:r w:rsidRPr="00263E76">
        <w:t>Act</w:t>
      </w:r>
      <w:r w:rsidR="006C6F09">
        <w:t xml:space="preserve"> </w:t>
      </w:r>
      <w:r w:rsidRPr="00263E76">
        <w:t>Handbook</w:t>
      </w:r>
      <w:r w:rsidR="006C6F09">
        <w:t xml:space="preserve"> </w:t>
      </w:r>
      <w:r>
        <w:t>at</w:t>
      </w:r>
      <w:r w:rsidR="006C6F09">
        <w:t xml:space="preserve"> </w:t>
      </w:r>
      <w:r>
        <w:t>pages</w:t>
      </w:r>
      <w:r w:rsidR="006C6F09">
        <w:t xml:space="preserve"> </w:t>
      </w:r>
      <w:r>
        <w:t>161-162).</w:t>
      </w:r>
      <w:r w:rsidR="006C6F09">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t>to</w:t>
      </w:r>
      <w:r w:rsidR="006C6F09">
        <w:t xml:space="preserve"> </w:t>
      </w:r>
      <w:r>
        <w:t>redact</w:t>
      </w:r>
      <w:r w:rsidR="006C6F09">
        <w:t xml:space="preserve"> </w:t>
      </w:r>
      <w:r>
        <w:t>physical</w:t>
      </w:r>
      <w:r w:rsidR="006C6F09">
        <w:t xml:space="preserve"> </w:t>
      </w:r>
      <w:r>
        <w:t>addresses.</w:t>
      </w:r>
      <w:r w:rsidR="006C6F09">
        <w:t xml:space="preserve"> </w:t>
      </w:r>
      <w:proofErr w:type="gramStart"/>
      <w:r>
        <w:t>Redaction</w:t>
      </w:r>
      <w:proofErr w:type="gramEnd"/>
      <w:r w:rsidR="006C6F09">
        <w:t xml:space="preserve"> </w:t>
      </w:r>
      <w:r>
        <w:t>of</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done</w:t>
      </w:r>
      <w:r w:rsidR="006C6F09">
        <w:t xml:space="preserve"> </w:t>
      </w:r>
      <w:r>
        <w:t>on</w:t>
      </w:r>
      <w:r w:rsidR="006C6F09">
        <w:t xml:space="preserve"> </w:t>
      </w:r>
      <w:r>
        <w:t>a</w:t>
      </w:r>
      <w:r w:rsidR="006C6F09">
        <w:t xml:space="preserve"> </w:t>
      </w:r>
      <w:r>
        <w:t>discretionary</w:t>
      </w:r>
      <w:r w:rsidR="006C6F09">
        <w:t xml:space="preserve"> </w:t>
      </w:r>
      <w:r>
        <w:t>basis.</w:t>
      </w:r>
      <w:r w:rsidR="006C6F09">
        <w:t xml:space="preserve"> </w:t>
      </w:r>
    </w:p>
    <w:p w14:paraId="1B7EF9BE" w14:textId="420CBEF7" w:rsidR="00457754" w:rsidRPr="005901D0" w:rsidRDefault="00457754" w:rsidP="00457754">
      <w:pPr>
        <w:pStyle w:val="Heading3"/>
      </w:pPr>
      <w:bookmarkStart w:id="112" w:name="_Ref219790219"/>
      <w:bookmarkStart w:id="113" w:name="_Toc224026242"/>
      <w:r w:rsidRPr="005901D0">
        <w:t>14.2</w:t>
      </w:r>
      <w:r w:rsidR="006C6F09" w:rsidRPr="005901D0">
        <w:t xml:space="preserve"> </w:t>
      </w:r>
      <w:r w:rsidRPr="005901D0">
        <w:t>Public</w:t>
      </w:r>
      <w:r w:rsidR="006C6F09" w:rsidRPr="005901D0">
        <w:t xml:space="preserve"> </w:t>
      </w:r>
      <w:r w:rsidRPr="005901D0">
        <w:t>Meetings</w:t>
      </w:r>
      <w:bookmarkEnd w:id="112"/>
      <w:bookmarkEnd w:id="113"/>
      <w:r w:rsidR="006C6F09" w:rsidRPr="005901D0">
        <w:t xml:space="preserve"> </w:t>
      </w:r>
    </w:p>
    <w:p w14:paraId="713F9D73" w14:textId="41A76550" w:rsidR="00457754" w:rsidRDefault="00457754" w:rsidP="00457754">
      <w:r>
        <w:t>Once</w:t>
      </w:r>
      <w:r w:rsidR="006C6F09">
        <w:t xml:space="preserve"> </w:t>
      </w:r>
      <w:r>
        <w:t>a</w:t>
      </w:r>
      <w:r w:rsidR="006C6F09">
        <w:t xml:space="preserve"> </w:t>
      </w:r>
      <w:r>
        <w:t>public</w:t>
      </w:r>
      <w:r w:rsidR="006C6F09">
        <w:t xml:space="preserve"> </w:t>
      </w:r>
      <w:r>
        <w:t>meeting</w:t>
      </w:r>
      <w:r w:rsidR="006C6F09">
        <w:t xml:space="preserve"> </w:t>
      </w:r>
      <w:r>
        <w:t>has</w:t>
      </w:r>
      <w:r w:rsidR="006C6F09">
        <w:t xml:space="preserve"> </w:t>
      </w:r>
      <w:r>
        <w:t>been</w:t>
      </w:r>
      <w:r w:rsidR="006C6F09">
        <w:t xml:space="preserve"> </w:t>
      </w:r>
      <w:r>
        <w:t>held,</w:t>
      </w:r>
      <w:r w:rsidR="006C6F09">
        <w:t xml:space="preserve"> </w:t>
      </w:r>
      <w:r>
        <w:t>documentation</w:t>
      </w:r>
      <w:r w:rsidR="006C6F09">
        <w:t xml:space="preserve"> </w:t>
      </w:r>
      <w:r>
        <w:t>of</w:t>
      </w:r>
      <w:r w:rsidR="006C6F09">
        <w:t xml:space="preserve"> </w:t>
      </w:r>
      <w:r>
        <w:t>public</w:t>
      </w:r>
      <w:r w:rsidR="006C6F09">
        <w:t xml:space="preserve"> </w:t>
      </w:r>
      <w:r>
        <w:t>meeting</w:t>
      </w:r>
      <w:r w:rsidR="006C6F09">
        <w:t xml:space="preserve"> </w:t>
      </w:r>
      <w:r>
        <w:t>shall</w:t>
      </w:r>
      <w:r w:rsidR="006C6F09">
        <w:t xml:space="preserve"> </w:t>
      </w:r>
      <w:r>
        <w:t>be</w:t>
      </w:r>
      <w:r w:rsidR="006C6F09">
        <w:t xml:space="preserve"> </w:t>
      </w:r>
      <w:r>
        <w:t>prepared</w:t>
      </w:r>
      <w:r w:rsidR="006C6F09">
        <w:t xml:space="preserve"> </w:t>
      </w:r>
      <w:r>
        <w:t>that</w:t>
      </w:r>
      <w:r w:rsidR="006C6F09">
        <w:t xml:space="preserve"> </w:t>
      </w:r>
      <w:r>
        <w:t>includes</w:t>
      </w:r>
      <w:r w:rsidR="006C6F09">
        <w:t xml:space="preserve"> </w:t>
      </w:r>
      <w:r>
        <w:t>the</w:t>
      </w:r>
      <w:r w:rsidR="006C6F09">
        <w:t xml:space="preserve"> </w:t>
      </w:r>
      <w:r>
        <w:t>items</w:t>
      </w:r>
      <w:r w:rsidR="006C6F09">
        <w:t xml:space="preserve"> </w:t>
      </w:r>
      <w:r>
        <w:t>enumerated</w:t>
      </w:r>
      <w:r w:rsidR="006C6F09">
        <w:t xml:space="preserve"> </w:t>
      </w:r>
      <w:r>
        <w:t>below.</w:t>
      </w:r>
      <w:r w:rsidR="006C6F09">
        <w:t xml:space="preserve"> </w:t>
      </w:r>
      <w:r>
        <w:t>The</w:t>
      </w:r>
      <w:r w:rsidR="006C6F09">
        <w:t xml:space="preserve"> </w:t>
      </w:r>
      <w:r>
        <w:t>project</w:t>
      </w:r>
      <w:r w:rsidR="006C6F09">
        <w:t xml:space="preserve"> </w:t>
      </w:r>
      <w:r>
        <w:t>sponsor</w:t>
      </w:r>
      <w:r w:rsidR="006C6F09">
        <w:t xml:space="preserve"> </w:t>
      </w:r>
      <w:r>
        <w:t>forwards</w:t>
      </w:r>
      <w:r w:rsidR="006C6F09">
        <w:t xml:space="preserve"> </w:t>
      </w:r>
      <w:r>
        <w:t>the</w:t>
      </w:r>
      <w:r w:rsidR="006C6F09">
        <w:t xml:space="preserve"> </w:t>
      </w:r>
      <w:r>
        <w:t>documentation</w:t>
      </w:r>
      <w:r w:rsidR="006C6F09">
        <w:t xml:space="preserve"> </w:t>
      </w:r>
      <w:r>
        <w:t>of</w:t>
      </w:r>
      <w:r w:rsidR="006C6F09">
        <w:t xml:space="preserve"> </w:t>
      </w:r>
      <w:r>
        <w:t>the</w:t>
      </w:r>
      <w:r w:rsidR="006C6F09">
        <w:t xml:space="preserve"> </w:t>
      </w:r>
      <w:r>
        <w:t>public</w:t>
      </w:r>
      <w:r w:rsidR="006C6F09">
        <w:t xml:space="preserve"> </w:t>
      </w:r>
      <w:r>
        <w:t>meeting</w:t>
      </w:r>
      <w:r w:rsidR="006C6F09">
        <w:t xml:space="preserve"> </w:t>
      </w:r>
      <w:r>
        <w:t>to</w:t>
      </w:r>
      <w:r w:rsidR="006C6F09">
        <w:t xml:space="preserve"> </w:t>
      </w:r>
      <w:r>
        <w:t>the</w:t>
      </w:r>
      <w:r w:rsidR="006C6F09">
        <w:t xml:space="preserve"> </w:t>
      </w:r>
      <w:r>
        <w:t>department</w:t>
      </w:r>
      <w:r w:rsidR="006C6F09">
        <w:t xml:space="preserve"> </w:t>
      </w:r>
      <w:r>
        <w:t>delegate</w:t>
      </w:r>
      <w:r w:rsidR="006C6F09">
        <w:t xml:space="preserve"> </w:t>
      </w:r>
      <w:r>
        <w:t>for</w:t>
      </w:r>
      <w:r w:rsidR="006C6F09">
        <w:t xml:space="preserve"> </w:t>
      </w:r>
      <w:r>
        <w:t>review,</w:t>
      </w:r>
      <w:r w:rsidR="006C6F09">
        <w:t xml:space="preserve"> </w:t>
      </w:r>
      <w:r>
        <w:t>and</w:t>
      </w:r>
      <w:r w:rsidR="006C6F09">
        <w:t xml:space="preserve"> </w:t>
      </w:r>
      <w:r>
        <w:t>the</w:t>
      </w:r>
      <w:r w:rsidR="006C6F09">
        <w:t xml:space="preserve"> </w:t>
      </w:r>
      <w:r>
        <w:t>documentation</w:t>
      </w:r>
      <w:r w:rsidR="006C6F09">
        <w:t xml:space="preserve"> </w:t>
      </w:r>
      <w:r>
        <w:t>is</w:t>
      </w:r>
      <w:r w:rsidR="006C6F09">
        <w:t xml:space="preserve"> </w:t>
      </w:r>
      <w:r>
        <w:t>retained</w:t>
      </w:r>
      <w:r w:rsidR="006C6F09">
        <w:t xml:space="preserve"> </w:t>
      </w:r>
      <w:r>
        <w:t>in</w:t>
      </w:r>
      <w:r w:rsidR="006C6F09">
        <w:t xml:space="preserve"> </w:t>
      </w:r>
      <w:r>
        <w:t>the</w:t>
      </w:r>
      <w:r w:rsidR="006C6F09">
        <w:t xml:space="preserve"> </w:t>
      </w:r>
      <w:r>
        <w:t>official</w:t>
      </w:r>
      <w:r w:rsidR="006C6F09">
        <w:t xml:space="preserve"> </w:t>
      </w:r>
      <w:r>
        <w:t>project</w:t>
      </w:r>
      <w:r w:rsidR="006C6F09">
        <w:t xml:space="preserve"> </w:t>
      </w:r>
      <w:r>
        <w:t>file.</w:t>
      </w:r>
      <w:r w:rsidR="006C6F09">
        <w:t xml:space="preserve"> </w:t>
      </w:r>
      <w:r>
        <w:t>Templates</w:t>
      </w:r>
      <w:r w:rsidR="006C6F09">
        <w:t xml:space="preserve"> </w:t>
      </w:r>
      <w:r>
        <w:t>and</w:t>
      </w:r>
      <w:r w:rsidR="006C6F09">
        <w:t xml:space="preserve"> </w:t>
      </w:r>
      <w:r>
        <w:t>guidance</w:t>
      </w:r>
      <w:r w:rsidR="006C6F09">
        <w:t xml:space="preserve"> </w:t>
      </w:r>
      <w:r>
        <w:t>for</w:t>
      </w:r>
      <w:r w:rsidR="006C6F09">
        <w:t xml:space="preserve"> </w:t>
      </w:r>
      <w:r>
        <w:t>the</w:t>
      </w:r>
      <w:r w:rsidR="006C6F09">
        <w:t xml:space="preserve"> </w:t>
      </w:r>
      <w:r>
        <w:t>required</w:t>
      </w:r>
      <w:r w:rsidR="006C6F09">
        <w:t xml:space="preserve"> </w:t>
      </w:r>
      <w:r>
        <w:t>documentation</w:t>
      </w:r>
      <w:r w:rsidR="006C6F09">
        <w:t xml:space="preserve"> </w:t>
      </w:r>
      <w:r>
        <w:t>format</w:t>
      </w:r>
      <w:r w:rsidR="006C6F09">
        <w:t xml:space="preserve"> </w:t>
      </w:r>
      <w:r>
        <w:t>are</w:t>
      </w:r>
      <w:r w:rsidR="006C6F09">
        <w:t xml:space="preserve"> </w:t>
      </w:r>
      <w:r>
        <w:t>available</w:t>
      </w:r>
      <w:r w:rsidR="006C6F09">
        <w:t xml:space="preserve"> </w:t>
      </w:r>
      <w:r>
        <w:t>in</w:t>
      </w:r>
      <w:r w:rsidR="006C6F09">
        <w:t xml:space="preserve"> </w:t>
      </w:r>
      <w:r>
        <w:t>the</w:t>
      </w:r>
      <w:r w:rsidR="006C6F09">
        <w:t xml:space="preserve"> </w:t>
      </w:r>
      <w:r>
        <w:t>online</w:t>
      </w:r>
      <w:r w:rsidR="006C6F09">
        <w:t xml:space="preserve"> </w:t>
      </w:r>
      <w:r>
        <w:t>Public</w:t>
      </w:r>
      <w:r w:rsidR="006C6F09">
        <w:t xml:space="preserve"> </w:t>
      </w:r>
      <w:r>
        <w:t>Involvement</w:t>
      </w:r>
      <w:r w:rsidR="006C6F09">
        <w:t xml:space="preserve"> </w:t>
      </w:r>
      <w:r>
        <w:t>Toolkit.</w:t>
      </w:r>
      <w:r w:rsidR="006C6F09">
        <w:t xml:space="preserve"> </w:t>
      </w:r>
    </w:p>
    <w:p w14:paraId="1E364067" w14:textId="25EA4669" w:rsidR="004028BC" w:rsidRDefault="00457754" w:rsidP="004028BC">
      <w:r>
        <w:t>The</w:t>
      </w:r>
      <w:r w:rsidR="006C6F09">
        <w:t xml:space="preserve"> </w:t>
      </w:r>
      <w:r>
        <w:t>documentation</w:t>
      </w:r>
      <w:r w:rsidR="006C6F09">
        <w:t xml:space="preserve"> </w:t>
      </w:r>
      <w:r>
        <w:t>will</w:t>
      </w:r>
      <w:r w:rsidR="006C6F09">
        <w:t xml:space="preserve"> </w:t>
      </w:r>
      <w:r>
        <w:t>be</w:t>
      </w:r>
      <w:r w:rsidR="006C6F09">
        <w:t xml:space="preserve"> </w:t>
      </w:r>
      <w:r>
        <w:t>submitted</w:t>
      </w:r>
      <w:r w:rsidR="006C6F09">
        <w:t xml:space="preserve"> </w:t>
      </w:r>
      <w:r>
        <w:t>as</w:t>
      </w:r>
      <w:r w:rsidR="006C6F09">
        <w:t xml:space="preserve"> </w:t>
      </w:r>
      <w:r>
        <w:t>a</w:t>
      </w:r>
      <w:r w:rsidR="006C6F09">
        <w:t xml:space="preserve"> </w:t>
      </w:r>
      <w:r>
        <w:t>single</w:t>
      </w:r>
      <w:r w:rsidR="006C6F09">
        <w:t xml:space="preserve"> </w:t>
      </w:r>
      <w:r>
        <w:t>and</w:t>
      </w:r>
      <w:r w:rsidR="006C6F09">
        <w:t xml:space="preserve"> </w:t>
      </w:r>
      <w:r>
        <w:t>complete</w:t>
      </w:r>
      <w:r w:rsidR="006C6F09">
        <w:t xml:space="preserve"> </w:t>
      </w:r>
      <w:r>
        <w:t>packet.</w:t>
      </w:r>
      <w:r w:rsidR="006C6F09">
        <w:t xml:space="preserve"> </w:t>
      </w:r>
      <w:r>
        <w:t>Public</w:t>
      </w:r>
      <w:r w:rsidR="006C6F09">
        <w:t xml:space="preserve"> </w:t>
      </w:r>
      <w:r>
        <w:t>meeting</w:t>
      </w:r>
      <w:r w:rsidR="006C6F09">
        <w:t xml:space="preserve"> </w:t>
      </w:r>
      <w:r>
        <w:t>documentation</w:t>
      </w:r>
      <w:r w:rsidR="006C6F09">
        <w:t xml:space="preserve"> </w:t>
      </w:r>
      <w:r>
        <w:t>shall</w:t>
      </w:r>
      <w:r w:rsidR="006C6F09">
        <w:t xml:space="preserve"> </w:t>
      </w:r>
      <w:r>
        <w:t>include</w:t>
      </w:r>
      <w:r w:rsidR="006C6F09">
        <w:t xml:space="preserve"> </w:t>
      </w:r>
      <w:r>
        <w:t>the</w:t>
      </w:r>
      <w:r w:rsidR="006C6F09">
        <w:t xml:space="preserve"> </w:t>
      </w:r>
      <w:r>
        <w:t>following:</w:t>
      </w:r>
    </w:p>
    <w:p w14:paraId="76AB8446" w14:textId="6440C1FF" w:rsidR="00457754" w:rsidRDefault="00052AE5" w:rsidP="00052AE5">
      <w:pPr>
        <w:pStyle w:val="ListNumber"/>
        <w:numPr>
          <w:ilvl w:val="0"/>
          <w:numId w:val="0"/>
        </w:numPr>
      </w:pPr>
      <w:r>
        <w:t>1.</w:t>
      </w:r>
      <w:r w:rsidR="006C6F09">
        <w:t xml:space="preserve"> </w:t>
      </w:r>
      <w:r w:rsidR="00457754">
        <w:t>Cover</w:t>
      </w:r>
      <w:r w:rsidR="006C6F09">
        <w:t xml:space="preserve"> </w:t>
      </w:r>
      <w:r w:rsidR="00457754">
        <w:t>Sheet</w:t>
      </w:r>
      <w:r w:rsidR="006C6F09">
        <w:t xml:space="preserve"> </w:t>
      </w:r>
      <w:r w:rsidR="00457754">
        <w:t>-</w:t>
      </w:r>
      <w:r w:rsidR="006C6F09">
        <w:t xml:space="preserve"> </w:t>
      </w:r>
      <w:r w:rsidR="00457754">
        <w:t>Public</w:t>
      </w:r>
      <w:r w:rsidR="006C6F09">
        <w:t xml:space="preserve"> </w:t>
      </w:r>
      <w:r w:rsidR="00457754">
        <w:t>meeting</w:t>
      </w:r>
      <w:r w:rsidR="006C6F09">
        <w:t xml:space="preserve"> </w:t>
      </w:r>
      <w:r w:rsidR="00457754">
        <w:t>documentation</w:t>
      </w:r>
      <w:r w:rsidR="006C6F09">
        <w:t xml:space="preserve"> </w:t>
      </w:r>
    </w:p>
    <w:p w14:paraId="2CFE7827" w14:textId="1E916725" w:rsidR="00457754" w:rsidRDefault="00457754" w:rsidP="004028BC">
      <w:pPr>
        <w:pStyle w:val="ListNumber"/>
        <w:numPr>
          <w:ilvl w:val="0"/>
          <w:numId w:val="0"/>
        </w:numPr>
      </w:pPr>
      <w:r>
        <w:t>The</w:t>
      </w:r>
      <w:r w:rsidR="006C6F09">
        <w:t xml:space="preserve"> </w:t>
      </w:r>
      <w:r>
        <w:t>Cover</w:t>
      </w:r>
      <w:r w:rsidR="006C6F09">
        <w:t xml:space="preserve"> </w:t>
      </w:r>
      <w:r>
        <w:t>Sheet</w:t>
      </w:r>
      <w:r w:rsidR="006C6F09">
        <w:t xml:space="preserve"> </w:t>
      </w:r>
      <w:r>
        <w:t>will</w:t>
      </w:r>
      <w:r w:rsidR="006C6F09">
        <w:t xml:space="preserve"> </w:t>
      </w:r>
      <w:r>
        <w:t>include</w:t>
      </w:r>
      <w:r w:rsidR="006C6F09">
        <w:t xml:space="preserve"> </w:t>
      </w:r>
      <w:r>
        <w:t>the</w:t>
      </w:r>
      <w:r w:rsidR="006C6F09">
        <w:t xml:space="preserve"> </w:t>
      </w:r>
      <w:r>
        <w:t>information</w:t>
      </w:r>
      <w:r w:rsidR="006C6F09">
        <w:t xml:space="preserve"> </w:t>
      </w:r>
      <w:r>
        <w:t>listed</w:t>
      </w:r>
      <w:r w:rsidR="006C6F09">
        <w:t xml:space="preserve"> </w:t>
      </w:r>
      <w:r>
        <w:t>on</w:t>
      </w:r>
      <w:r w:rsidR="006C6F09">
        <w:t xml:space="preserve"> </w:t>
      </w:r>
      <w:r>
        <w:t>the</w:t>
      </w:r>
      <w:r w:rsidR="006C6F09">
        <w:t xml:space="preserve"> </w:t>
      </w:r>
      <w:r>
        <w:t>ENV’s</w:t>
      </w:r>
      <w:r w:rsidR="006C6F09">
        <w:t xml:space="preserve"> </w:t>
      </w:r>
      <w:r>
        <w:t>Template:</w:t>
      </w:r>
      <w:r w:rsidR="006C6F09">
        <w:t xml:space="preserve"> </w:t>
      </w:r>
      <w:r>
        <w:t>Public</w:t>
      </w:r>
      <w:r w:rsidR="006C6F09">
        <w:t xml:space="preserve"> </w:t>
      </w:r>
      <w:r>
        <w:t>Meeting</w:t>
      </w:r>
      <w:r w:rsidR="006C6F09">
        <w:t xml:space="preserve"> </w:t>
      </w:r>
      <w:r>
        <w:t>Documentation</w:t>
      </w:r>
      <w:r w:rsidR="006C6F09">
        <w:t xml:space="preserve"> </w:t>
      </w:r>
      <w:r>
        <w:t>Cover</w:t>
      </w:r>
      <w:r w:rsidR="006C6F09">
        <w:t xml:space="preserve"> </w:t>
      </w:r>
      <w:r>
        <w:t>Page,</w:t>
      </w:r>
      <w:r w:rsidR="006C6F09">
        <w:t xml:space="preserve"> </w:t>
      </w:r>
      <w:r>
        <w:t>available</w:t>
      </w:r>
      <w:r w:rsidR="006C6F09">
        <w:t xml:space="preserve"> </w:t>
      </w:r>
      <w:r>
        <w:t>in</w:t>
      </w:r>
      <w:r w:rsidR="006C6F09">
        <w:t xml:space="preserve"> </w:t>
      </w:r>
      <w:r>
        <w:t>the</w:t>
      </w:r>
      <w:r w:rsidR="006C6F09">
        <w:t xml:space="preserve"> </w:t>
      </w:r>
      <w:r>
        <w:t>Public</w:t>
      </w:r>
      <w:r w:rsidR="006C6F09">
        <w:t xml:space="preserve"> </w:t>
      </w:r>
      <w:r>
        <w:t>Involvement</w:t>
      </w:r>
      <w:r w:rsidR="006C6F09">
        <w:t xml:space="preserve"> </w:t>
      </w:r>
      <w:r>
        <w:t>Toolkit.</w:t>
      </w:r>
      <w:r w:rsidR="006C6F09">
        <w:t xml:space="preserve"> </w:t>
      </w:r>
    </w:p>
    <w:p w14:paraId="39543A6C" w14:textId="3546CEBF" w:rsidR="00457754" w:rsidRDefault="00457754" w:rsidP="004028BC">
      <w:pPr>
        <w:pStyle w:val="ListNumber"/>
        <w:numPr>
          <w:ilvl w:val="0"/>
          <w:numId w:val="0"/>
        </w:numPr>
      </w:pPr>
      <w:r>
        <w:t>For</w:t>
      </w:r>
      <w:r w:rsidR="006C6F09">
        <w:t xml:space="preserve"> </w:t>
      </w:r>
      <w:r>
        <w:t>virtual</w:t>
      </w:r>
      <w:r w:rsidR="006C6F09">
        <w:t xml:space="preserve"> </w:t>
      </w:r>
      <w:r>
        <w:t>meetings,</w:t>
      </w:r>
      <w:r w:rsidR="006C6F09">
        <w:t xml:space="preserve"> </w:t>
      </w:r>
      <w:r>
        <w:t>include</w:t>
      </w:r>
      <w:r w:rsidR="006C6F09">
        <w:t xml:space="preserve"> </w:t>
      </w:r>
      <w:r>
        <w:t>the</w:t>
      </w:r>
      <w:r w:rsidR="006C6F09">
        <w:t xml:space="preserve"> </w:t>
      </w:r>
      <w:r>
        <w:t>following</w:t>
      </w:r>
      <w:r w:rsidR="006C6F09">
        <w:t xml:space="preserve"> </w:t>
      </w:r>
      <w:r>
        <w:t>information:</w:t>
      </w:r>
      <w:r w:rsidR="006C6F09">
        <w:t xml:space="preserve"> </w:t>
      </w:r>
    </w:p>
    <w:p w14:paraId="6F521B4C" w14:textId="2D145DFD" w:rsidR="00457754" w:rsidRPr="00D90AD1" w:rsidRDefault="00457754" w:rsidP="00457754">
      <w:pPr>
        <w:pStyle w:val="ListBullet"/>
      </w:pPr>
      <w:r w:rsidRPr="00D90AD1">
        <w:t>Under</w:t>
      </w:r>
      <w:r w:rsidR="006C6F09">
        <w:t xml:space="preserve"> </w:t>
      </w:r>
      <w:r w:rsidRPr="00D90AD1">
        <w:t>“Meeting</w:t>
      </w:r>
      <w:r w:rsidR="006C6F09">
        <w:t xml:space="preserve"> </w:t>
      </w:r>
      <w:r w:rsidRPr="00D90AD1">
        <w:t>Location”</w:t>
      </w:r>
      <w:r w:rsidR="006C6F09">
        <w:t xml:space="preserve"> </w:t>
      </w:r>
      <w:r w:rsidRPr="00D90AD1">
        <w:t>indicate</w:t>
      </w:r>
      <w:r w:rsidR="006C6F09">
        <w:t xml:space="preserve"> </w:t>
      </w:r>
      <w:r w:rsidRPr="00D90AD1">
        <w:t>that</w:t>
      </w:r>
      <w:r w:rsidR="006C6F09">
        <w:t xml:space="preserve"> </w:t>
      </w:r>
      <w:r w:rsidRPr="00D90AD1">
        <w:t>it</w:t>
      </w:r>
      <w:r w:rsidR="006C6F09">
        <w:t xml:space="preserve"> </w:t>
      </w:r>
      <w:r w:rsidRPr="00D90AD1">
        <w:t>was</w:t>
      </w:r>
      <w:r w:rsidR="006C6F09">
        <w:t xml:space="preserve"> </w:t>
      </w:r>
      <w:r w:rsidRPr="00D90AD1">
        <w:t>a</w:t>
      </w:r>
      <w:r w:rsidR="006C6F09">
        <w:t xml:space="preserve"> </w:t>
      </w:r>
      <w:r w:rsidRPr="00D90AD1">
        <w:t>virtual</w:t>
      </w:r>
      <w:r w:rsidR="006C6F09">
        <w:t xml:space="preserve"> </w:t>
      </w:r>
      <w:r w:rsidRPr="00D90AD1">
        <w:t>meeting</w:t>
      </w:r>
      <w:r w:rsidR="006C6F09">
        <w:t xml:space="preserve"> </w:t>
      </w:r>
      <w:r w:rsidRPr="00D90AD1">
        <w:t>and</w:t>
      </w:r>
      <w:r w:rsidR="006C6F09">
        <w:t xml:space="preserve"> </w:t>
      </w:r>
      <w:r w:rsidRPr="00D90AD1">
        <w:t>provide</w:t>
      </w:r>
      <w:r w:rsidR="006C6F09">
        <w:t xml:space="preserve"> </w:t>
      </w:r>
      <w:r w:rsidRPr="00D90AD1">
        <w:t>the</w:t>
      </w:r>
      <w:r w:rsidR="006C6F09">
        <w:t xml:space="preserve"> </w:t>
      </w:r>
      <w:r w:rsidRPr="00D90AD1">
        <w:t>web</w:t>
      </w:r>
      <w:r w:rsidR="006C6F09">
        <w:t xml:space="preserve"> </w:t>
      </w:r>
      <w:r w:rsidRPr="00D90AD1">
        <w:t>address</w:t>
      </w:r>
      <w:r w:rsidR="006C6F09">
        <w:t xml:space="preserve"> </w:t>
      </w:r>
      <w:r w:rsidRPr="00D90AD1">
        <w:t>(and</w:t>
      </w:r>
      <w:r w:rsidR="006C6F09">
        <w:t xml:space="preserve"> </w:t>
      </w:r>
      <w:r w:rsidRPr="00D90AD1">
        <w:t>for</w:t>
      </w:r>
      <w:r w:rsidR="006C6F09">
        <w:t xml:space="preserve"> </w:t>
      </w:r>
      <w:r w:rsidRPr="00D90AD1">
        <w:t>a</w:t>
      </w:r>
      <w:r w:rsidR="006C6F09">
        <w:t xml:space="preserve"> </w:t>
      </w:r>
      <w:r w:rsidRPr="00D90AD1">
        <w:t>virtual</w:t>
      </w:r>
      <w:r w:rsidR="006C6F09">
        <w:t xml:space="preserve"> </w:t>
      </w:r>
      <w:r w:rsidRPr="00D90AD1">
        <w:t>meeting</w:t>
      </w:r>
      <w:r w:rsidR="006C6F09">
        <w:t xml:space="preserve"> </w:t>
      </w:r>
      <w:r w:rsidRPr="00D90AD1">
        <w:t>with</w:t>
      </w:r>
      <w:r w:rsidR="006C6F09">
        <w:t xml:space="preserve"> </w:t>
      </w:r>
      <w:r w:rsidRPr="00D90AD1">
        <w:t>an</w:t>
      </w:r>
      <w:r w:rsidR="006C6F09">
        <w:t xml:space="preserve"> </w:t>
      </w:r>
      <w:r w:rsidRPr="00D90AD1">
        <w:t>in-person</w:t>
      </w:r>
      <w:r w:rsidR="006C6F09">
        <w:t xml:space="preserve"> </w:t>
      </w:r>
      <w:r w:rsidRPr="00D90AD1">
        <w:t>option,</w:t>
      </w:r>
      <w:r w:rsidR="006C6F09">
        <w:t xml:space="preserve"> </w:t>
      </w:r>
      <w:r w:rsidRPr="00D90AD1">
        <w:t>also</w:t>
      </w:r>
      <w:r w:rsidR="006C6F09">
        <w:t xml:space="preserve"> </w:t>
      </w:r>
      <w:r w:rsidRPr="00D90AD1">
        <w:t>separately</w:t>
      </w:r>
      <w:r w:rsidR="006C6F09">
        <w:t xml:space="preserve"> </w:t>
      </w:r>
      <w:r w:rsidRPr="00D90AD1">
        <w:t>indicate</w:t>
      </w:r>
      <w:r w:rsidR="006C6F09">
        <w:t xml:space="preserve"> </w:t>
      </w:r>
      <w:r w:rsidRPr="00D90AD1">
        <w:t>the</w:t>
      </w:r>
      <w:r w:rsidR="006C6F09">
        <w:t xml:space="preserve"> </w:t>
      </w:r>
      <w:r w:rsidRPr="00D90AD1">
        <w:t>location</w:t>
      </w:r>
      <w:r w:rsidR="006C6F09">
        <w:t xml:space="preserve"> </w:t>
      </w:r>
      <w:r w:rsidRPr="00D90AD1">
        <w:t>of</w:t>
      </w:r>
      <w:r w:rsidR="006C6F09">
        <w:t xml:space="preserve"> </w:t>
      </w:r>
      <w:r w:rsidRPr="00D90AD1">
        <w:t>the</w:t>
      </w:r>
      <w:r w:rsidR="006C6F09">
        <w:t xml:space="preserve"> </w:t>
      </w:r>
      <w:r w:rsidRPr="00D90AD1">
        <w:t>in-person</w:t>
      </w:r>
      <w:r w:rsidR="006C6F09">
        <w:t xml:space="preserve"> </w:t>
      </w:r>
      <w:r w:rsidRPr="00D90AD1">
        <w:t>option).</w:t>
      </w:r>
    </w:p>
    <w:p w14:paraId="3BEE1930" w14:textId="12EC2125" w:rsidR="00457754" w:rsidRPr="00D90AD1" w:rsidRDefault="00457754" w:rsidP="00457754">
      <w:pPr>
        <w:pStyle w:val="ListBullet"/>
      </w:pPr>
      <w:r w:rsidRPr="00D90AD1">
        <w:lastRenderedPageBreak/>
        <w:t>Under</w:t>
      </w:r>
      <w:r w:rsidR="006C6F09">
        <w:t xml:space="preserve"> </w:t>
      </w:r>
      <w:r w:rsidRPr="00D90AD1">
        <w:t>“Meeting</w:t>
      </w:r>
      <w:r w:rsidR="006C6F09">
        <w:t xml:space="preserve"> </w:t>
      </w:r>
      <w:r w:rsidRPr="00D90AD1">
        <w:t>Date</w:t>
      </w:r>
      <w:r w:rsidR="006C6F09">
        <w:t xml:space="preserve"> </w:t>
      </w:r>
      <w:r w:rsidRPr="00D90AD1">
        <w:t>and</w:t>
      </w:r>
      <w:r w:rsidR="006C6F09">
        <w:t xml:space="preserve"> </w:t>
      </w:r>
      <w:r w:rsidRPr="00D90AD1">
        <w:t>Time”</w:t>
      </w:r>
      <w:r w:rsidR="006C6F09">
        <w:t xml:space="preserve"> </w:t>
      </w:r>
      <w:r w:rsidRPr="00D90AD1">
        <w:t>indicate</w:t>
      </w:r>
      <w:r w:rsidR="006C6F09">
        <w:t xml:space="preserve"> </w:t>
      </w:r>
      <w:r w:rsidRPr="00D90AD1">
        <w:t>the</w:t>
      </w:r>
      <w:r w:rsidR="006C6F09">
        <w:t xml:space="preserve"> </w:t>
      </w:r>
      <w:r w:rsidRPr="00D90AD1">
        <w:t>date</w:t>
      </w:r>
      <w:r w:rsidR="006C6F09">
        <w:t xml:space="preserve"> </w:t>
      </w:r>
      <w:r w:rsidRPr="00D90AD1">
        <w:t>and</w:t>
      </w:r>
      <w:r w:rsidR="006C6F09">
        <w:t xml:space="preserve"> </w:t>
      </w:r>
      <w:r w:rsidRPr="00D90AD1">
        <w:t>time</w:t>
      </w:r>
      <w:r w:rsidR="006C6F09">
        <w:t xml:space="preserve"> </w:t>
      </w:r>
      <w:r w:rsidRPr="00D90AD1">
        <w:t>of</w:t>
      </w:r>
      <w:r w:rsidR="006C6F09">
        <w:t xml:space="preserve"> </w:t>
      </w:r>
      <w:r w:rsidRPr="00D90AD1">
        <w:t>the</w:t>
      </w:r>
      <w:r w:rsidR="006C6F09">
        <w:t xml:space="preserve"> </w:t>
      </w:r>
      <w:r w:rsidRPr="00D90AD1">
        <w:t>virtual</w:t>
      </w:r>
      <w:r w:rsidR="006C6F09">
        <w:t xml:space="preserve"> </w:t>
      </w:r>
      <w:r w:rsidRPr="00D90AD1">
        <w:t>meeting,</w:t>
      </w:r>
      <w:r w:rsidR="006C6F09">
        <w:t xml:space="preserve"> </w:t>
      </w:r>
      <w:r w:rsidRPr="00D90AD1">
        <w:t>and</w:t>
      </w:r>
      <w:r w:rsidR="006C6F09">
        <w:t xml:space="preserve"> </w:t>
      </w:r>
      <w:r w:rsidRPr="00D90AD1">
        <w:t>the</w:t>
      </w:r>
      <w:r w:rsidR="006C6F09">
        <w:t xml:space="preserve"> </w:t>
      </w:r>
      <w:r w:rsidRPr="00D90AD1">
        <w:t>dates</w:t>
      </w:r>
      <w:r w:rsidR="006C6F09">
        <w:t xml:space="preserve"> </w:t>
      </w:r>
      <w:r w:rsidRPr="00D90AD1">
        <w:t>on</w:t>
      </w:r>
      <w:r w:rsidR="006C6F09">
        <w:t xml:space="preserve"> </w:t>
      </w:r>
      <w:r w:rsidRPr="00D90AD1">
        <w:t>which</w:t>
      </w:r>
      <w:r w:rsidR="006C6F09">
        <w:t xml:space="preserve"> </w:t>
      </w:r>
      <w:r w:rsidRPr="00D90AD1">
        <w:t>the</w:t>
      </w:r>
      <w:r w:rsidR="006C6F09">
        <w:t xml:space="preserve"> </w:t>
      </w:r>
      <w:r w:rsidRPr="00D90AD1">
        <w:t>online</w:t>
      </w:r>
      <w:r w:rsidR="006C6F09">
        <w:t xml:space="preserve"> </w:t>
      </w:r>
      <w:r w:rsidRPr="00D90AD1">
        <w:t>presentation</w:t>
      </w:r>
      <w:r w:rsidR="006C6F09">
        <w:t xml:space="preserve"> </w:t>
      </w:r>
      <w:r w:rsidRPr="00D90AD1">
        <w:t>continued</w:t>
      </w:r>
      <w:r w:rsidR="006C6F09">
        <w:t xml:space="preserve"> </w:t>
      </w:r>
      <w:r w:rsidRPr="00D90AD1">
        <w:t>to</w:t>
      </w:r>
      <w:r w:rsidR="006C6F09">
        <w:t xml:space="preserve"> </w:t>
      </w:r>
      <w:r w:rsidRPr="00D90AD1">
        <w:t>be</w:t>
      </w:r>
      <w:r w:rsidR="006C6F09">
        <w:t xml:space="preserve"> </w:t>
      </w:r>
      <w:r w:rsidRPr="00D90AD1">
        <w:t>available</w:t>
      </w:r>
      <w:r w:rsidR="006C6F09">
        <w:t xml:space="preserve"> </w:t>
      </w:r>
      <w:r w:rsidRPr="00D90AD1">
        <w:t>for</w:t>
      </w:r>
      <w:r w:rsidR="006C6F09">
        <w:t xml:space="preserve"> </w:t>
      </w:r>
      <w:r w:rsidRPr="00D90AD1">
        <w:t>viewing</w:t>
      </w:r>
      <w:r w:rsidR="006C6F09">
        <w:t xml:space="preserve"> </w:t>
      </w:r>
      <w:r w:rsidRPr="00D90AD1">
        <w:t>online</w:t>
      </w:r>
      <w:r w:rsidR="006C6F09">
        <w:t xml:space="preserve"> </w:t>
      </w:r>
      <w:r w:rsidRPr="00D90AD1">
        <w:t>(and</w:t>
      </w:r>
      <w:r w:rsidR="006C6F09">
        <w:t xml:space="preserve"> </w:t>
      </w:r>
      <w:r w:rsidRPr="00D90AD1">
        <w:t>for</w:t>
      </w:r>
      <w:r w:rsidR="006C6F09">
        <w:t xml:space="preserve"> </w:t>
      </w:r>
      <w:r w:rsidRPr="00D90AD1">
        <w:t>a</w:t>
      </w:r>
      <w:r w:rsidR="006C6F09">
        <w:t xml:space="preserve"> </w:t>
      </w:r>
      <w:r w:rsidRPr="00D90AD1">
        <w:t>virtual</w:t>
      </w:r>
      <w:r w:rsidR="006C6F09">
        <w:t xml:space="preserve"> </w:t>
      </w:r>
      <w:r w:rsidRPr="00D90AD1">
        <w:t>meeting</w:t>
      </w:r>
      <w:r w:rsidR="006C6F09">
        <w:t xml:space="preserve"> </w:t>
      </w:r>
      <w:r w:rsidRPr="00D90AD1">
        <w:t>with</w:t>
      </w:r>
      <w:r w:rsidR="006C6F09">
        <w:t xml:space="preserve"> </w:t>
      </w:r>
      <w:r w:rsidRPr="00D90AD1">
        <w:t>an</w:t>
      </w:r>
      <w:r w:rsidR="006C6F09">
        <w:t xml:space="preserve"> </w:t>
      </w:r>
      <w:r w:rsidRPr="00D90AD1">
        <w:t>in-person</w:t>
      </w:r>
      <w:r w:rsidR="006C6F09">
        <w:t xml:space="preserve"> </w:t>
      </w:r>
      <w:r w:rsidRPr="00D90AD1">
        <w:t>option,</w:t>
      </w:r>
      <w:r w:rsidR="006C6F09">
        <w:t xml:space="preserve"> </w:t>
      </w:r>
      <w:r w:rsidRPr="00D90AD1">
        <w:t>also</w:t>
      </w:r>
      <w:r w:rsidR="006C6F09">
        <w:t xml:space="preserve"> </w:t>
      </w:r>
      <w:r w:rsidRPr="00D90AD1">
        <w:t>separately</w:t>
      </w:r>
      <w:r w:rsidR="006C6F09">
        <w:t xml:space="preserve"> </w:t>
      </w:r>
      <w:r w:rsidRPr="00D90AD1">
        <w:t>indicate</w:t>
      </w:r>
      <w:r w:rsidR="006C6F09">
        <w:t xml:space="preserve"> </w:t>
      </w:r>
      <w:r w:rsidRPr="00D90AD1">
        <w:t>the</w:t>
      </w:r>
      <w:r w:rsidR="006C6F09">
        <w:t xml:space="preserve"> </w:t>
      </w:r>
      <w:r w:rsidRPr="00D90AD1">
        <w:t>date(s)</w:t>
      </w:r>
      <w:r w:rsidR="006C6F09">
        <w:t xml:space="preserve"> </w:t>
      </w:r>
      <w:r w:rsidRPr="00D90AD1">
        <w:t>and</w:t>
      </w:r>
      <w:r w:rsidR="006C6F09">
        <w:t xml:space="preserve"> </w:t>
      </w:r>
      <w:r w:rsidRPr="00D90AD1">
        <w:t>times</w:t>
      </w:r>
      <w:r w:rsidR="006C6F09">
        <w:t xml:space="preserve"> </w:t>
      </w:r>
      <w:r w:rsidRPr="00D90AD1">
        <w:t>of</w:t>
      </w:r>
      <w:r w:rsidR="006C6F09">
        <w:t xml:space="preserve"> </w:t>
      </w:r>
      <w:r w:rsidRPr="00D90AD1">
        <w:t>the</w:t>
      </w:r>
      <w:r w:rsidR="006C6F09">
        <w:t xml:space="preserve"> </w:t>
      </w:r>
      <w:r w:rsidRPr="00D90AD1">
        <w:t>in-person</w:t>
      </w:r>
      <w:r w:rsidR="006C6F09">
        <w:t xml:space="preserve"> </w:t>
      </w:r>
      <w:r w:rsidRPr="00D90AD1">
        <w:t>option).</w:t>
      </w:r>
    </w:p>
    <w:p w14:paraId="3849138A" w14:textId="555F1FED" w:rsidR="00457754" w:rsidRPr="00D90AD1" w:rsidRDefault="00457754" w:rsidP="00457754">
      <w:pPr>
        <w:pStyle w:val="ListBullet"/>
      </w:pPr>
      <w:r w:rsidRPr="00D90AD1">
        <w:t>Under</w:t>
      </w:r>
      <w:r w:rsidR="006C6F09">
        <w:t xml:space="preserve"> </w:t>
      </w:r>
      <w:r w:rsidRPr="00D90AD1">
        <w:t>“Elected</w:t>
      </w:r>
      <w:r w:rsidR="006C6F09">
        <w:t xml:space="preserve"> </w:t>
      </w:r>
      <w:r w:rsidRPr="00D90AD1">
        <w:t>Officials</w:t>
      </w:r>
      <w:r w:rsidR="006C6F09">
        <w:t xml:space="preserve"> </w:t>
      </w:r>
      <w:r w:rsidRPr="00D90AD1">
        <w:t>in</w:t>
      </w:r>
      <w:r w:rsidR="006C6F09">
        <w:t xml:space="preserve"> </w:t>
      </w:r>
      <w:r w:rsidRPr="00D90AD1">
        <w:t>Attendance,”</w:t>
      </w:r>
      <w:r w:rsidR="006C6F09">
        <w:t xml:space="preserve"> </w:t>
      </w:r>
      <w:r w:rsidRPr="00D90AD1">
        <w:t>indicate</w:t>
      </w:r>
      <w:r w:rsidR="006C6F09">
        <w:t xml:space="preserve"> </w:t>
      </w:r>
      <w:r w:rsidRPr="00D90AD1">
        <w:t>Not</w:t>
      </w:r>
      <w:r w:rsidR="006C6F09">
        <w:t xml:space="preserve"> </w:t>
      </w:r>
      <w:r w:rsidRPr="00D90AD1">
        <w:t>Appliable.</w:t>
      </w:r>
    </w:p>
    <w:p w14:paraId="667F6B73" w14:textId="7D8AD5F9" w:rsidR="00457754" w:rsidRPr="00D90AD1" w:rsidRDefault="00457754" w:rsidP="00457754">
      <w:pPr>
        <w:pStyle w:val="ListBullet"/>
      </w:pPr>
      <w:r w:rsidRPr="00D90AD1">
        <w:t>Under</w:t>
      </w:r>
      <w:r w:rsidR="006C6F09">
        <w:t xml:space="preserve"> </w:t>
      </w:r>
      <w:r w:rsidRPr="00D90AD1">
        <w:t>“Total</w:t>
      </w:r>
      <w:r w:rsidR="006C6F09">
        <w:t xml:space="preserve"> </w:t>
      </w:r>
      <w:r w:rsidRPr="00D90AD1">
        <w:t>Number</w:t>
      </w:r>
      <w:r w:rsidR="006C6F09">
        <w:t xml:space="preserve"> </w:t>
      </w:r>
      <w:r w:rsidRPr="00D90AD1">
        <w:t>of</w:t>
      </w:r>
      <w:r w:rsidR="006C6F09">
        <w:t xml:space="preserve"> </w:t>
      </w:r>
      <w:r w:rsidRPr="00D90AD1">
        <w:t>Attendees,”</w:t>
      </w:r>
      <w:r w:rsidR="006C6F09">
        <w:t xml:space="preserve"> </w:t>
      </w:r>
      <w:r w:rsidRPr="00D90AD1">
        <w:t>provide</w:t>
      </w:r>
      <w:r w:rsidR="006C6F09">
        <w:t xml:space="preserve"> </w:t>
      </w:r>
      <w:r w:rsidRPr="00D90AD1">
        <w:t>the</w:t>
      </w:r>
      <w:r w:rsidR="006C6F09">
        <w:t xml:space="preserve"> </w:t>
      </w:r>
      <w:r w:rsidRPr="00D90AD1">
        <w:t>total</w:t>
      </w:r>
      <w:r w:rsidR="006C6F09">
        <w:t xml:space="preserve"> </w:t>
      </w:r>
      <w:r w:rsidRPr="00D90AD1">
        <w:t>number</w:t>
      </w:r>
      <w:r w:rsidR="006C6F09">
        <w:t xml:space="preserve"> </w:t>
      </w:r>
      <w:r w:rsidRPr="00D90AD1">
        <w:t>of</w:t>
      </w:r>
      <w:r w:rsidR="006C6F09">
        <w:t xml:space="preserve"> </w:t>
      </w:r>
      <w:r w:rsidRPr="00D90AD1">
        <w:t>“views”</w:t>
      </w:r>
      <w:r w:rsidR="006C6F09">
        <w:t xml:space="preserve"> </w:t>
      </w:r>
      <w:r w:rsidRPr="00D90AD1">
        <w:t>of</w:t>
      </w:r>
      <w:r w:rsidR="006C6F09">
        <w:t xml:space="preserve"> </w:t>
      </w:r>
      <w:r w:rsidRPr="00D90AD1">
        <w:t>the</w:t>
      </w:r>
      <w:r w:rsidR="006C6F09">
        <w:t xml:space="preserve"> </w:t>
      </w:r>
      <w:r w:rsidRPr="00D90AD1">
        <w:t>online</w:t>
      </w:r>
      <w:r w:rsidR="006C6F09">
        <w:t xml:space="preserve"> </w:t>
      </w:r>
      <w:r w:rsidRPr="00D90AD1">
        <w:t>presentation</w:t>
      </w:r>
      <w:r w:rsidR="006C6F09">
        <w:t xml:space="preserve"> </w:t>
      </w:r>
      <w:r w:rsidRPr="00D90AD1">
        <w:t>with</w:t>
      </w:r>
      <w:r w:rsidR="006C6F09">
        <w:t xml:space="preserve"> </w:t>
      </w:r>
      <w:r w:rsidRPr="00D90AD1">
        <w:t>a</w:t>
      </w:r>
      <w:r w:rsidR="006C6F09">
        <w:t xml:space="preserve"> </w:t>
      </w:r>
      <w:r w:rsidRPr="00D90AD1">
        <w:t>notation</w:t>
      </w:r>
      <w:r w:rsidR="006C6F09">
        <w:t xml:space="preserve"> </w:t>
      </w:r>
      <w:r w:rsidRPr="00D90AD1">
        <w:t>that</w:t>
      </w:r>
      <w:r w:rsidR="006C6F09">
        <w:t xml:space="preserve"> </w:t>
      </w:r>
      <w:r w:rsidRPr="00D90AD1">
        <w:t>the</w:t>
      </w:r>
      <w:r w:rsidR="006C6F09">
        <w:t xml:space="preserve"> </w:t>
      </w:r>
      <w:r w:rsidRPr="00D90AD1">
        <w:t>number</w:t>
      </w:r>
      <w:r w:rsidR="006C6F09">
        <w:t xml:space="preserve"> </w:t>
      </w:r>
      <w:r w:rsidRPr="00D90AD1">
        <w:t>represents</w:t>
      </w:r>
      <w:r w:rsidR="006C6F09">
        <w:t xml:space="preserve"> </w:t>
      </w:r>
      <w:r w:rsidRPr="00D90AD1">
        <w:t>“views”</w:t>
      </w:r>
      <w:r w:rsidR="006C6F09">
        <w:t xml:space="preserve"> </w:t>
      </w:r>
      <w:r w:rsidRPr="00D90AD1">
        <w:t>(and</w:t>
      </w:r>
      <w:r w:rsidR="006C6F09">
        <w:t xml:space="preserve"> </w:t>
      </w:r>
      <w:r w:rsidRPr="00D90AD1">
        <w:t>for</w:t>
      </w:r>
      <w:r w:rsidR="006C6F09">
        <w:t xml:space="preserve"> </w:t>
      </w:r>
      <w:r w:rsidRPr="00D90AD1">
        <w:t>a</w:t>
      </w:r>
      <w:r w:rsidR="006C6F09">
        <w:t xml:space="preserve"> </w:t>
      </w:r>
      <w:r w:rsidRPr="00D90AD1">
        <w:t>virtual</w:t>
      </w:r>
      <w:r w:rsidR="006C6F09">
        <w:t xml:space="preserve"> </w:t>
      </w:r>
      <w:r w:rsidRPr="00D90AD1">
        <w:t>meeting</w:t>
      </w:r>
      <w:r w:rsidR="006C6F09">
        <w:t xml:space="preserve"> </w:t>
      </w:r>
      <w:r w:rsidRPr="00D90AD1">
        <w:t>with</w:t>
      </w:r>
      <w:r w:rsidR="006C6F09">
        <w:t xml:space="preserve"> </w:t>
      </w:r>
      <w:r w:rsidRPr="00D90AD1">
        <w:t>an</w:t>
      </w:r>
      <w:r w:rsidR="006C6F09">
        <w:t xml:space="preserve"> </w:t>
      </w:r>
      <w:r w:rsidRPr="00D90AD1">
        <w:t>in-person</w:t>
      </w:r>
      <w:r w:rsidR="006C6F09">
        <w:t xml:space="preserve"> </w:t>
      </w:r>
      <w:r w:rsidRPr="00D90AD1">
        <w:t>option,</w:t>
      </w:r>
      <w:r w:rsidR="006C6F09">
        <w:t xml:space="preserve"> </w:t>
      </w:r>
      <w:r w:rsidRPr="00D90AD1">
        <w:t>also</w:t>
      </w:r>
      <w:r w:rsidR="006C6F09">
        <w:t xml:space="preserve"> </w:t>
      </w:r>
      <w:r w:rsidRPr="00D90AD1">
        <w:t>separately</w:t>
      </w:r>
      <w:r w:rsidR="006C6F09">
        <w:t xml:space="preserve"> </w:t>
      </w:r>
      <w:r w:rsidRPr="00D90AD1">
        <w:t>indicate</w:t>
      </w:r>
      <w:r w:rsidR="006C6F09">
        <w:t xml:space="preserve"> </w:t>
      </w:r>
      <w:r w:rsidRPr="00D90AD1">
        <w:t>the</w:t>
      </w:r>
      <w:r w:rsidR="006C6F09">
        <w:t xml:space="preserve"> </w:t>
      </w:r>
      <w:r w:rsidRPr="00D90AD1">
        <w:t>number</w:t>
      </w:r>
      <w:r w:rsidR="006C6F09">
        <w:t xml:space="preserve"> </w:t>
      </w:r>
      <w:r w:rsidRPr="00D90AD1">
        <w:t>of</w:t>
      </w:r>
      <w:r w:rsidR="006C6F09">
        <w:t xml:space="preserve"> </w:t>
      </w:r>
      <w:r w:rsidRPr="00D90AD1">
        <w:t>physical</w:t>
      </w:r>
      <w:r w:rsidR="006C6F09">
        <w:t xml:space="preserve"> </w:t>
      </w:r>
      <w:r w:rsidRPr="00D90AD1">
        <w:t>attendees).</w:t>
      </w:r>
    </w:p>
    <w:p w14:paraId="4149FE35" w14:textId="27FC416A" w:rsidR="00457754" w:rsidRPr="00D90AD1" w:rsidRDefault="00457754" w:rsidP="00457754">
      <w:pPr>
        <w:pStyle w:val="ListBullet"/>
      </w:pPr>
      <w:r w:rsidRPr="00D90AD1">
        <w:t>In</w:t>
      </w:r>
      <w:r w:rsidR="006C6F09">
        <w:t xml:space="preserve"> </w:t>
      </w:r>
      <w:r w:rsidRPr="00D90AD1">
        <w:t>the</w:t>
      </w:r>
      <w:r w:rsidR="006C6F09">
        <w:t xml:space="preserve"> </w:t>
      </w:r>
      <w:r w:rsidRPr="00D90AD1">
        <w:t>“Contents,”</w:t>
      </w:r>
      <w:r w:rsidR="006C6F09">
        <w:t xml:space="preserve"> </w:t>
      </w:r>
      <w:r w:rsidRPr="00D90AD1">
        <w:t>add</w:t>
      </w:r>
      <w:r w:rsidR="006C6F09">
        <w:t xml:space="preserve"> </w:t>
      </w:r>
      <w:r w:rsidRPr="00D90AD1">
        <w:t>a</w:t>
      </w:r>
      <w:r w:rsidR="006C6F09">
        <w:t xml:space="preserve"> </w:t>
      </w:r>
      <w:r w:rsidRPr="00D90AD1">
        <w:t>notation</w:t>
      </w:r>
      <w:r w:rsidR="006C6F09">
        <w:t xml:space="preserve"> </w:t>
      </w:r>
      <w:r w:rsidRPr="00D90AD1">
        <w:t>to</w:t>
      </w:r>
      <w:r w:rsidR="006C6F09">
        <w:t xml:space="preserve"> </w:t>
      </w:r>
      <w:r w:rsidRPr="00D90AD1">
        <w:t>“E.</w:t>
      </w:r>
      <w:r w:rsidR="006C6F09">
        <w:t xml:space="preserve"> </w:t>
      </w:r>
      <w:r w:rsidRPr="00D90AD1">
        <w:t>Figures”</w:t>
      </w:r>
      <w:r w:rsidR="006C6F09">
        <w:t xml:space="preserve"> </w:t>
      </w:r>
      <w:r w:rsidRPr="00D90AD1">
        <w:t>indicating</w:t>
      </w:r>
      <w:r w:rsidR="006C6F09">
        <w:t xml:space="preserve"> </w:t>
      </w:r>
      <w:r w:rsidRPr="00D90AD1">
        <w:t>that</w:t>
      </w:r>
      <w:r w:rsidR="006C6F09">
        <w:t xml:space="preserve"> </w:t>
      </w:r>
      <w:r w:rsidRPr="00D90AD1">
        <w:t>the</w:t>
      </w:r>
      <w:r w:rsidR="006C6F09">
        <w:t xml:space="preserve"> </w:t>
      </w:r>
      <w:r w:rsidRPr="00D90AD1">
        <w:t>online</w:t>
      </w:r>
      <w:r w:rsidR="006C6F09">
        <w:t xml:space="preserve"> </w:t>
      </w:r>
      <w:r w:rsidRPr="00D90AD1">
        <w:t>video</w:t>
      </w:r>
      <w:r w:rsidR="006C6F09">
        <w:t xml:space="preserve"> </w:t>
      </w:r>
      <w:r w:rsidRPr="00D90AD1">
        <w:t>presentation</w:t>
      </w:r>
      <w:r w:rsidR="006C6F09">
        <w:t xml:space="preserve"> </w:t>
      </w:r>
      <w:r w:rsidRPr="00D90AD1">
        <w:t>is</w:t>
      </w:r>
      <w:r w:rsidR="006C6F09">
        <w:t xml:space="preserve"> </w:t>
      </w:r>
      <w:r w:rsidRPr="00D90AD1">
        <w:t>separately</w:t>
      </w:r>
      <w:r w:rsidR="006C6F09">
        <w:t xml:space="preserve"> </w:t>
      </w:r>
      <w:r w:rsidRPr="00D90AD1">
        <w:t>uploaded</w:t>
      </w:r>
      <w:r w:rsidR="006C6F09">
        <w:t xml:space="preserve"> </w:t>
      </w:r>
      <w:r w:rsidRPr="00D90AD1">
        <w:t>to</w:t>
      </w:r>
      <w:r w:rsidR="006C6F09">
        <w:t xml:space="preserve"> </w:t>
      </w:r>
      <w:r w:rsidRPr="00D90AD1">
        <w:t>ECOS.</w:t>
      </w:r>
    </w:p>
    <w:p w14:paraId="4EAA1284" w14:textId="13381DFD" w:rsidR="00457754" w:rsidRDefault="00D97AAC" w:rsidP="00D97AAC">
      <w:pPr>
        <w:pStyle w:val="ListNumber"/>
        <w:numPr>
          <w:ilvl w:val="0"/>
          <w:numId w:val="0"/>
        </w:numPr>
      </w:pPr>
      <w:r>
        <w:t>2.</w:t>
      </w:r>
      <w:r w:rsidR="006C6F09">
        <w:t xml:space="preserve"> </w:t>
      </w:r>
      <w:r w:rsidR="00457754">
        <w:t>Comments</w:t>
      </w:r>
      <w:r w:rsidR="006C6F09">
        <w:t xml:space="preserve"> </w:t>
      </w:r>
      <w:r w:rsidR="00457754">
        <w:t>and</w:t>
      </w:r>
      <w:r w:rsidR="006C6F09">
        <w:t xml:space="preserve"> </w:t>
      </w:r>
      <w:r w:rsidR="00457754">
        <w:t>Response</w:t>
      </w:r>
      <w:r w:rsidR="006C6F09">
        <w:t xml:space="preserve"> </w:t>
      </w:r>
      <w:r w:rsidR="00457754">
        <w:t>Matrix</w:t>
      </w:r>
      <w:r w:rsidR="006C6F09">
        <w:t xml:space="preserve"> </w:t>
      </w:r>
    </w:p>
    <w:p w14:paraId="6D9534EE" w14:textId="2DAA5A0F" w:rsidR="00457754" w:rsidRDefault="00457754" w:rsidP="00D97AAC">
      <w:pPr>
        <w:pStyle w:val="ListNumber"/>
        <w:numPr>
          <w:ilvl w:val="0"/>
          <w:numId w:val="0"/>
        </w:numPr>
      </w:pPr>
      <w:r>
        <w:t>Document</w:t>
      </w:r>
      <w:r w:rsidR="006C6F09">
        <w:t xml:space="preserve"> </w:t>
      </w:r>
      <w:r>
        <w:t>all</w:t>
      </w:r>
      <w:r w:rsidR="006C6F09">
        <w:t xml:space="preserve"> </w:t>
      </w:r>
      <w:r>
        <w:t>comments</w:t>
      </w:r>
      <w:r w:rsidR="006C6F09">
        <w:t xml:space="preserve"> </w:t>
      </w:r>
      <w:r>
        <w:t>received</w:t>
      </w:r>
      <w:r w:rsidR="006C6F09">
        <w:t xml:space="preserve"> </w:t>
      </w:r>
      <w:r>
        <w:t>between</w:t>
      </w:r>
      <w:r w:rsidR="006C6F09">
        <w:t xml:space="preserve"> </w:t>
      </w:r>
      <w:r>
        <w:t>the</w:t>
      </w:r>
      <w:r w:rsidR="006C6F09">
        <w:t xml:space="preserve"> </w:t>
      </w:r>
      <w:r>
        <w:t>date</w:t>
      </w:r>
      <w:r w:rsidR="006C6F09">
        <w:t xml:space="preserve"> </w:t>
      </w:r>
      <w:r>
        <w:t>the</w:t>
      </w:r>
      <w:r w:rsidR="006C6F09">
        <w:t xml:space="preserve"> </w:t>
      </w:r>
      <w:r>
        <w:t>notice</w:t>
      </w:r>
      <w:r w:rsidR="006C6F09">
        <w:t xml:space="preserve"> </w:t>
      </w:r>
      <w:r>
        <w:t>was</w:t>
      </w:r>
      <w:r w:rsidR="006C6F09">
        <w:t xml:space="preserve"> </w:t>
      </w:r>
      <w:r>
        <w:t>provided</w:t>
      </w:r>
      <w:r w:rsidR="006C6F09">
        <w:t xml:space="preserve"> </w:t>
      </w:r>
      <w:r>
        <w:t>and</w:t>
      </w:r>
      <w:r w:rsidR="006C6F09">
        <w:t xml:space="preserve"> </w:t>
      </w:r>
      <w:r>
        <w:t>the</w:t>
      </w:r>
      <w:r w:rsidR="006C6F09">
        <w:t xml:space="preserve"> </w:t>
      </w:r>
      <w:r>
        <w:t>deadline</w:t>
      </w:r>
      <w:r w:rsidR="006C6F09">
        <w:t xml:space="preserve"> </w:t>
      </w:r>
      <w:r>
        <w:t>specified</w:t>
      </w:r>
      <w:r w:rsidR="006C6F09">
        <w:t xml:space="preserve"> </w:t>
      </w:r>
      <w:r>
        <w:t>in</w:t>
      </w:r>
      <w:r w:rsidR="006C6F09">
        <w:t xml:space="preserve"> </w:t>
      </w:r>
      <w:r>
        <w:t>the</w:t>
      </w:r>
      <w:r w:rsidR="006C6F09">
        <w:t xml:space="preserve"> </w:t>
      </w:r>
      <w:r>
        <w:t>notice</w:t>
      </w:r>
      <w:r w:rsidR="006C6F09">
        <w:t xml:space="preserve"> </w:t>
      </w:r>
      <w:r>
        <w:t>(which</w:t>
      </w:r>
      <w:r w:rsidR="006C6F09">
        <w:t xml:space="preserve"> </w:t>
      </w:r>
      <w:r>
        <w:t>will</w:t>
      </w:r>
      <w:r w:rsidR="006C6F09">
        <w:t xml:space="preserve"> </w:t>
      </w:r>
      <w:r>
        <w:t>be</w:t>
      </w:r>
      <w:r w:rsidR="006C6F09">
        <w:t xml:space="preserve"> </w:t>
      </w:r>
      <w:r>
        <w:t>at</w:t>
      </w:r>
      <w:r w:rsidR="006C6F09">
        <w:t xml:space="preserve"> </w:t>
      </w:r>
      <w:r>
        <w:t>least</w:t>
      </w:r>
      <w:r w:rsidR="006C6F09">
        <w:t xml:space="preserve"> </w:t>
      </w:r>
      <w:r>
        <w:t>15</w:t>
      </w:r>
      <w:r w:rsidR="006C6F09">
        <w:t xml:space="preserve"> </w:t>
      </w:r>
      <w:r>
        <w:t>calendar</w:t>
      </w:r>
      <w:r w:rsidR="006C6F09">
        <w:t xml:space="preserve"> </w:t>
      </w:r>
      <w:r>
        <w:t>days</w:t>
      </w:r>
      <w:r w:rsidR="006C6F09">
        <w:t xml:space="preserve"> </w:t>
      </w:r>
      <w:r>
        <w:t>following</w:t>
      </w:r>
      <w:r w:rsidR="006C6F09">
        <w:t xml:space="preserve"> </w:t>
      </w:r>
      <w:r>
        <w:t>the</w:t>
      </w:r>
      <w:r w:rsidR="006C6F09">
        <w:t xml:space="preserve"> </w:t>
      </w:r>
      <w:r>
        <w:t>meeting).</w:t>
      </w:r>
      <w:r w:rsidR="006C6F09">
        <w:t xml:space="preserve"> </w:t>
      </w:r>
      <w:r>
        <w:t>The</w:t>
      </w:r>
      <w:r w:rsidR="006C6F09">
        <w:t xml:space="preserve"> </w:t>
      </w:r>
      <w:r>
        <w:t>responses</w:t>
      </w:r>
      <w:r w:rsidR="006C6F09">
        <w:t xml:space="preserve"> </w:t>
      </w:r>
      <w:r>
        <w:t>must</w:t>
      </w:r>
      <w:r w:rsidR="006C6F09">
        <w:t xml:space="preserve"> </w:t>
      </w:r>
      <w:r>
        <w:t>address</w:t>
      </w:r>
      <w:r w:rsidR="006C6F09">
        <w:t xml:space="preserve"> </w:t>
      </w:r>
      <w:r>
        <w:t>the</w:t>
      </w:r>
      <w:r w:rsidR="006C6F09">
        <w:t xml:space="preserve"> </w:t>
      </w:r>
      <w:r>
        <w:t>comments</w:t>
      </w:r>
      <w:r w:rsidR="006C6F09">
        <w:t xml:space="preserve"> </w:t>
      </w:r>
      <w:r>
        <w:t>received</w:t>
      </w:r>
      <w:r w:rsidR="006C6F09">
        <w:t xml:space="preserve"> </w:t>
      </w:r>
      <w:r>
        <w:t>during</w:t>
      </w:r>
      <w:r w:rsidR="006C6F09">
        <w:t xml:space="preserve"> </w:t>
      </w:r>
      <w:r>
        <w:t>the</w:t>
      </w:r>
      <w:r w:rsidR="006C6F09">
        <w:t xml:space="preserve"> </w:t>
      </w:r>
      <w:r>
        <w:t>meeting</w:t>
      </w:r>
      <w:r w:rsidR="006C6F09">
        <w:t xml:space="preserve"> </w:t>
      </w:r>
      <w:r>
        <w:t>and</w:t>
      </w:r>
      <w:r w:rsidR="006C6F09">
        <w:t xml:space="preserve"> </w:t>
      </w:r>
      <w:r>
        <w:t>associated</w:t>
      </w:r>
      <w:r w:rsidR="006C6F09">
        <w:t xml:space="preserve"> </w:t>
      </w:r>
      <w:r>
        <w:t>comment</w:t>
      </w:r>
      <w:r w:rsidR="006C6F09">
        <w:t xml:space="preserve"> </w:t>
      </w:r>
      <w:r>
        <w:t>period.</w:t>
      </w:r>
      <w:r w:rsidR="006C6F09">
        <w:t xml:space="preserve"> </w:t>
      </w:r>
      <w:r>
        <w:t>See</w:t>
      </w:r>
      <w:r w:rsidR="006C6F09">
        <w:t xml:space="preserve"> </w:t>
      </w:r>
      <w:r>
        <w:t>ENV’s</w:t>
      </w:r>
      <w:r w:rsidR="006C6F09">
        <w:t xml:space="preserve"> </w:t>
      </w:r>
      <w:r>
        <w:t>Guidance</w:t>
      </w:r>
      <w:r w:rsidR="006C6F09">
        <w:t xml:space="preserve"> </w:t>
      </w:r>
      <w:r>
        <w:t>–</w:t>
      </w:r>
      <w:r w:rsidR="006C6F09">
        <w:t xml:space="preserve"> </w:t>
      </w:r>
      <w:r w:rsidRPr="004A731F">
        <w:t>Public</w:t>
      </w:r>
      <w:r w:rsidR="006C6F09">
        <w:t xml:space="preserve"> </w:t>
      </w:r>
      <w:r w:rsidRPr="004A731F">
        <w:t>Comment</w:t>
      </w:r>
      <w:r w:rsidR="006C6F09">
        <w:t xml:space="preserve"> </w:t>
      </w:r>
      <w:r w:rsidRPr="004A731F">
        <w:t>Response</w:t>
      </w:r>
      <w:r w:rsidR="006C6F09">
        <w:t xml:space="preserve"> </w:t>
      </w:r>
      <w:r w:rsidRPr="004A731F">
        <w:t>Matrix</w:t>
      </w:r>
      <w:r w:rsidR="006C6F09">
        <w:t xml:space="preserve"> </w:t>
      </w:r>
      <w:r w:rsidRPr="004A731F">
        <w:t>f</w:t>
      </w:r>
      <w:r>
        <w:t>or</w:t>
      </w:r>
      <w:r w:rsidR="006C6F09">
        <w:t xml:space="preserve"> </w:t>
      </w:r>
      <w:r>
        <w:t>further</w:t>
      </w:r>
      <w:r w:rsidR="006C6F09">
        <w:t xml:space="preserve"> </w:t>
      </w:r>
      <w:r>
        <w:t>instructions</w:t>
      </w:r>
      <w:r w:rsidR="006C6F09">
        <w:t xml:space="preserve"> </w:t>
      </w:r>
      <w:r>
        <w:t>regarding</w:t>
      </w:r>
      <w:r w:rsidR="006C6F09">
        <w:t xml:space="preserve"> </w:t>
      </w:r>
      <w:r>
        <w:t>the</w:t>
      </w:r>
      <w:r w:rsidR="006C6F09">
        <w:t xml:space="preserve"> </w:t>
      </w:r>
      <w:r>
        <w:t>comment</w:t>
      </w:r>
      <w:r w:rsidR="006C6F09">
        <w:t xml:space="preserve"> </w:t>
      </w:r>
      <w:r>
        <w:t>and</w:t>
      </w:r>
      <w:r w:rsidR="006C6F09">
        <w:t xml:space="preserve"> </w:t>
      </w:r>
      <w:r>
        <w:t>response</w:t>
      </w:r>
      <w:r w:rsidR="006C6F09">
        <w:t xml:space="preserve"> </w:t>
      </w:r>
      <w:r>
        <w:t>matrix.</w:t>
      </w:r>
      <w:r w:rsidR="006C6F09">
        <w:t xml:space="preserve"> </w:t>
      </w:r>
      <w:r>
        <w:t>The</w:t>
      </w:r>
      <w:r w:rsidR="006C6F09">
        <w:t xml:space="preserve"> </w:t>
      </w:r>
      <w:r>
        <w:t>department</w:t>
      </w:r>
      <w:r w:rsidR="006C6F09">
        <w:t xml:space="preserve"> </w:t>
      </w:r>
      <w:r>
        <w:t>delegate</w:t>
      </w:r>
      <w:r w:rsidR="006C6F09">
        <w:t xml:space="preserve"> </w:t>
      </w:r>
      <w:r>
        <w:t>will</w:t>
      </w:r>
      <w:r w:rsidR="006C6F09">
        <w:t xml:space="preserve"> </w:t>
      </w:r>
      <w:r>
        <w:t>review</w:t>
      </w:r>
      <w:r w:rsidR="006C6F09">
        <w:t xml:space="preserve"> </w:t>
      </w:r>
      <w:r>
        <w:t>the</w:t>
      </w:r>
      <w:r w:rsidR="006C6F09">
        <w:t xml:space="preserve"> </w:t>
      </w:r>
      <w:r>
        <w:t>comment</w:t>
      </w:r>
      <w:r w:rsidR="006C6F09">
        <w:t xml:space="preserve"> </w:t>
      </w:r>
      <w:r>
        <w:t>and</w:t>
      </w:r>
      <w:r w:rsidR="006C6F09">
        <w:t xml:space="preserve"> </w:t>
      </w:r>
      <w:r>
        <w:t>response</w:t>
      </w:r>
      <w:r w:rsidR="006C6F09">
        <w:t xml:space="preserve"> </w:t>
      </w:r>
      <w:r>
        <w:t>matrix</w:t>
      </w:r>
      <w:r w:rsidR="006C6F09">
        <w:t xml:space="preserve"> </w:t>
      </w:r>
      <w:r>
        <w:t>to</w:t>
      </w:r>
      <w:r w:rsidR="006C6F09">
        <w:t xml:space="preserve"> </w:t>
      </w:r>
      <w:r>
        <w:t>ensure</w:t>
      </w:r>
      <w:r w:rsidR="006C6F09">
        <w:t xml:space="preserve"> </w:t>
      </w:r>
      <w:r>
        <w:t>that</w:t>
      </w:r>
      <w:r w:rsidR="006C6F09">
        <w:t xml:space="preserve"> </w:t>
      </w:r>
      <w:r>
        <w:t>all</w:t>
      </w:r>
      <w:r w:rsidR="006C6F09">
        <w:t xml:space="preserve"> </w:t>
      </w:r>
      <w:r>
        <w:t>comments</w:t>
      </w:r>
      <w:r w:rsidR="006C6F09">
        <w:t xml:space="preserve"> </w:t>
      </w:r>
      <w:r>
        <w:t>are</w:t>
      </w:r>
      <w:r w:rsidR="006C6F09">
        <w:t xml:space="preserve"> </w:t>
      </w:r>
      <w:r>
        <w:t>adequately</w:t>
      </w:r>
      <w:r w:rsidR="006C6F09">
        <w:t xml:space="preserve"> </w:t>
      </w:r>
      <w:r>
        <w:t>addressed</w:t>
      </w:r>
      <w:r w:rsidR="006C6F09">
        <w:t xml:space="preserve"> </w:t>
      </w:r>
      <w:r>
        <w:t>before</w:t>
      </w:r>
      <w:r w:rsidR="006C6F09">
        <w:t xml:space="preserve"> </w:t>
      </w:r>
      <w:r>
        <w:t>the</w:t>
      </w:r>
      <w:r w:rsidR="006C6F09">
        <w:t xml:space="preserve"> </w:t>
      </w:r>
      <w:r>
        <w:t>matrix</w:t>
      </w:r>
      <w:r w:rsidR="006C6F09">
        <w:t xml:space="preserve"> </w:t>
      </w:r>
      <w:r>
        <w:t>is</w:t>
      </w:r>
      <w:r w:rsidR="006C6F09">
        <w:t xml:space="preserve"> </w:t>
      </w:r>
      <w:r>
        <w:t>finalized.</w:t>
      </w:r>
    </w:p>
    <w:p w14:paraId="101C8CA5" w14:textId="7B4DBD80" w:rsidR="00457754" w:rsidRDefault="00D97AAC" w:rsidP="00D97AAC">
      <w:pPr>
        <w:pStyle w:val="ListNumber"/>
        <w:numPr>
          <w:ilvl w:val="0"/>
          <w:numId w:val="0"/>
        </w:numPr>
      </w:pPr>
      <w:r>
        <w:t>3.</w:t>
      </w:r>
      <w:r w:rsidR="00457754">
        <w:t>Notices</w:t>
      </w:r>
      <w:r w:rsidR="006C6F09">
        <w:t xml:space="preserve"> </w:t>
      </w:r>
    </w:p>
    <w:p w14:paraId="324C44EC" w14:textId="77D5B49C" w:rsidR="00457754" w:rsidRDefault="00457754" w:rsidP="00D97AAC">
      <w:pPr>
        <w:pStyle w:val="ListNumber"/>
        <w:numPr>
          <w:ilvl w:val="0"/>
          <w:numId w:val="0"/>
        </w:numPr>
      </w:pPr>
      <w:r>
        <w:t>Include</w:t>
      </w:r>
      <w:r w:rsidR="006C6F09">
        <w:t xml:space="preserve"> </w:t>
      </w:r>
      <w:r>
        <w:t>a</w:t>
      </w:r>
      <w:r w:rsidR="006C6F09">
        <w:t xml:space="preserve"> </w:t>
      </w:r>
      <w:r>
        <w:t>copy</w:t>
      </w:r>
      <w:r w:rsidR="006C6F09">
        <w:t xml:space="preserve"> </w:t>
      </w:r>
      <w:r>
        <w:t>of</w:t>
      </w:r>
      <w:r w:rsidR="006C6F09">
        <w:t xml:space="preserve"> </w:t>
      </w:r>
      <w:r>
        <w:t>any</w:t>
      </w:r>
      <w:r w:rsidR="006C6F09">
        <w:t xml:space="preserve"> </w:t>
      </w:r>
      <w:r>
        <w:t>mailed</w:t>
      </w:r>
      <w:r w:rsidR="006C6F09">
        <w:t xml:space="preserve"> </w:t>
      </w:r>
      <w:r>
        <w:t>notices</w:t>
      </w:r>
      <w:r w:rsidR="006C6F09">
        <w:t xml:space="preserve"> </w:t>
      </w:r>
      <w:r>
        <w:t>or</w:t>
      </w:r>
      <w:r w:rsidR="006C6F09">
        <w:t xml:space="preserve"> </w:t>
      </w:r>
      <w:r>
        <w:t>flyers,</w:t>
      </w:r>
      <w:r w:rsidR="006C6F09">
        <w:t xml:space="preserve"> </w:t>
      </w:r>
      <w:r>
        <w:t>mailing</w:t>
      </w:r>
      <w:r w:rsidR="006C6F09">
        <w:t xml:space="preserve"> </w:t>
      </w:r>
      <w:r>
        <w:t>list,</w:t>
      </w:r>
      <w:r w:rsidR="006C6F09">
        <w:t xml:space="preserve"> </w:t>
      </w:r>
      <w:r>
        <w:t>website</w:t>
      </w:r>
      <w:r w:rsidR="006C6F09">
        <w:t xml:space="preserve"> </w:t>
      </w:r>
      <w:r>
        <w:t>notice,</w:t>
      </w:r>
      <w:r w:rsidR="006C6F09">
        <w:t xml:space="preserve"> </w:t>
      </w:r>
      <w:r>
        <w:t>and</w:t>
      </w:r>
      <w:r w:rsidR="006C6F09">
        <w:t xml:space="preserve"> </w:t>
      </w:r>
      <w:r>
        <w:t>documentation</w:t>
      </w:r>
      <w:r w:rsidR="006C6F09">
        <w:t xml:space="preserve"> </w:t>
      </w:r>
      <w:r>
        <w:t>of</w:t>
      </w:r>
      <w:r w:rsidR="006C6F09">
        <w:t xml:space="preserve"> </w:t>
      </w:r>
      <w:r>
        <w:t>additional</w:t>
      </w:r>
      <w:r w:rsidR="006C6F09">
        <w:t xml:space="preserve"> </w:t>
      </w:r>
      <w:r>
        <w:t>outreach</w:t>
      </w:r>
      <w:r w:rsidR="006C6F09">
        <w:t xml:space="preserve"> </w:t>
      </w:r>
      <w:r>
        <w:t>methods</w:t>
      </w:r>
      <w:r w:rsidR="006C6F09">
        <w:t xml:space="preserve"> </w:t>
      </w:r>
      <w:r>
        <w:t>used</w:t>
      </w:r>
      <w:r w:rsidR="006C6F09">
        <w:t xml:space="preserve"> </w:t>
      </w:r>
      <w:r>
        <w:t>to</w:t>
      </w:r>
      <w:r w:rsidR="006C6F09">
        <w:t xml:space="preserve"> </w:t>
      </w:r>
      <w:r>
        <w:t>inform</w:t>
      </w:r>
      <w:r w:rsidR="006C6F09">
        <w:t xml:space="preserve"> </w:t>
      </w:r>
      <w:r>
        <w:t>the</w:t>
      </w:r>
      <w:r w:rsidR="006C6F09">
        <w:t xml:space="preserve"> </w:t>
      </w:r>
      <w:r>
        <w:t>public,</w:t>
      </w:r>
      <w:r w:rsidR="006C6F09">
        <w:t xml:space="preserve"> </w:t>
      </w:r>
      <w:r>
        <w:t>agencies,</w:t>
      </w:r>
      <w:r w:rsidR="006C6F09">
        <w:t xml:space="preserve"> </w:t>
      </w:r>
      <w:r>
        <w:t>and</w:t>
      </w:r>
      <w:r w:rsidR="006C6F09">
        <w:t xml:space="preserve"> </w:t>
      </w:r>
      <w:r>
        <w:t>elected</w:t>
      </w:r>
      <w:r w:rsidR="006C6F09">
        <w:t xml:space="preserve"> </w:t>
      </w:r>
      <w:r>
        <w:t>officials.</w:t>
      </w:r>
      <w:r w:rsidR="006C6F09">
        <w:t xml:space="preserve"> </w:t>
      </w:r>
      <w:r>
        <w:t>Redact</w:t>
      </w:r>
      <w:r w:rsidR="006C6F09">
        <w:t xml:space="preserve"> </w:t>
      </w:r>
      <w:r>
        <w:t>any</w:t>
      </w:r>
      <w:r w:rsidR="006C6F09">
        <w:t xml:space="preserve"> </w:t>
      </w:r>
      <w:r>
        <w:t>email</w:t>
      </w:r>
      <w:r w:rsidR="006C6F09">
        <w:t xml:space="preserve"> </w:t>
      </w:r>
      <w:r>
        <w:t>addresses</w:t>
      </w:r>
      <w:r w:rsidR="006C6F09">
        <w:t xml:space="preserve"> </w:t>
      </w:r>
      <w:r>
        <w:t>for</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in</w:t>
      </w:r>
      <w:r w:rsidR="006C6F09">
        <w:t xml:space="preserve"> </w:t>
      </w:r>
      <w:r>
        <w:t>accordance</w:t>
      </w:r>
      <w:r w:rsidR="006C6F09">
        <w:t xml:space="preserve"> </w:t>
      </w:r>
      <w:r>
        <w:t>with</w:t>
      </w:r>
      <w:r w:rsidR="006C6F09">
        <w:t xml:space="preserve"> </w:t>
      </w:r>
      <w:r w:rsidRPr="004A731F">
        <w:t>Texas</w:t>
      </w:r>
      <w:r w:rsidR="006C6F09">
        <w:t xml:space="preserve"> </w:t>
      </w:r>
      <w:r w:rsidRPr="004A731F">
        <w:t>Government</w:t>
      </w:r>
      <w:r w:rsidR="006C6F09">
        <w:t xml:space="preserve"> </w:t>
      </w:r>
      <w:r w:rsidRPr="004A731F">
        <w:t>Code</w:t>
      </w:r>
      <w:r w:rsidR="006C6F09">
        <w:t xml:space="preserve"> </w:t>
      </w:r>
      <w:r w:rsidRPr="00263E76">
        <w:rPr>
          <w:i/>
          <w:iCs/>
        </w:rPr>
        <w:t>552</w:t>
      </w:r>
      <w:r>
        <w:t>.137(a)</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t>Texas</w:t>
      </w:r>
      <w:r w:rsidR="006C6F09">
        <w:t xml:space="preserve"> </w:t>
      </w:r>
      <w:r>
        <w:t>Attorney</w:t>
      </w:r>
      <w:r w:rsidR="006C6F09">
        <w:t xml:space="preserve"> </w:t>
      </w:r>
      <w:r>
        <w:t>General’s</w:t>
      </w:r>
      <w:r w:rsidR="006C6F09">
        <w:t xml:space="preserve"> </w:t>
      </w:r>
      <w:r>
        <w:lastRenderedPageBreak/>
        <w:t>2020</w:t>
      </w:r>
      <w:r w:rsidR="006C6F09">
        <w:t xml:space="preserve"> </w:t>
      </w:r>
      <w:r w:rsidRPr="004A731F">
        <w:t>Public</w:t>
      </w:r>
      <w:r w:rsidR="006C6F09">
        <w:t xml:space="preserve"> </w:t>
      </w:r>
      <w:r w:rsidRPr="004A731F">
        <w:t>Information</w:t>
      </w:r>
      <w:r w:rsidR="006C6F09">
        <w:t xml:space="preserve"> </w:t>
      </w:r>
      <w:r w:rsidRPr="004A731F">
        <w:t>Act</w:t>
      </w:r>
      <w:r w:rsidR="006C6F09">
        <w:t xml:space="preserve"> </w:t>
      </w:r>
      <w:r w:rsidRPr="004A731F">
        <w:t>Handbook</w:t>
      </w:r>
      <w:r w:rsidR="006C6F09">
        <w:rPr>
          <w:i/>
          <w:iCs/>
        </w:rPr>
        <w:t xml:space="preserve"> </w:t>
      </w:r>
      <w:r>
        <w:t>at</w:t>
      </w:r>
      <w:r w:rsidR="006C6F09">
        <w:t xml:space="preserve"> </w:t>
      </w:r>
      <w:r>
        <w:t>pages</w:t>
      </w:r>
      <w:r w:rsidR="006C6F09">
        <w:t xml:space="preserve"> </w:t>
      </w:r>
      <w:r>
        <w:t>161-162).</w:t>
      </w:r>
      <w:r w:rsidR="006C6F09">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t>to</w:t>
      </w:r>
      <w:r w:rsidR="006C6F09">
        <w:t xml:space="preserve"> </w:t>
      </w:r>
      <w:r>
        <w:t>redact</w:t>
      </w:r>
      <w:r w:rsidR="006C6F09">
        <w:t xml:space="preserve"> </w:t>
      </w:r>
      <w:r>
        <w:t>physical</w:t>
      </w:r>
      <w:r w:rsidR="006C6F09">
        <w:t xml:space="preserve"> </w:t>
      </w:r>
      <w:r>
        <w:t>addresses.</w:t>
      </w:r>
      <w:r w:rsidR="006C6F09">
        <w:t xml:space="preserve"> </w:t>
      </w:r>
      <w:proofErr w:type="gramStart"/>
      <w:r>
        <w:t>Redaction</w:t>
      </w:r>
      <w:proofErr w:type="gramEnd"/>
      <w:r w:rsidR="006C6F09">
        <w:t xml:space="preserve"> </w:t>
      </w:r>
      <w:r>
        <w:t>of</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done</w:t>
      </w:r>
      <w:r w:rsidR="006C6F09">
        <w:t xml:space="preserve"> </w:t>
      </w:r>
      <w:r>
        <w:t>on</w:t>
      </w:r>
      <w:r w:rsidR="006C6F09">
        <w:t xml:space="preserve"> </w:t>
      </w:r>
      <w:r>
        <w:t>a</w:t>
      </w:r>
      <w:r w:rsidR="006C6F09">
        <w:t xml:space="preserve"> </w:t>
      </w:r>
      <w:r>
        <w:t>discretionary</w:t>
      </w:r>
      <w:r w:rsidR="006C6F09">
        <w:t xml:space="preserve"> </w:t>
      </w:r>
      <w:r>
        <w:t>basis.</w:t>
      </w:r>
    </w:p>
    <w:p w14:paraId="32FCE74E" w14:textId="5C7EB404" w:rsidR="00457754" w:rsidRDefault="00D97AAC" w:rsidP="00D97AAC">
      <w:pPr>
        <w:pStyle w:val="ListNumber"/>
        <w:numPr>
          <w:ilvl w:val="0"/>
          <w:numId w:val="0"/>
        </w:numPr>
      </w:pPr>
      <w:r>
        <w:t>4.</w:t>
      </w:r>
      <w:r w:rsidR="00457754">
        <w:t>Sign-in</w:t>
      </w:r>
      <w:r w:rsidR="006C6F09">
        <w:t xml:space="preserve"> </w:t>
      </w:r>
      <w:r w:rsidR="00457754">
        <w:t>Sheets</w:t>
      </w:r>
    </w:p>
    <w:p w14:paraId="2B425F73" w14:textId="5DFF3BFC" w:rsidR="00457754" w:rsidRDefault="00457754" w:rsidP="00D97AAC">
      <w:pPr>
        <w:pStyle w:val="ListNumber"/>
        <w:numPr>
          <w:ilvl w:val="0"/>
          <w:numId w:val="0"/>
        </w:numPr>
        <w:tabs>
          <w:tab w:val="left" w:pos="360"/>
        </w:tabs>
      </w:pPr>
      <w:r>
        <w:t>Include</w:t>
      </w:r>
      <w:r w:rsidR="006C6F09">
        <w:t xml:space="preserve"> </w:t>
      </w:r>
      <w:r>
        <w:t>sign-in</w:t>
      </w:r>
      <w:r w:rsidR="006C6F09">
        <w:t xml:space="preserve"> </w:t>
      </w:r>
      <w:r>
        <w:t>sheets</w:t>
      </w:r>
      <w:r w:rsidR="006C6F09">
        <w:t xml:space="preserve"> </w:t>
      </w:r>
      <w:r>
        <w:t>of</w:t>
      </w:r>
      <w:r w:rsidR="006C6F09">
        <w:t xml:space="preserve"> </w:t>
      </w:r>
      <w:r>
        <w:t>private</w:t>
      </w:r>
      <w:r w:rsidR="006C6F09">
        <w:t xml:space="preserve"> </w:t>
      </w:r>
      <w:r>
        <w:t>individuals,</w:t>
      </w:r>
      <w:r w:rsidR="006C6F09">
        <w:t xml:space="preserve"> </w:t>
      </w:r>
      <w:r>
        <w:t>government</w:t>
      </w:r>
      <w:r w:rsidR="006C6F09">
        <w:t xml:space="preserve"> </w:t>
      </w:r>
      <w:r>
        <w:t>officials,</w:t>
      </w:r>
      <w:r w:rsidR="006C6F09">
        <w:t xml:space="preserve"> </w:t>
      </w:r>
      <w:r>
        <w:t>TxDOT</w:t>
      </w:r>
      <w:r w:rsidR="006C6F09">
        <w:t xml:space="preserve"> </w:t>
      </w:r>
      <w:r>
        <w:t>staff,</w:t>
      </w:r>
      <w:r w:rsidR="006C6F09">
        <w:t xml:space="preserve"> </w:t>
      </w:r>
      <w:r>
        <w:t>and</w:t>
      </w:r>
      <w:r w:rsidR="006C6F09">
        <w:t xml:space="preserve"> </w:t>
      </w:r>
      <w:r>
        <w:t>consultant</w:t>
      </w:r>
      <w:r w:rsidR="006C6F09">
        <w:t xml:space="preserve"> </w:t>
      </w:r>
      <w:r>
        <w:t>staff.</w:t>
      </w:r>
      <w:r w:rsidR="006C6F09">
        <w:t xml:space="preserve"> </w:t>
      </w:r>
      <w:r>
        <w:t>Attendees’</w:t>
      </w:r>
      <w:r w:rsidR="006C6F09">
        <w:t xml:space="preserve"> </w:t>
      </w:r>
      <w:r>
        <w:t>email</w:t>
      </w:r>
      <w:r w:rsidR="006C6F09">
        <w:t xml:space="preserve"> </w:t>
      </w:r>
      <w:r>
        <w:t>addresses</w:t>
      </w:r>
      <w:r w:rsidR="006C6F09">
        <w:t xml:space="preserve"> </w:t>
      </w:r>
      <w:r>
        <w:t>should</w:t>
      </w:r>
      <w:r w:rsidR="006C6F09">
        <w:t xml:space="preserve"> </w:t>
      </w:r>
      <w:r>
        <w:t>generally</w:t>
      </w:r>
      <w:r w:rsidR="006C6F09">
        <w:t xml:space="preserve"> </w:t>
      </w:r>
      <w:r>
        <w:t>not</w:t>
      </w:r>
      <w:r w:rsidR="006C6F09">
        <w:t xml:space="preserve"> </w:t>
      </w:r>
      <w:r>
        <w:t>be</w:t>
      </w:r>
      <w:r w:rsidR="006C6F09">
        <w:t xml:space="preserve"> </w:t>
      </w:r>
      <w:r>
        <w:t>collected</w:t>
      </w:r>
      <w:r w:rsidR="006C6F09">
        <w:t xml:space="preserve"> </w:t>
      </w:r>
      <w:r>
        <w:t>on</w:t>
      </w:r>
      <w:r w:rsidR="006C6F09">
        <w:t xml:space="preserve"> </w:t>
      </w:r>
      <w:r>
        <w:t>the</w:t>
      </w:r>
      <w:r w:rsidR="006C6F09">
        <w:t xml:space="preserve"> </w:t>
      </w:r>
      <w:r>
        <w:t>sign-in</w:t>
      </w:r>
      <w:r w:rsidR="006C6F09">
        <w:t xml:space="preserve"> </w:t>
      </w:r>
      <w:r>
        <w:t>sheets.</w:t>
      </w:r>
      <w:r w:rsidR="006C6F09">
        <w:t xml:space="preserve"> </w:t>
      </w:r>
      <w:r>
        <w:t>However,</w:t>
      </w:r>
      <w:r w:rsidR="006C6F09">
        <w:t xml:space="preserve"> </w:t>
      </w:r>
      <w:r>
        <w:t>if</w:t>
      </w:r>
      <w:r w:rsidR="006C6F09">
        <w:t xml:space="preserve"> </w:t>
      </w:r>
      <w:r>
        <w:t>the</w:t>
      </w:r>
      <w:r w:rsidR="006C6F09">
        <w:t xml:space="preserve"> </w:t>
      </w:r>
      <w:r>
        <w:t>district,</w:t>
      </w:r>
      <w:r w:rsidR="006C6F09">
        <w:t xml:space="preserve"> </w:t>
      </w:r>
      <w:r>
        <w:t>or</w:t>
      </w:r>
      <w:r w:rsidR="006C6F09">
        <w:t xml:space="preserve"> </w:t>
      </w:r>
      <w:r>
        <w:t>the</w:t>
      </w:r>
      <w:r w:rsidR="006C6F09">
        <w:t xml:space="preserve"> </w:t>
      </w:r>
      <w:r>
        <w:t>core</w:t>
      </w:r>
      <w:r w:rsidR="006C6F09">
        <w:t xml:space="preserve"> </w:t>
      </w:r>
      <w:r>
        <w:t>team</w:t>
      </w:r>
      <w:r w:rsidR="006C6F09">
        <w:t xml:space="preserve"> </w:t>
      </w:r>
      <w:r>
        <w:t>in</w:t>
      </w:r>
      <w:r w:rsidR="006C6F09">
        <w:t xml:space="preserve"> </w:t>
      </w:r>
      <w:r>
        <w:t>the</w:t>
      </w:r>
      <w:r w:rsidR="006C6F09">
        <w:t xml:space="preserve"> </w:t>
      </w:r>
      <w:r>
        <w:t>case</w:t>
      </w:r>
      <w:r w:rsidR="006C6F09">
        <w:t xml:space="preserve"> </w:t>
      </w:r>
      <w:r>
        <w:t>of</w:t>
      </w:r>
      <w:r w:rsidR="006C6F09">
        <w:t xml:space="preserve"> </w:t>
      </w:r>
      <w:r>
        <w:t>an</w:t>
      </w:r>
      <w:r w:rsidR="006C6F09">
        <w:t xml:space="preserve"> </w:t>
      </w:r>
      <w:r>
        <w:t>EA</w:t>
      </w:r>
      <w:r w:rsidR="006C6F09">
        <w:t xml:space="preserve"> </w:t>
      </w:r>
      <w:r>
        <w:t>or</w:t>
      </w:r>
      <w:r w:rsidR="006C6F09">
        <w:t xml:space="preserve"> </w:t>
      </w:r>
      <w:r>
        <w:t>EIS,</w:t>
      </w:r>
      <w:r w:rsidR="006C6F09">
        <w:t xml:space="preserve"> </w:t>
      </w:r>
      <w:r>
        <w:t>determined</w:t>
      </w:r>
      <w:r w:rsidR="006C6F09">
        <w:t xml:space="preserve"> </w:t>
      </w:r>
      <w:r>
        <w:t>during</w:t>
      </w:r>
      <w:r w:rsidR="006C6F09">
        <w:t xml:space="preserve"> </w:t>
      </w:r>
      <w:r>
        <w:t>scoping</w:t>
      </w:r>
      <w:r w:rsidR="006C6F09">
        <w:t xml:space="preserve"> </w:t>
      </w:r>
      <w:r>
        <w:t>that</w:t>
      </w:r>
      <w:r w:rsidR="006C6F09">
        <w:t xml:space="preserve"> </w:t>
      </w:r>
      <w:r>
        <w:t>there</w:t>
      </w:r>
      <w:r w:rsidR="006C6F09">
        <w:t xml:space="preserve"> </w:t>
      </w:r>
      <w:r>
        <w:t>is</w:t>
      </w:r>
      <w:r w:rsidR="006C6F09">
        <w:t xml:space="preserve"> </w:t>
      </w:r>
      <w:r>
        <w:t>a</w:t>
      </w:r>
      <w:r w:rsidR="006C6F09">
        <w:t xml:space="preserve"> </w:t>
      </w:r>
      <w:r>
        <w:t>valid</w:t>
      </w:r>
      <w:r w:rsidR="006C6F09">
        <w:t xml:space="preserve"> </w:t>
      </w:r>
      <w:r>
        <w:t>reason</w:t>
      </w:r>
      <w:r w:rsidR="006C6F09">
        <w:t xml:space="preserve"> </w:t>
      </w:r>
      <w:r>
        <w:t>for</w:t>
      </w:r>
      <w:r w:rsidR="006C6F09">
        <w:t xml:space="preserve"> </w:t>
      </w:r>
      <w:r>
        <w:t>collecting</w:t>
      </w:r>
      <w:r w:rsidR="006C6F09">
        <w:t xml:space="preserve"> </w:t>
      </w:r>
      <w:r>
        <w:t>attendees’</w:t>
      </w:r>
      <w:r w:rsidR="006C6F09">
        <w:t xml:space="preserve"> </w:t>
      </w:r>
      <w:r>
        <w:t>email</w:t>
      </w:r>
      <w:r w:rsidR="006C6F09">
        <w:t xml:space="preserve"> </w:t>
      </w:r>
      <w:r>
        <w:t>addresses</w:t>
      </w:r>
      <w:r w:rsidR="006C6F09">
        <w:t xml:space="preserve"> </w:t>
      </w:r>
      <w:r>
        <w:t>on</w:t>
      </w:r>
      <w:r w:rsidR="006C6F09">
        <w:t xml:space="preserve"> </w:t>
      </w:r>
      <w:r>
        <w:t>the</w:t>
      </w:r>
      <w:r w:rsidR="006C6F09">
        <w:t xml:space="preserve"> </w:t>
      </w:r>
      <w:r>
        <w:t>sign-in</w:t>
      </w:r>
      <w:r w:rsidR="006C6F09">
        <w:t xml:space="preserve"> </w:t>
      </w:r>
      <w:r>
        <w:t>sheet</w:t>
      </w:r>
      <w:r w:rsidR="006C6F09">
        <w:t xml:space="preserve"> </w:t>
      </w:r>
      <w:r>
        <w:t>(for</w:t>
      </w:r>
      <w:r w:rsidR="006C6F09">
        <w:t xml:space="preserve"> </w:t>
      </w:r>
      <w:r>
        <w:t>example,</w:t>
      </w:r>
      <w:r w:rsidR="006C6F09">
        <w:t xml:space="preserve"> </w:t>
      </w:r>
      <w:r>
        <w:t>to</w:t>
      </w:r>
      <w:r w:rsidR="006C6F09">
        <w:t xml:space="preserve"> </w:t>
      </w:r>
      <w:r>
        <w:t>provide</w:t>
      </w:r>
      <w:r w:rsidR="006C6F09">
        <w:t xml:space="preserve"> </w:t>
      </w:r>
      <w:r>
        <w:t>project</w:t>
      </w:r>
      <w:r w:rsidR="006C6F09">
        <w:t xml:space="preserve"> </w:t>
      </w:r>
      <w:r>
        <w:t>updates,</w:t>
      </w:r>
      <w:r w:rsidR="006C6F09">
        <w:t xml:space="preserve"> </w:t>
      </w:r>
      <w:r>
        <w:t>newsletters,</w:t>
      </w:r>
      <w:r w:rsidR="006C6F09">
        <w:t xml:space="preserve"> </w:t>
      </w:r>
      <w:r>
        <w:t>or</w:t>
      </w:r>
      <w:r w:rsidR="006C6F09">
        <w:t xml:space="preserve"> </w:t>
      </w:r>
      <w:r>
        <w:t>other</w:t>
      </w:r>
      <w:r w:rsidR="006C6F09">
        <w:t xml:space="preserve"> </w:t>
      </w:r>
      <w:r>
        <w:t>information</w:t>
      </w:r>
      <w:r w:rsidR="006C6F09">
        <w:t xml:space="preserve"> </w:t>
      </w:r>
      <w:r>
        <w:t>about</w:t>
      </w:r>
      <w:r w:rsidR="006C6F09">
        <w:t xml:space="preserve"> </w:t>
      </w:r>
      <w:r>
        <w:t>the</w:t>
      </w:r>
      <w:r w:rsidR="006C6F09">
        <w:t xml:space="preserve"> </w:t>
      </w:r>
      <w:r>
        <w:t>project</w:t>
      </w:r>
      <w:r w:rsidR="006C6F09">
        <w:t xml:space="preserve"> </w:t>
      </w:r>
      <w:r>
        <w:t>by</w:t>
      </w:r>
      <w:r w:rsidR="006C6F09">
        <w:t xml:space="preserve"> </w:t>
      </w:r>
      <w:r>
        <w:t>email),</w:t>
      </w:r>
      <w:r w:rsidR="006C6F09">
        <w:t xml:space="preserve"> </w:t>
      </w:r>
      <w:r>
        <w:t>then,</w:t>
      </w:r>
      <w:r w:rsidR="006C6F09">
        <w:t xml:space="preserve"> </w:t>
      </w:r>
      <w:r>
        <w:t>in</w:t>
      </w:r>
      <w:r w:rsidR="006C6F09">
        <w:t xml:space="preserve"> </w:t>
      </w:r>
      <w:r>
        <w:t>accordance</w:t>
      </w:r>
      <w:r w:rsidR="006C6F09">
        <w:t xml:space="preserve"> </w:t>
      </w:r>
      <w:r>
        <w:t>with</w:t>
      </w:r>
      <w:r w:rsidR="006C6F09">
        <w:t xml:space="preserve"> </w:t>
      </w:r>
      <w:r w:rsidRPr="004A731F">
        <w:t>Texas</w:t>
      </w:r>
      <w:r w:rsidR="006C6F09">
        <w:t xml:space="preserve"> </w:t>
      </w:r>
      <w:r w:rsidRPr="004A731F">
        <w:t>Government</w:t>
      </w:r>
      <w:r w:rsidR="006C6F09">
        <w:t xml:space="preserve"> </w:t>
      </w:r>
      <w:r w:rsidRPr="004A731F">
        <w:t>Code</w:t>
      </w:r>
      <w:r w:rsidR="006C6F09">
        <w:t xml:space="preserve"> </w:t>
      </w:r>
      <w:r>
        <w:t>552.137(a),</w:t>
      </w:r>
      <w:r w:rsidR="006C6F09">
        <w:t xml:space="preserve"> </w:t>
      </w:r>
      <w:r>
        <w:t>any</w:t>
      </w:r>
      <w:r w:rsidR="006C6F09">
        <w:t xml:space="preserve"> </w:t>
      </w:r>
      <w:r>
        <w:t>email</w:t>
      </w:r>
      <w:r w:rsidR="006C6F09">
        <w:t xml:space="preserve"> </w:t>
      </w:r>
      <w:r>
        <w:t>addresses</w:t>
      </w:r>
      <w:r w:rsidR="006C6F09">
        <w:t xml:space="preserve"> </w:t>
      </w:r>
      <w:r>
        <w:t>provided</w:t>
      </w:r>
      <w:r w:rsidR="006C6F09">
        <w:t xml:space="preserve"> </w:t>
      </w:r>
      <w:r>
        <w:t>by</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must</w:t>
      </w:r>
      <w:r w:rsidR="006C6F09">
        <w:t xml:space="preserve"> </w:t>
      </w:r>
      <w:r>
        <w:t>be</w:t>
      </w:r>
      <w:r w:rsidR="006C6F09">
        <w:t xml:space="preserve"> </w:t>
      </w:r>
      <w:r>
        <w:t>redacted</w:t>
      </w:r>
      <w:r w:rsidR="006C6F09">
        <w:t xml:space="preserve"> </w:t>
      </w:r>
      <w:r>
        <w:t>from</w:t>
      </w:r>
      <w:r w:rsidR="006C6F09">
        <w:t xml:space="preserve"> </w:t>
      </w:r>
      <w:r>
        <w:t>the</w:t>
      </w:r>
      <w:r w:rsidR="006C6F09">
        <w:t xml:space="preserve"> </w:t>
      </w:r>
      <w:r>
        <w:t>sign-in</w:t>
      </w:r>
      <w:r w:rsidR="006C6F09">
        <w:t xml:space="preserve"> </w:t>
      </w:r>
      <w:r>
        <w:t>sheets</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rsidRPr="00263E76">
        <w:t>Texas</w:t>
      </w:r>
      <w:r w:rsidR="006C6F09">
        <w:t xml:space="preserve"> </w:t>
      </w:r>
      <w:r w:rsidRPr="00263E76">
        <w:t>Attorney</w:t>
      </w:r>
      <w:r w:rsidR="006C6F09">
        <w:t xml:space="preserve"> </w:t>
      </w:r>
      <w:r w:rsidRPr="00263E76">
        <w:t>General’s</w:t>
      </w:r>
      <w:r w:rsidR="006C6F09">
        <w:t xml:space="preserve"> </w:t>
      </w:r>
      <w:r w:rsidRPr="00263E76">
        <w:t>2020</w:t>
      </w:r>
      <w:r w:rsidR="006C6F09">
        <w:t xml:space="preserve"> </w:t>
      </w:r>
      <w:r w:rsidRPr="00263E76">
        <w:t>Public</w:t>
      </w:r>
      <w:r w:rsidR="006C6F09">
        <w:t xml:space="preserve"> </w:t>
      </w:r>
      <w:r w:rsidRPr="00263E76">
        <w:t>Information</w:t>
      </w:r>
      <w:r w:rsidR="006C6F09">
        <w:t xml:space="preserve"> </w:t>
      </w:r>
      <w:r w:rsidRPr="00263E76">
        <w:t>Act</w:t>
      </w:r>
      <w:r w:rsidR="006C6F09">
        <w:t xml:space="preserve"> </w:t>
      </w:r>
      <w:r w:rsidRPr="00263E76">
        <w:t>Handbook</w:t>
      </w:r>
      <w:r w:rsidR="006C6F09">
        <w:t xml:space="preserve"> </w:t>
      </w:r>
      <w:r>
        <w:t>at</w:t>
      </w:r>
      <w:r w:rsidR="006C6F09">
        <w:t xml:space="preserve"> </w:t>
      </w:r>
      <w:r>
        <w:t>pages</w:t>
      </w:r>
      <w:r w:rsidR="006C6F09">
        <w:t xml:space="preserve"> </w:t>
      </w:r>
      <w:r>
        <w:t>161-162).</w:t>
      </w:r>
      <w:r w:rsidR="00135456">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t>to</w:t>
      </w:r>
      <w:r w:rsidR="006C6F09">
        <w:t xml:space="preserve"> </w:t>
      </w:r>
      <w:r>
        <w:t>redact</w:t>
      </w:r>
      <w:r w:rsidR="006C6F09">
        <w:t xml:space="preserve"> </w:t>
      </w:r>
      <w:r>
        <w:t>physical</w:t>
      </w:r>
      <w:r w:rsidR="006C6F09">
        <w:t xml:space="preserve"> </w:t>
      </w:r>
      <w:r>
        <w:t>addresses.</w:t>
      </w:r>
      <w:r w:rsidR="006C6F09">
        <w:t xml:space="preserve"> </w:t>
      </w:r>
      <w:proofErr w:type="gramStart"/>
      <w:r>
        <w:t>Redaction</w:t>
      </w:r>
      <w:proofErr w:type="gramEnd"/>
      <w:r w:rsidR="006C6F09">
        <w:t xml:space="preserve"> </w:t>
      </w:r>
      <w:r>
        <w:t>of</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done</w:t>
      </w:r>
      <w:r w:rsidR="006C6F09">
        <w:t xml:space="preserve"> </w:t>
      </w:r>
      <w:r>
        <w:t>on</w:t>
      </w:r>
      <w:r w:rsidR="006C6F09">
        <w:t xml:space="preserve"> </w:t>
      </w:r>
      <w:r>
        <w:t>a</w:t>
      </w:r>
      <w:r w:rsidR="006C6F09">
        <w:t xml:space="preserve"> </w:t>
      </w:r>
      <w:r>
        <w:t>discretionary</w:t>
      </w:r>
      <w:r w:rsidR="006C6F09">
        <w:t xml:space="preserve"> </w:t>
      </w:r>
      <w:r>
        <w:t>basis.</w:t>
      </w:r>
    </w:p>
    <w:p w14:paraId="2C547687" w14:textId="4AFDEF5C" w:rsidR="00457754" w:rsidRDefault="00D97AAC" w:rsidP="00D97AAC">
      <w:pPr>
        <w:pStyle w:val="ListNumber"/>
        <w:numPr>
          <w:ilvl w:val="0"/>
          <w:numId w:val="0"/>
        </w:numPr>
      </w:pPr>
      <w:r>
        <w:t>5.</w:t>
      </w:r>
      <w:r w:rsidR="00457754">
        <w:t>Comments</w:t>
      </w:r>
      <w:r w:rsidR="006C6F09">
        <w:t xml:space="preserve"> </w:t>
      </w:r>
      <w:r w:rsidR="00457754">
        <w:t>Received</w:t>
      </w:r>
    </w:p>
    <w:p w14:paraId="3F53D1EA" w14:textId="4318BAA1" w:rsidR="00457754" w:rsidRDefault="00457754" w:rsidP="002A1222">
      <w:pPr>
        <w:pStyle w:val="ListNumber"/>
        <w:numPr>
          <w:ilvl w:val="0"/>
          <w:numId w:val="0"/>
        </w:numPr>
      </w:pPr>
      <w:r>
        <w:t>Include</w:t>
      </w:r>
      <w:r w:rsidR="006C6F09">
        <w:t xml:space="preserve"> </w:t>
      </w:r>
      <w:r>
        <w:t>a</w:t>
      </w:r>
      <w:r w:rsidR="006C6F09">
        <w:t xml:space="preserve"> </w:t>
      </w:r>
      <w:r>
        <w:t>copy</w:t>
      </w:r>
      <w:r w:rsidR="006C6F09">
        <w:t xml:space="preserve"> </w:t>
      </w:r>
      <w:r>
        <w:t>of</w:t>
      </w:r>
      <w:r w:rsidR="006C6F09">
        <w:t xml:space="preserve"> </w:t>
      </w:r>
      <w:r>
        <w:t>all</w:t>
      </w:r>
      <w:r w:rsidR="006C6F09">
        <w:t xml:space="preserve"> </w:t>
      </w:r>
      <w:r>
        <w:t>comments</w:t>
      </w:r>
      <w:r w:rsidR="006C6F09">
        <w:t xml:space="preserve"> </w:t>
      </w:r>
      <w:r>
        <w:t>received</w:t>
      </w:r>
      <w:r w:rsidR="006C6F09">
        <w:t xml:space="preserve"> </w:t>
      </w:r>
      <w:r>
        <w:t>both</w:t>
      </w:r>
      <w:r w:rsidR="006C6F09">
        <w:t xml:space="preserve"> </w:t>
      </w:r>
      <w:r>
        <w:t>written</w:t>
      </w:r>
      <w:r w:rsidR="006C6F09">
        <w:t xml:space="preserve"> </w:t>
      </w:r>
      <w:r>
        <w:t>and</w:t>
      </w:r>
      <w:r w:rsidR="006C6F09">
        <w:t xml:space="preserve"> </w:t>
      </w:r>
      <w:r>
        <w:t>those</w:t>
      </w:r>
      <w:r w:rsidR="006C6F09">
        <w:t xml:space="preserve"> </w:t>
      </w:r>
      <w:r>
        <w:t>dictated,</w:t>
      </w:r>
      <w:r w:rsidR="006C6F09">
        <w:t xml:space="preserve"> </w:t>
      </w:r>
      <w:r>
        <w:t>if</w:t>
      </w:r>
      <w:r w:rsidR="006C6F09">
        <w:t xml:space="preserve"> </w:t>
      </w:r>
      <w:r>
        <w:t>applicable.</w:t>
      </w:r>
      <w:r w:rsidR="006C6F09">
        <w:t xml:space="preserve"> </w:t>
      </w:r>
      <w:r>
        <w:t>Include</w:t>
      </w:r>
      <w:r w:rsidR="006C6F09">
        <w:t xml:space="preserve"> </w:t>
      </w:r>
      <w:r>
        <w:t>all</w:t>
      </w:r>
      <w:r w:rsidR="006C6F09">
        <w:t xml:space="preserve"> </w:t>
      </w:r>
      <w:r>
        <w:t>comments</w:t>
      </w:r>
      <w:r w:rsidR="006C6F09">
        <w:t xml:space="preserve"> </w:t>
      </w:r>
      <w:r>
        <w:t>received</w:t>
      </w:r>
      <w:r w:rsidR="006C6F09">
        <w:t xml:space="preserve"> </w:t>
      </w:r>
      <w:r>
        <w:t>between</w:t>
      </w:r>
      <w:r w:rsidR="006C6F09">
        <w:t xml:space="preserve"> </w:t>
      </w:r>
      <w:r>
        <w:t>the</w:t>
      </w:r>
      <w:r w:rsidR="006C6F09">
        <w:t xml:space="preserve"> </w:t>
      </w:r>
      <w:r>
        <w:t>date</w:t>
      </w:r>
      <w:r w:rsidR="006C6F09">
        <w:t xml:space="preserve"> </w:t>
      </w:r>
      <w:r>
        <w:t>the</w:t>
      </w:r>
      <w:r w:rsidR="006C6F09">
        <w:t xml:space="preserve"> </w:t>
      </w:r>
      <w:r>
        <w:t>notice</w:t>
      </w:r>
      <w:r w:rsidR="006C6F09">
        <w:t xml:space="preserve"> </w:t>
      </w:r>
      <w:r>
        <w:t>was</w:t>
      </w:r>
      <w:r w:rsidR="006C6F09">
        <w:t xml:space="preserve"> </w:t>
      </w:r>
      <w:r>
        <w:t>provided</w:t>
      </w:r>
      <w:r w:rsidR="006C6F09">
        <w:t xml:space="preserve"> </w:t>
      </w:r>
      <w:r>
        <w:t>and</w:t>
      </w:r>
      <w:r w:rsidR="006C6F09">
        <w:t xml:space="preserve"> </w:t>
      </w:r>
      <w:r>
        <w:t>the</w:t>
      </w:r>
      <w:r w:rsidR="006C6F09">
        <w:t xml:space="preserve"> </w:t>
      </w:r>
      <w:r>
        <w:t>deadline</w:t>
      </w:r>
      <w:r w:rsidR="006C6F09">
        <w:t xml:space="preserve"> </w:t>
      </w:r>
      <w:r>
        <w:t>specified</w:t>
      </w:r>
      <w:r w:rsidR="006C6F09">
        <w:t xml:space="preserve"> </w:t>
      </w:r>
      <w:r>
        <w:t>in</w:t>
      </w:r>
      <w:r w:rsidR="006C6F09">
        <w:t xml:space="preserve"> </w:t>
      </w:r>
      <w:r>
        <w:t>the</w:t>
      </w:r>
      <w:r w:rsidR="006C6F09">
        <w:t xml:space="preserve"> </w:t>
      </w:r>
      <w:r>
        <w:t>notice.</w:t>
      </w:r>
      <w:r w:rsidR="006C6F09">
        <w:t xml:space="preserve"> </w:t>
      </w:r>
      <w:r>
        <w:t>In</w:t>
      </w:r>
      <w:r w:rsidR="006C6F09">
        <w:t xml:space="preserve"> </w:t>
      </w:r>
      <w:r>
        <w:t>cases</w:t>
      </w:r>
      <w:r w:rsidR="006C6F09">
        <w:t xml:space="preserve"> </w:t>
      </w:r>
      <w:r>
        <w:t>in</w:t>
      </w:r>
      <w:r w:rsidR="006C6F09">
        <w:t xml:space="preserve"> </w:t>
      </w:r>
      <w:r>
        <w:t>which</w:t>
      </w:r>
      <w:r w:rsidR="006C6F09">
        <w:t xml:space="preserve"> </w:t>
      </w:r>
      <w:r>
        <w:t>there</w:t>
      </w:r>
      <w:r w:rsidR="006C6F09">
        <w:t xml:space="preserve"> </w:t>
      </w:r>
      <w:r>
        <w:t>are</w:t>
      </w:r>
      <w:r w:rsidR="006C6F09">
        <w:t xml:space="preserve"> </w:t>
      </w:r>
      <w:r>
        <w:t>large</w:t>
      </w:r>
      <w:r w:rsidR="006C6F09">
        <w:t xml:space="preserve"> </w:t>
      </w:r>
      <w:r>
        <w:t>number</w:t>
      </w:r>
      <w:r w:rsidR="006C6F09">
        <w:t xml:space="preserve"> </w:t>
      </w:r>
      <w:r>
        <w:t>of</w:t>
      </w:r>
      <w:r w:rsidR="006C6F09">
        <w:t xml:space="preserve"> </w:t>
      </w:r>
      <w:r>
        <w:t>identical</w:t>
      </w:r>
      <w:r w:rsidR="006C6F09">
        <w:t xml:space="preserve"> </w:t>
      </w:r>
      <w:r>
        <w:t>comments,</w:t>
      </w:r>
      <w:r w:rsidR="006C6F09">
        <w:t xml:space="preserve"> </w:t>
      </w:r>
      <w:r>
        <w:t>it</w:t>
      </w:r>
      <w:r w:rsidR="006C6F09">
        <w:t xml:space="preserve"> </w:t>
      </w:r>
      <w:r>
        <w:t>may</w:t>
      </w:r>
      <w:r w:rsidR="006C6F09">
        <w:t xml:space="preserve"> </w:t>
      </w:r>
      <w:r>
        <w:t>be</w:t>
      </w:r>
      <w:r w:rsidR="006C6F09">
        <w:t xml:space="preserve"> </w:t>
      </w:r>
      <w:r>
        <w:t>appropriate</w:t>
      </w:r>
      <w:r w:rsidR="006C6F09">
        <w:t xml:space="preserve"> </w:t>
      </w:r>
      <w:r>
        <w:t>to</w:t>
      </w:r>
      <w:r w:rsidR="006C6F09">
        <w:t xml:space="preserve"> </w:t>
      </w:r>
      <w:r>
        <w:t>include</w:t>
      </w:r>
      <w:r w:rsidR="006C6F09">
        <w:t xml:space="preserve"> </w:t>
      </w:r>
      <w:r>
        <w:t>only</w:t>
      </w:r>
      <w:r w:rsidR="006C6F09">
        <w:t xml:space="preserve"> </w:t>
      </w:r>
      <w:r>
        <w:t>a</w:t>
      </w:r>
      <w:r w:rsidR="006C6F09">
        <w:t xml:space="preserve"> </w:t>
      </w:r>
      <w:r>
        <w:t>single</w:t>
      </w:r>
      <w:r w:rsidR="006C6F09">
        <w:t xml:space="preserve"> </w:t>
      </w:r>
      <w:r>
        <w:t>copy</w:t>
      </w:r>
      <w:r w:rsidR="006C6F09">
        <w:t xml:space="preserve"> </w:t>
      </w:r>
      <w:r>
        <w:t>–</w:t>
      </w:r>
      <w:r w:rsidR="006C6F09">
        <w:t xml:space="preserve"> </w:t>
      </w:r>
      <w:r>
        <w:t>consult</w:t>
      </w:r>
      <w:r w:rsidR="006C6F09">
        <w:t xml:space="preserve"> </w:t>
      </w:r>
      <w:r>
        <w:t>with</w:t>
      </w:r>
      <w:r w:rsidR="006C6F09">
        <w:t xml:space="preserve"> </w:t>
      </w:r>
      <w:r>
        <w:t>ENV’s</w:t>
      </w:r>
      <w:r w:rsidR="006C6F09">
        <w:t xml:space="preserve"> </w:t>
      </w:r>
      <w:r>
        <w:t>Project</w:t>
      </w:r>
      <w:r w:rsidR="006C6F09">
        <w:t xml:space="preserve"> </w:t>
      </w:r>
      <w:r>
        <w:t>Delivery</w:t>
      </w:r>
      <w:r w:rsidR="006C6F09">
        <w:t xml:space="preserve"> </w:t>
      </w:r>
      <w:r>
        <w:t>Section</w:t>
      </w:r>
      <w:r w:rsidR="006C6F09">
        <w:t xml:space="preserve"> </w:t>
      </w:r>
      <w:r>
        <w:t>to</w:t>
      </w:r>
      <w:r w:rsidR="006C6F09">
        <w:t xml:space="preserve"> </w:t>
      </w:r>
      <w:r>
        <w:t>discuss</w:t>
      </w:r>
      <w:r w:rsidR="006C6F09">
        <w:t xml:space="preserve"> </w:t>
      </w:r>
      <w:r>
        <w:t>the</w:t>
      </w:r>
      <w:r w:rsidR="006C6F09">
        <w:t xml:space="preserve"> </w:t>
      </w:r>
      <w:r>
        <w:t>best</w:t>
      </w:r>
      <w:r w:rsidR="006C6F09">
        <w:t xml:space="preserve"> </w:t>
      </w:r>
      <w:r>
        <w:t>approach.</w:t>
      </w:r>
      <w:r w:rsidR="006C6F09">
        <w:t xml:space="preserve"> </w:t>
      </w:r>
      <w:r>
        <w:t>Redact</w:t>
      </w:r>
      <w:r w:rsidR="006C6F09">
        <w:t xml:space="preserve"> </w:t>
      </w:r>
      <w:r>
        <w:t>any</w:t>
      </w:r>
      <w:r w:rsidR="006C6F09">
        <w:t xml:space="preserve"> </w:t>
      </w:r>
      <w:r>
        <w:t>email</w:t>
      </w:r>
      <w:r w:rsidR="006C6F09">
        <w:t xml:space="preserve"> </w:t>
      </w:r>
      <w:r>
        <w:t>addresses</w:t>
      </w:r>
      <w:r w:rsidR="006C6F09">
        <w:t xml:space="preserve"> </w:t>
      </w:r>
      <w:r>
        <w:t>visible</w:t>
      </w:r>
      <w:r w:rsidR="006C6F09">
        <w:t xml:space="preserve"> </w:t>
      </w:r>
      <w:r>
        <w:t>on</w:t>
      </w:r>
      <w:r w:rsidR="006C6F09">
        <w:t xml:space="preserve"> </w:t>
      </w:r>
      <w:r>
        <w:t>comments</w:t>
      </w:r>
      <w:r w:rsidR="006C6F09">
        <w:t xml:space="preserve"> </w:t>
      </w:r>
      <w:r>
        <w:t>provided</w:t>
      </w:r>
      <w:r w:rsidR="006C6F09">
        <w:t xml:space="preserve"> </w:t>
      </w:r>
      <w:r>
        <w:t>by</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in</w:t>
      </w:r>
      <w:r w:rsidR="006C6F09">
        <w:t xml:space="preserve"> </w:t>
      </w:r>
      <w:r>
        <w:t>accordance</w:t>
      </w:r>
      <w:r w:rsidR="006C6F09">
        <w:t xml:space="preserve"> </w:t>
      </w:r>
      <w:r>
        <w:t>with</w:t>
      </w:r>
      <w:r w:rsidR="006C6F09">
        <w:t xml:space="preserve"> </w:t>
      </w:r>
      <w:r w:rsidRPr="004A731F">
        <w:t>Texas</w:t>
      </w:r>
      <w:r w:rsidR="006C6F09">
        <w:t xml:space="preserve"> </w:t>
      </w:r>
      <w:r w:rsidRPr="004A731F">
        <w:t>Government</w:t>
      </w:r>
      <w:r w:rsidR="006C6F09">
        <w:t xml:space="preserve"> </w:t>
      </w:r>
      <w:r w:rsidRPr="004A731F">
        <w:t>Code</w:t>
      </w:r>
      <w:r w:rsidR="006C6F09">
        <w:rPr>
          <w:i/>
          <w:iCs/>
        </w:rPr>
        <w:t xml:space="preserve"> </w:t>
      </w:r>
      <w:r>
        <w:t>552.137(a)</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rsidRPr="004A731F">
        <w:t>T</w:t>
      </w:r>
      <w:r w:rsidRPr="00263E76">
        <w:t>exas</w:t>
      </w:r>
      <w:r w:rsidR="006C6F09">
        <w:t xml:space="preserve"> </w:t>
      </w:r>
      <w:r w:rsidRPr="00263E76">
        <w:t>Attorney</w:t>
      </w:r>
      <w:r w:rsidR="006C6F09">
        <w:t xml:space="preserve"> </w:t>
      </w:r>
      <w:r w:rsidRPr="00263E76">
        <w:t>General’s</w:t>
      </w:r>
      <w:r w:rsidR="006C6F09">
        <w:t xml:space="preserve"> </w:t>
      </w:r>
      <w:r w:rsidRPr="00263E76">
        <w:lastRenderedPageBreak/>
        <w:t>2020</w:t>
      </w:r>
      <w:r w:rsidR="006C6F09">
        <w:t xml:space="preserve"> </w:t>
      </w:r>
      <w:r w:rsidRPr="00263E76">
        <w:t>Public</w:t>
      </w:r>
      <w:r w:rsidR="006C6F09">
        <w:t xml:space="preserve"> </w:t>
      </w:r>
      <w:r w:rsidRPr="00263E76">
        <w:t>Information</w:t>
      </w:r>
      <w:r w:rsidR="006C6F09">
        <w:t xml:space="preserve"> </w:t>
      </w:r>
      <w:r w:rsidRPr="00263E76">
        <w:t>Act</w:t>
      </w:r>
      <w:r w:rsidR="006C6F09">
        <w:t xml:space="preserve"> </w:t>
      </w:r>
      <w:r w:rsidRPr="00263E76">
        <w:t>Handbook</w:t>
      </w:r>
      <w:r w:rsidR="006C6F09">
        <w:t xml:space="preserve"> </w:t>
      </w:r>
      <w:r>
        <w:t>at</w:t>
      </w:r>
      <w:r w:rsidR="006C6F09">
        <w:t xml:space="preserve"> </w:t>
      </w:r>
      <w:r>
        <w:t>pages</w:t>
      </w:r>
      <w:r w:rsidR="006C6F09">
        <w:t xml:space="preserve"> </w:t>
      </w:r>
      <w:r>
        <w:t>161-162).</w:t>
      </w:r>
      <w:r w:rsidR="006C6F09">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t>to</w:t>
      </w:r>
      <w:r w:rsidR="006C6F09">
        <w:t xml:space="preserve"> </w:t>
      </w:r>
      <w:r>
        <w:t>redact</w:t>
      </w:r>
      <w:r w:rsidR="006C6F09">
        <w:t xml:space="preserve"> </w:t>
      </w:r>
      <w:r>
        <w:t>physical</w:t>
      </w:r>
      <w:r w:rsidR="006C6F09">
        <w:t xml:space="preserve"> </w:t>
      </w:r>
      <w:r>
        <w:t>addresses.</w:t>
      </w:r>
      <w:r w:rsidR="006C6F09">
        <w:t xml:space="preserve"> </w:t>
      </w:r>
      <w:proofErr w:type="gramStart"/>
      <w:r>
        <w:t>Redaction</w:t>
      </w:r>
      <w:proofErr w:type="gramEnd"/>
      <w:r w:rsidR="006C6F09">
        <w:t xml:space="preserve"> </w:t>
      </w:r>
      <w:r>
        <w:t>of</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done</w:t>
      </w:r>
      <w:r w:rsidR="006C6F09">
        <w:t xml:space="preserve"> </w:t>
      </w:r>
      <w:r>
        <w:t>on</w:t>
      </w:r>
      <w:r w:rsidR="006C6F09">
        <w:t xml:space="preserve"> </w:t>
      </w:r>
      <w:r>
        <w:t>a</w:t>
      </w:r>
      <w:r w:rsidR="006C6F09">
        <w:t xml:space="preserve"> </w:t>
      </w:r>
      <w:r>
        <w:t>discretionary</w:t>
      </w:r>
      <w:r w:rsidR="006C6F09">
        <w:t xml:space="preserve"> </w:t>
      </w:r>
      <w:r>
        <w:t>basis.</w:t>
      </w:r>
      <w:r w:rsidR="006C6F09">
        <w:t xml:space="preserve"> </w:t>
      </w:r>
    </w:p>
    <w:p w14:paraId="0DA8D2AE" w14:textId="115E3892" w:rsidR="00457754" w:rsidRDefault="00D97AAC" w:rsidP="00D97AAC">
      <w:pPr>
        <w:pStyle w:val="ListNumber"/>
        <w:numPr>
          <w:ilvl w:val="0"/>
          <w:numId w:val="0"/>
        </w:numPr>
      </w:pPr>
      <w:r>
        <w:t>6.</w:t>
      </w:r>
      <w:r w:rsidR="00457754">
        <w:t>Figures</w:t>
      </w:r>
    </w:p>
    <w:p w14:paraId="20A71A6E" w14:textId="5AECEF0A" w:rsidR="00457754" w:rsidRDefault="00457754" w:rsidP="00D97AAC">
      <w:pPr>
        <w:pStyle w:val="ListNumber"/>
        <w:numPr>
          <w:ilvl w:val="0"/>
          <w:numId w:val="0"/>
        </w:numPr>
      </w:pPr>
      <w:r>
        <w:t>Include</w:t>
      </w:r>
      <w:r w:rsidR="006C6F09">
        <w:t xml:space="preserve"> </w:t>
      </w:r>
      <w:r>
        <w:t>photographs</w:t>
      </w:r>
      <w:r w:rsidR="006C6F09">
        <w:t xml:space="preserve"> </w:t>
      </w:r>
      <w:r>
        <w:t>or</w:t>
      </w:r>
      <w:r w:rsidR="006C6F09">
        <w:t xml:space="preserve"> </w:t>
      </w:r>
      <w:r>
        <w:t>pdfs</w:t>
      </w:r>
      <w:r w:rsidR="006C6F09">
        <w:t xml:space="preserve"> </w:t>
      </w:r>
      <w:r>
        <w:t>of</w:t>
      </w:r>
      <w:r w:rsidR="006C6F09">
        <w:t xml:space="preserve"> </w:t>
      </w:r>
      <w:r>
        <w:t>all</w:t>
      </w:r>
      <w:r w:rsidR="006C6F09">
        <w:t xml:space="preserve"> </w:t>
      </w:r>
      <w:r>
        <w:t>boards</w:t>
      </w:r>
      <w:r w:rsidR="006C6F09">
        <w:t xml:space="preserve"> </w:t>
      </w:r>
      <w:r>
        <w:t>and</w:t>
      </w:r>
      <w:r w:rsidR="006C6F09">
        <w:t xml:space="preserve"> </w:t>
      </w:r>
      <w:r>
        <w:t>exhibits,</w:t>
      </w:r>
      <w:r w:rsidR="006C6F09">
        <w:t xml:space="preserve"> </w:t>
      </w:r>
      <w:r>
        <w:t>presentations,</w:t>
      </w:r>
      <w:r w:rsidR="006C6F09">
        <w:t xml:space="preserve"> </w:t>
      </w:r>
      <w:r>
        <w:t>general</w:t>
      </w:r>
      <w:r w:rsidR="006C6F09">
        <w:t xml:space="preserve"> </w:t>
      </w:r>
      <w:r>
        <w:t>photos</w:t>
      </w:r>
      <w:r w:rsidR="006C6F09">
        <w:t xml:space="preserve"> </w:t>
      </w:r>
      <w:r>
        <w:t>of</w:t>
      </w:r>
      <w:r w:rsidR="006C6F09">
        <w:t xml:space="preserve"> </w:t>
      </w:r>
      <w:r>
        <w:t>the</w:t>
      </w:r>
      <w:r w:rsidR="006C6F09">
        <w:t xml:space="preserve"> </w:t>
      </w:r>
      <w:r>
        <w:t>meeting,</w:t>
      </w:r>
      <w:r w:rsidR="006C6F09">
        <w:t xml:space="preserve"> </w:t>
      </w:r>
      <w:r>
        <w:t>and</w:t>
      </w:r>
      <w:r w:rsidR="006C6F09">
        <w:t xml:space="preserve"> </w:t>
      </w:r>
      <w:r>
        <w:t>written</w:t>
      </w:r>
      <w:r w:rsidR="006C6F09">
        <w:t xml:space="preserve"> </w:t>
      </w:r>
      <w:r>
        <w:t>transcripts</w:t>
      </w:r>
      <w:r w:rsidR="006C6F09">
        <w:t xml:space="preserve"> </w:t>
      </w:r>
      <w:r>
        <w:t>for</w:t>
      </w:r>
      <w:r w:rsidR="006C6F09">
        <w:t xml:space="preserve"> </w:t>
      </w:r>
      <w:r>
        <w:t>any</w:t>
      </w:r>
      <w:r w:rsidR="006C6F09">
        <w:t xml:space="preserve"> </w:t>
      </w:r>
      <w:r>
        <w:t>video</w:t>
      </w:r>
      <w:r w:rsidR="006C6F09">
        <w:t xml:space="preserve"> </w:t>
      </w:r>
      <w:r>
        <w:t>presentations,</w:t>
      </w:r>
      <w:r w:rsidR="006C6F09">
        <w:t xml:space="preserve"> </w:t>
      </w:r>
      <w:r>
        <w:t>if</w:t>
      </w:r>
      <w:r w:rsidR="006C6F09">
        <w:t xml:space="preserve"> </w:t>
      </w:r>
      <w:r>
        <w:t>applicable.</w:t>
      </w:r>
    </w:p>
    <w:p w14:paraId="45ADB0CC" w14:textId="08112397" w:rsidR="00457754" w:rsidRPr="005901D0" w:rsidRDefault="00457754" w:rsidP="00457754">
      <w:pPr>
        <w:pStyle w:val="Heading3"/>
      </w:pPr>
      <w:bookmarkStart w:id="114" w:name="_Toc224026243"/>
      <w:r w:rsidRPr="005901D0">
        <w:t>14.3</w:t>
      </w:r>
      <w:r w:rsidR="006C6F09" w:rsidRPr="005901D0">
        <w:t xml:space="preserve"> </w:t>
      </w:r>
      <w:r w:rsidRPr="005901D0">
        <w:t>Public</w:t>
      </w:r>
      <w:r w:rsidR="006C6F09" w:rsidRPr="005901D0">
        <w:t xml:space="preserve"> </w:t>
      </w:r>
      <w:r w:rsidRPr="005901D0">
        <w:t>Hearing</w:t>
      </w:r>
      <w:r w:rsidR="006C6F09" w:rsidRPr="005901D0">
        <w:t xml:space="preserve"> </w:t>
      </w:r>
      <w:r w:rsidRPr="005901D0">
        <w:t>Opportunity</w:t>
      </w:r>
      <w:bookmarkEnd w:id="114"/>
      <w:r w:rsidR="006C6F09" w:rsidRPr="005901D0">
        <w:t xml:space="preserve"> </w:t>
      </w:r>
    </w:p>
    <w:p w14:paraId="33645CD9" w14:textId="7E19C00B" w:rsidR="00457754" w:rsidRDefault="00457754" w:rsidP="00457754">
      <w:r>
        <w:t>The</w:t>
      </w:r>
      <w:r w:rsidR="006C6F09">
        <w:t xml:space="preserve"> </w:t>
      </w:r>
      <w:r>
        <w:t>project</w:t>
      </w:r>
      <w:r w:rsidR="006C6F09">
        <w:t xml:space="preserve"> </w:t>
      </w:r>
      <w:r>
        <w:t>sponsor</w:t>
      </w:r>
      <w:r w:rsidR="006C6F09">
        <w:t xml:space="preserve"> </w:t>
      </w:r>
      <w:r>
        <w:t>is</w:t>
      </w:r>
      <w:r w:rsidR="006C6F09">
        <w:t xml:space="preserve"> </w:t>
      </w:r>
      <w:r>
        <w:t>required</w:t>
      </w:r>
      <w:r w:rsidR="006C6F09">
        <w:t xml:space="preserve"> </w:t>
      </w:r>
      <w:r>
        <w:t>to</w:t>
      </w:r>
      <w:r w:rsidR="006C6F09">
        <w:t xml:space="preserve"> </w:t>
      </w:r>
      <w:r>
        <w:t>submit</w:t>
      </w:r>
      <w:r w:rsidR="006C6F09">
        <w:t xml:space="preserve"> </w:t>
      </w:r>
      <w:r>
        <w:t>documentation</w:t>
      </w:r>
      <w:r w:rsidR="006C6F09">
        <w:t xml:space="preserve"> </w:t>
      </w:r>
      <w:r>
        <w:t>to</w:t>
      </w:r>
      <w:r w:rsidR="006C6F09">
        <w:t xml:space="preserve"> </w:t>
      </w:r>
      <w:r>
        <w:t>the</w:t>
      </w:r>
      <w:r w:rsidR="006C6F09">
        <w:t xml:space="preserve"> </w:t>
      </w:r>
      <w:r>
        <w:t>department</w:t>
      </w:r>
      <w:r w:rsidR="006C6F09">
        <w:t xml:space="preserve"> </w:t>
      </w:r>
      <w:r>
        <w:t>delegate</w:t>
      </w:r>
      <w:r w:rsidR="006C6F09">
        <w:t xml:space="preserve"> </w:t>
      </w:r>
      <w:r>
        <w:t>of</w:t>
      </w:r>
      <w:r w:rsidR="006C6F09">
        <w:t xml:space="preserve"> </w:t>
      </w:r>
      <w:r>
        <w:t>completion</w:t>
      </w:r>
      <w:r w:rsidR="006C6F09">
        <w:t xml:space="preserve"> </w:t>
      </w:r>
      <w:r>
        <w:t>of</w:t>
      </w:r>
      <w:r w:rsidR="006C6F09">
        <w:t xml:space="preserve"> </w:t>
      </w:r>
      <w:r>
        <w:t>the</w:t>
      </w:r>
      <w:r w:rsidR="006C6F09">
        <w:t xml:space="preserve"> </w:t>
      </w:r>
      <w:r>
        <w:t>NAOPH.</w:t>
      </w:r>
      <w:r w:rsidR="006C6F09">
        <w:t xml:space="preserve"> </w:t>
      </w:r>
      <w:r>
        <w:t>Templates</w:t>
      </w:r>
      <w:r w:rsidR="006C6F09">
        <w:t xml:space="preserve"> </w:t>
      </w:r>
      <w:r>
        <w:t>and</w:t>
      </w:r>
      <w:r w:rsidR="006C6F09">
        <w:t xml:space="preserve"> </w:t>
      </w:r>
      <w:r>
        <w:t>guidance</w:t>
      </w:r>
      <w:r w:rsidR="006C6F09">
        <w:t xml:space="preserve"> </w:t>
      </w:r>
      <w:r>
        <w:t>for</w:t>
      </w:r>
      <w:r w:rsidR="006C6F09">
        <w:t xml:space="preserve"> </w:t>
      </w:r>
      <w:r>
        <w:t>the</w:t>
      </w:r>
      <w:r w:rsidR="006C6F09">
        <w:t xml:space="preserve"> </w:t>
      </w:r>
      <w:r>
        <w:t>required</w:t>
      </w:r>
      <w:r w:rsidR="006C6F09">
        <w:t xml:space="preserve"> </w:t>
      </w:r>
      <w:r>
        <w:t>documentation</w:t>
      </w:r>
      <w:r w:rsidR="006C6F09">
        <w:t xml:space="preserve"> </w:t>
      </w:r>
      <w:r>
        <w:t>format</w:t>
      </w:r>
      <w:r w:rsidR="006C6F09">
        <w:t xml:space="preserve"> </w:t>
      </w:r>
      <w:r>
        <w:t>are</w:t>
      </w:r>
      <w:r w:rsidR="006C6F09">
        <w:t xml:space="preserve"> </w:t>
      </w:r>
      <w:r>
        <w:t>available</w:t>
      </w:r>
      <w:r w:rsidR="006C6F09">
        <w:t xml:space="preserve"> </w:t>
      </w:r>
      <w:r>
        <w:t>online</w:t>
      </w:r>
      <w:r w:rsidR="006C6F09">
        <w:t xml:space="preserve"> </w:t>
      </w:r>
      <w:r>
        <w:t>in</w:t>
      </w:r>
      <w:r w:rsidR="006C6F09">
        <w:t xml:space="preserve"> </w:t>
      </w:r>
      <w:r>
        <w:t>the</w:t>
      </w:r>
      <w:r w:rsidR="006C6F09">
        <w:t xml:space="preserve"> </w:t>
      </w:r>
      <w:hyperlink r:id="rId87" w:history="1">
        <w:r w:rsidRPr="00190118">
          <w:rPr>
            <w:rStyle w:val="Hyperlink"/>
          </w:rPr>
          <w:t>Public</w:t>
        </w:r>
        <w:r w:rsidR="006C6F09">
          <w:rPr>
            <w:rStyle w:val="Hyperlink"/>
          </w:rPr>
          <w:t xml:space="preserve"> </w:t>
        </w:r>
        <w:r w:rsidRPr="00190118">
          <w:rPr>
            <w:rStyle w:val="Hyperlink"/>
          </w:rPr>
          <w:t>Involvement</w:t>
        </w:r>
        <w:r w:rsidR="006C6F09">
          <w:rPr>
            <w:rStyle w:val="Hyperlink"/>
          </w:rPr>
          <w:t xml:space="preserve"> </w:t>
        </w:r>
        <w:r w:rsidRPr="00190118">
          <w:rPr>
            <w:rStyle w:val="Hyperlink"/>
          </w:rPr>
          <w:t>Toolkit</w:t>
        </w:r>
      </w:hyperlink>
      <w:r>
        <w:t>.</w:t>
      </w:r>
    </w:p>
    <w:p w14:paraId="2C4AC966" w14:textId="276A9E86" w:rsidR="00457754" w:rsidRDefault="00457754" w:rsidP="00457754">
      <w:r>
        <w:t>The</w:t>
      </w:r>
      <w:r w:rsidR="006C6F09">
        <w:t xml:space="preserve"> </w:t>
      </w:r>
      <w:r>
        <w:t>documentation</w:t>
      </w:r>
      <w:r w:rsidR="006C6F09">
        <w:t xml:space="preserve"> </w:t>
      </w:r>
      <w:r>
        <w:t>must</w:t>
      </w:r>
      <w:r w:rsidR="006C6F09">
        <w:t xml:space="preserve"> </w:t>
      </w:r>
      <w:r>
        <w:t>be</w:t>
      </w:r>
      <w:r w:rsidR="006C6F09">
        <w:t xml:space="preserve"> </w:t>
      </w:r>
      <w:r>
        <w:t>retained</w:t>
      </w:r>
      <w:r w:rsidR="006C6F09">
        <w:t xml:space="preserve"> </w:t>
      </w:r>
      <w:r>
        <w:t>in</w:t>
      </w:r>
      <w:r w:rsidR="006C6F09">
        <w:t xml:space="preserve"> </w:t>
      </w:r>
      <w:r>
        <w:t>the</w:t>
      </w:r>
      <w:r w:rsidR="006C6F09">
        <w:t xml:space="preserve"> </w:t>
      </w:r>
      <w:r>
        <w:t>official</w:t>
      </w:r>
      <w:r w:rsidR="006C6F09">
        <w:t xml:space="preserve"> </w:t>
      </w:r>
      <w:r>
        <w:t>project</w:t>
      </w:r>
      <w:r w:rsidR="006C6F09">
        <w:t xml:space="preserve"> </w:t>
      </w:r>
      <w:r>
        <w:t>file.</w:t>
      </w:r>
      <w:r w:rsidR="006C6F09">
        <w:t xml:space="preserve"> </w:t>
      </w:r>
    </w:p>
    <w:p w14:paraId="4C1D1C5B" w14:textId="64E122D3" w:rsidR="00457754" w:rsidRPr="00DC29DC" w:rsidRDefault="002E56C3" w:rsidP="00DC29DC">
      <w:pPr>
        <w:pStyle w:val="Heading4"/>
      </w:pPr>
      <w:bookmarkStart w:id="115" w:name="_Ref219790567"/>
      <w:r w:rsidRPr="00DC29DC">
        <w:t>14.3.1</w:t>
      </w:r>
      <w:r w:rsidR="006C6F09">
        <w:t xml:space="preserve"> </w:t>
      </w:r>
      <w:r w:rsidR="00457754" w:rsidRPr="00DC29DC">
        <w:t>NAOPH</w:t>
      </w:r>
      <w:r w:rsidR="006C6F09">
        <w:t xml:space="preserve"> </w:t>
      </w:r>
      <w:r w:rsidR="00457754" w:rsidRPr="00DC29DC">
        <w:t>Documentation</w:t>
      </w:r>
      <w:bookmarkEnd w:id="115"/>
    </w:p>
    <w:p w14:paraId="13D5A1C8" w14:textId="1DAC1B7F" w:rsidR="00457754" w:rsidRDefault="00457754" w:rsidP="00457754">
      <w:pPr>
        <w:spacing w:after="0"/>
      </w:pPr>
      <w:r>
        <w:t>NAOPH</w:t>
      </w:r>
      <w:r w:rsidR="006C6F09">
        <w:t xml:space="preserve"> </w:t>
      </w:r>
      <w:r>
        <w:t>documentation</w:t>
      </w:r>
      <w:r w:rsidR="006C6F09">
        <w:t xml:space="preserve"> </w:t>
      </w:r>
      <w:r>
        <w:t>shall</w:t>
      </w:r>
      <w:r w:rsidR="006C6F09">
        <w:t xml:space="preserve"> </w:t>
      </w:r>
      <w:r>
        <w:t>include</w:t>
      </w:r>
      <w:r w:rsidR="006C6F09">
        <w:t xml:space="preserve"> </w:t>
      </w:r>
      <w:r>
        <w:t>the</w:t>
      </w:r>
      <w:r w:rsidR="006C6F09">
        <w:t xml:space="preserve"> </w:t>
      </w:r>
      <w:r>
        <w:t>following</w:t>
      </w:r>
      <w:r w:rsidR="006C6F09">
        <w:t xml:space="preserve"> </w:t>
      </w:r>
      <w:r>
        <w:t>information.</w:t>
      </w:r>
    </w:p>
    <w:p w14:paraId="05AC3D84" w14:textId="45185042" w:rsidR="00457754" w:rsidRPr="00B42EEF" w:rsidRDefault="00457754" w:rsidP="00F951BE">
      <w:pPr>
        <w:pStyle w:val="ListNumber"/>
        <w:numPr>
          <w:ilvl w:val="0"/>
          <w:numId w:val="10"/>
        </w:numPr>
        <w:ind w:left="270"/>
      </w:pPr>
      <w:r w:rsidRPr="00B42EEF">
        <w:t>Cover</w:t>
      </w:r>
      <w:r w:rsidR="006C6F09">
        <w:t xml:space="preserve"> </w:t>
      </w:r>
      <w:r w:rsidRPr="00B42EEF">
        <w:t>Sheet</w:t>
      </w:r>
      <w:r w:rsidR="006C6F09">
        <w:t xml:space="preserve"> </w:t>
      </w:r>
      <w:r w:rsidRPr="00B42EEF">
        <w:t>–</w:t>
      </w:r>
      <w:r w:rsidR="006C6F09">
        <w:t xml:space="preserve"> </w:t>
      </w:r>
      <w:r w:rsidRPr="00B42EEF">
        <w:t>NAOPH</w:t>
      </w:r>
      <w:r w:rsidR="006C6F09">
        <w:t xml:space="preserve"> </w:t>
      </w:r>
      <w:r w:rsidRPr="00B42EEF">
        <w:t>documentation</w:t>
      </w:r>
      <w:r w:rsidR="006C6F09">
        <w:t xml:space="preserve"> </w:t>
      </w:r>
    </w:p>
    <w:p w14:paraId="3BC0ABD9" w14:textId="50CBCB31" w:rsidR="00457754" w:rsidRPr="00A55540" w:rsidRDefault="00457754" w:rsidP="00F951BE">
      <w:pPr>
        <w:pStyle w:val="ListBullet"/>
        <w:ind w:hanging="450"/>
      </w:pPr>
      <w:r w:rsidRPr="00A55540">
        <w:t>CSJ(s)</w:t>
      </w:r>
      <w:r w:rsidR="006C6F09">
        <w:t xml:space="preserve"> </w:t>
      </w:r>
    </w:p>
    <w:p w14:paraId="698D74D4" w14:textId="353F0120" w:rsidR="00457754" w:rsidRPr="00A55540" w:rsidRDefault="00457754" w:rsidP="00F951BE">
      <w:pPr>
        <w:pStyle w:val="ListBullet"/>
        <w:ind w:hanging="450"/>
      </w:pPr>
      <w:r w:rsidRPr="00A55540">
        <w:t>Project</w:t>
      </w:r>
      <w:r w:rsidR="006C6F09">
        <w:t xml:space="preserve"> </w:t>
      </w:r>
      <w:r w:rsidRPr="00A55540">
        <w:t>Limits</w:t>
      </w:r>
    </w:p>
    <w:p w14:paraId="464ADD65" w14:textId="09FC248B" w:rsidR="005C466E" w:rsidRPr="00A55540" w:rsidRDefault="00457754" w:rsidP="00F951BE">
      <w:pPr>
        <w:pStyle w:val="ListBullet"/>
        <w:ind w:hanging="450"/>
      </w:pPr>
      <w:r w:rsidRPr="00A55540">
        <w:t>Other</w:t>
      </w:r>
      <w:r w:rsidR="006C6F09">
        <w:t xml:space="preserve"> </w:t>
      </w:r>
      <w:r w:rsidRPr="00A55540">
        <w:t>information</w:t>
      </w:r>
      <w:r w:rsidR="006C6F09">
        <w:t xml:space="preserve"> </w:t>
      </w:r>
      <w:r w:rsidRPr="00A55540">
        <w:t>listed</w:t>
      </w:r>
      <w:r w:rsidR="006C6F09">
        <w:t xml:space="preserve"> </w:t>
      </w:r>
      <w:r w:rsidRPr="00A55540">
        <w:t>on</w:t>
      </w:r>
      <w:r w:rsidR="006C6F09">
        <w:t xml:space="preserve"> </w:t>
      </w:r>
      <w:r w:rsidRPr="00A55540">
        <w:t>the</w:t>
      </w:r>
      <w:r w:rsidR="006C6F09">
        <w:t xml:space="preserve"> </w:t>
      </w:r>
      <w:r w:rsidRPr="00A55540">
        <w:t>ENV’s</w:t>
      </w:r>
      <w:r w:rsidR="006C6F09">
        <w:t xml:space="preserve"> </w:t>
      </w:r>
      <w:r w:rsidRPr="00A55540">
        <w:t>Template:</w:t>
      </w:r>
      <w:r w:rsidR="006C6F09">
        <w:t xml:space="preserve"> </w:t>
      </w:r>
      <w:r w:rsidRPr="00A55540">
        <w:t>Public</w:t>
      </w:r>
      <w:r w:rsidR="006C6F09">
        <w:t xml:space="preserve"> </w:t>
      </w:r>
      <w:r w:rsidRPr="00A55540">
        <w:t>Hearing</w:t>
      </w:r>
      <w:r w:rsidR="006C6F09">
        <w:t xml:space="preserve"> </w:t>
      </w:r>
      <w:r w:rsidRPr="00A55540">
        <w:t>Opportunity</w:t>
      </w:r>
      <w:r w:rsidR="006C6F09">
        <w:t xml:space="preserve"> </w:t>
      </w:r>
      <w:r w:rsidRPr="00A55540">
        <w:t>Cover</w:t>
      </w:r>
      <w:r w:rsidR="006C6F09">
        <w:t xml:space="preserve"> </w:t>
      </w:r>
      <w:r w:rsidRPr="00A55540">
        <w:t>Page,</w:t>
      </w:r>
      <w:r w:rsidR="006C6F09">
        <w:t xml:space="preserve"> </w:t>
      </w:r>
      <w:r w:rsidRPr="00A55540">
        <w:t>available</w:t>
      </w:r>
      <w:r w:rsidR="006C6F09">
        <w:t xml:space="preserve"> </w:t>
      </w:r>
      <w:r w:rsidRPr="00A55540">
        <w:t>on</w:t>
      </w:r>
      <w:r w:rsidR="006C6F09">
        <w:t xml:space="preserve"> </w:t>
      </w:r>
      <w:r w:rsidRPr="00A55540">
        <w:t>the</w:t>
      </w:r>
      <w:r w:rsidR="006C6F09">
        <w:t xml:space="preserve"> </w:t>
      </w:r>
      <w:r w:rsidRPr="00A55540">
        <w:t>Public</w:t>
      </w:r>
      <w:r w:rsidR="006C6F09">
        <w:t xml:space="preserve"> </w:t>
      </w:r>
      <w:r w:rsidRPr="00A55540">
        <w:t>Involvement</w:t>
      </w:r>
      <w:r w:rsidR="006C6F09">
        <w:t xml:space="preserve"> </w:t>
      </w:r>
      <w:r w:rsidRPr="00A55540">
        <w:t>Toolkit</w:t>
      </w:r>
    </w:p>
    <w:p w14:paraId="769365D2" w14:textId="30DAA1C8" w:rsidR="00457754" w:rsidRDefault="00457754" w:rsidP="00F951BE">
      <w:pPr>
        <w:pStyle w:val="ListNumber"/>
        <w:numPr>
          <w:ilvl w:val="0"/>
          <w:numId w:val="10"/>
        </w:numPr>
        <w:ind w:left="270"/>
      </w:pPr>
      <w:r>
        <w:t>Notices</w:t>
      </w:r>
    </w:p>
    <w:p w14:paraId="0FB6181C" w14:textId="404B28F0" w:rsidR="00457754" w:rsidRDefault="00457754" w:rsidP="00120EA0">
      <w:pPr>
        <w:pStyle w:val="ListNumber"/>
        <w:numPr>
          <w:ilvl w:val="0"/>
          <w:numId w:val="0"/>
        </w:numPr>
      </w:pPr>
      <w:r>
        <w:t>Include</w:t>
      </w:r>
      <w:r w:rsidR="006C6F09">
        <w:t xml:space="preserve"> </w:t>
      </w:r>
      <w:r>
        <w:t>any</w:t>
      </w:r>
      <w:r w:rsidR="006C6F09">
        <w:t xml:space="preserve"> </w:t>
      </w:r>
      <w:r>
        <w:t>mailed</w:t>
      </w:r>
      <w:r w:rsidR="006C6F09">
        <w:t xml:space="preserve"> </w:t>
      </w:r>
      <w:r>
        <w:t>notices</w:t>
      </w:r>
      <w:r w:rsidR="006C6F09">
        <w:t xml:space="preserve"> </w:t>
      </w:r>
      <w:r>
        <w:t>or</w:t>
      </w:r>
      <w:r w:rsidR="006C6F09">
        <w:t xml:space="preserve"> </w:t>
      </w:r>
      <w:r>
        <w:t>flyers,</w:t>
      </w:r>
      <w:r w:rsidR="006C6F09">
        <w:t xml:space="preserve"> </w:t>
      </w:r>
      <w:r>
        <w:t>mailing</w:t>
      </w:r>
      <w:r w:rsidR="006C6F09">
        <w:t xml:space="preserve"> </w:t>
      </w:r>
      <w:r>
        <w:t>list,</w:t>
      </w:r>
      <w:r w:rsidR="006C6F09">
        <w:t xml:space="preserve"> </w:t>
      </w:r>
      <w:r>
        <w:t>website</w:t>
      </w:r>
      <w:r w:rsidR="006C6F09">
        <w:t xml:space="preserve"> </w:t>
      </w:r>
      <w:r>
        <w:t>notice,</w:t>
      </w:r>
      <w:r w:rsidR="006C6F09">
        <w:t xml:space="preserve"> </w:t>
      </w:r>
      <w:r>
        <w:t>and</w:t>
      </w:r>
      <w:r w:rsidR="006C6F09">
        <w:t xml:space="preserve"> </w:t>
      </w:r>
      <w:r>
        <w:t>documentation</w:t>
      </w:r>
      <w:r w:rsidR="006C6F09">
        <w:t xml:space="preserve"> </w:t>
      </w:r>
      <w:r>
        <w:t>of</w:t>
      </w:r>
      <w:r w:rsidR="006C6F09">
        <w:t xml:space="preserve"> </w:t>
      </w:r>
      <w:r>
        <w:t>additional</w:t>
      </w:r>
      <w:r w:rsidR="006C6F09">
        <w:t xml:space="preserve"> </w:t>
      </w:r>
      <w:r>
        <w:t>outreach</w:t>
      </w:r>
      <w:r w:rsidR="006C6F09">
        <w:t xml:space="preserve"> </w:t>
      </w:r>
      <w:r>
        <w:t>methods</w:t>
      </w:r>
      <w:r w:rsidR="006C6F09">
        <w:t xml:space="preserve"> </w:t>
      </w:r>
      <w:r>
        <w:t>used</w:t>
      </w:r>
      <w:r w:rsidR="006C6F09">
        <w:t xml:space="preserve"> </w:t>
      </w:r>
      <w:r>
        <w:t>to</w:t>
      </w:r>
      <w:r w:rsidR="006C6F09">
        <w:t xml:space="preserve"> </w:t>
      </w:r>
      <w:r>
        <w:t>inform</w:t>
      </w:r>
      <w:r w:rsidR="006C6F09">
        <w:t xml:space="preserve"> </w:t>
      </w:r>
      <w:r>
        <w:t>the</w:t>
      </w:r>
      <w:r w:rsidR="006C6F09">
        <w:t xml:space="preserve"> </w:t>
      </w:r>
      <w:r>
        <w:t>public,</w:t>
      </w:r>
      <w:r w:rsidR="006C6F09">
        <w:t xml:space="preserve"> </w:t>
      </w:r>
      <w:r>
        <w:t>agencies,</w:t>
      </w:r>
      <w:r w:rsidR="006C6F09">
        <w:t xml:space="preserve"> </w:t>
      </w:r>
      <w:r>
        <w:t>and</w:t>
      </w:r>
      <w:r w:rsidR="006C6F09">
        <w:t xml:space="preserve"> </w:t>
      </w:r>
      <w:r>
        <w:t>elected</w:t>
      </w:r>
      <w:r w:rsidR="006C6F09">
        <w:t xml:space="preserve"> </w:t>
      </w:r>
      <w:r>
        <w:t>officials.</w:t>
      </w:r>
      <w:r w:rsidR="006C6F09">
        <w:t xml:space="preserve"> </w:t>
      </w:r>
      <w:r>
        <w:t>For</w:t>
      </w:r>
      <w:r w:rsidR="006C6F09">
        <w:t xml:space="preserve"> </w:t>
      </w:r>
      <w:r>
        <w:t>an</w:t>
      </w:r>
      <w:r w:rsidR="006C6F09">
        <w:t xml:space="preserve"> </w:t>
      </w:r>
      <w:r>
        <w:t>EA,</w:t>
      </w:r>
      <w:r w:rsidR="006C6F09">
        <w:t xml:space="preserve"> </w:t>
      </w:r>
      <w:r>
        <w:t>this</w:t>
      </w:r>
      <w:r w:rsidR="006C6F09">
        <w:t xml:space="preserve"> </w:t>
      </w:r>
      <w:r>
        <w:t>includes</w:t>
      </w:r>
      <w:r w:rsidR="006C6F09">
        <w:t xml:space="preserve"> </w:t>
      </w:r>
      <w:r>
        <w:t>the</w:t>
      </w:r>
      <w:r w:rsidR="006C6F09">
        <w:t xml:space="preserve"> </w:t>
      </w:r>
      <w:r>
        <w:t>emails</w:t>
      </w:r>
      <w:r w:rsidR="006C6F09">
        <w:t xml:space="preserve"> </w:t>
      </w:r>
      <w:r>
        <w:t>transmitting</w:t>
      </w:r>
      <w:r w:rsidR="006C6F09">
        <w:t xml:space="preserve"> </w:t>
      </w:r>
      <w:r>
        <w:t>the</w:t>
      </w:r>
      <w:r w:rsidR="006C6F09">
        <w:t xml:space="preserve"> </w:t>
      </w:r>
      <w:r>
        <w:t>combined</w:t>
      </w:r>
      <w:r w:rsidR="006C6F09">
        <w:t xml:space="preserve"> </w:t>
      </w:r>
      <w:r>
        <w:t>notice</w:t>
      </w:r>
      <w:r w:rsidR="006C6F09">
        <w:t xml:space="preserve"> </w:t>
      </w:r>
      <w:r>
        <w:t>of</w:t>
      </w:r>
      <w:r w:rsidR="006C6F09">
        <w:t xml:space="preserve"> </w:t>
      </w:r>
      <w:r>
        <w:t>availability</w:t>
      </w:r>
      <w:r w:rsidR="006C6F09">
        <w:t xml:space="preserve"> </w:t>
      </w:r>
      <w:r>
        <w:t>of</w:t>
      </w:r>
      <w:r w:rsidR="006C6F09">
        <w:t xml:space="preserve"> </w:t>
      </w:r>
      <w:r>
        <w:t>draft</w:t>
      </w:r>
      <w:r w:rsidR="006C6F09">
        <w:t xml:space="preserve"> </w:t>
      </w:r>
      <w:r>
        <w:t>EA</w:t>
      </w:r>
      <w:r w:rsidR="006C6F09">
        <w:t xml:space="preserve"> </w:t>
      </w:r>
      <w:r>
        <w:t>and</w:t>
      </w:r>
      <w:r w:rsidR="006C6F09">
        <w:t xml:space="preserve"> </w:t>
      </w:r>
      <w:r>
        <w:t>notice</w:t>
      </w:r>
      <w:r w:rsidR="006C6F09">
        <w:t xml:space="preserve"> </w:t>
      </w:r>
      <w:r>
        <w:t>of</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r>
        <w:t>to</w:t>
      </w:r>
      <w:r w:rsidR="006C6F09">
        <w:t xml:space="preserve"> </w:t>
      </w:r>
      <w:r>
        <w:t>TCEQ</w:t>
      </w:r>
      <w:r w:rsidR="006C6F09">
        <w:t xml:space="preserve"> </w:t>
      </w:r>
      <w:r>
        <w:t>and</w:t>
      </w:r>
      <w:r w:rsidR="006C6F09">
        <w:t xml:space="preserve"> </w:t>
      </w:r>
      <w:r>
        <w:t>TPWD.</w:t>
      </w:r>
      <w:r w:rsidR="006C6F09">
        <w:t xml:space="preserve"> </w:t>
      </w:r>
      <w:r>
        <w:t>Redact</w:t>
      </w:r>
      <w:r w:rsidR="006C6F09">
        <w:t xml:space="preserve"> </w:t>
      </w:r>
      <w:r>
        <w:t>any</w:t>
      </w:r>
      <w:r w:rsidR="006C6F09">
        <w:t xml:space="preserve"> </w:t>
      </w:r>
      <w:r>
        <w:t>email</w:t>
      </w:r>
      <w:r w:rsidR="006C6F09">
        <w:t xml:space="preserve"> </w:t>
      </w:r>
      <w:r>
        <w:t>addresses</w:t>
      </w:r>
      <w:r w:rsidR="006C6F09">
        <w:t xml:space="preserve"> </w:t>
      </w:r>
      <w:r>
        <w:t>for</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in</w:t>
      </w:r>
      <w:r w:rsidR="006C6F09">
        <w:t xml:space="preserve"> </w:t>
      </w:r>
      <w:r>
        <w:t>accordance</w:t>
      </w:r>
      <w:r w:rsidR="006C6F09">
        <w:t xml:space="preserve"> </w:t>
      </w:r>
      <w:r>
        <w:t>with</w:t>
      </w:r>
      <w:r w:rsidR="006C6F09">
        <w:t xml:space="preserve"> </w:t>
      </w:r>
      <w:r>
        <w:t>Texas</w:t>
      </w:r>
      <w:r w:rsidR="006C6F09">
        <w:t xml:space="preserve"> </w:t>
      </w:r>
      <w:r>
        <w:t>Government</w:t>
      </w:r>
      <w:r w:rsidR="006C6F09">
        <w:t xml:space="preserve"> </w:t>
      </w:r>
      <w:r>
        <w:t>Code</w:t>
      </w:r>
      <w:r w:rsidR="006C6F09">
        <w:t xml:space="preserve"> </w:t>
      </w:r>
      <w:r>
        <w:t>552.137(a)</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lastRenderedPageBreak/>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rsidRPr="00263E76">
        <w:t>Texas</w:t>
      </w:r>
      <w:r w:rsidR="006C6F09">
        <w:t xml:space="preserve"> </w:t>
      </w:r>
      <w:r w:rsidRPr="00263E76">
        <w:t>Attorney</w:t>
      </w:r>
      <w:r w:rsidR="006C6F09">
        <w:t xml:space="preserve"> </w:t>
      </w:r>
      <w:r w:rsidRPr="00263E76">
        <w:t>General’s</w:t>
      </w:r>
      <w:r w:rsidR="006C6F09">
        <w:t xml:space="preserve"> </w:t>
      </w:r>
      <w:r w:rsidRPr="00263E76">
        <w:t>2020</w:t>
      </w:r>
      <w:r w:rsidR="006C6F09">
        <w:t xml:space="preserve"> </w:t>
      </w:r>
      <w:r w:rsidRPr="00263E76">
        <w:t>Public</w:t>
      </w:r>
      <w:r w:rsidR="006C6F09">
        <w:t xml:space="preserve"> </w:t>
      </w:r>
      <w:r w:rsidRPr="00263E76">
        <w:t>Information</w:t>
      </w:r>
      <w:r w:rsidR="006C6F09">
        <w:t xml:space="preserve"> </w:t>
      </w:r>
      <w:r w:rsidRPr="00263E76">
        <w:t>Act</w:t>
      </w:r>
      <w:r w:rsidR="006C6F09">
        <w:t xml:space="preserve"> </w:t>
      </w:r>
      <w:r w:rsidRPr="00263E76">
        <w:t>Handbook</w:t>
      </w:r>
      <w:r w:rsidR="006C6F09">
        <w:t xml:space="preserve"> </w:t>
      </w:r>
      <w:r>
        <w:t>at</w:t>
      </w:r>
      <w:r w:rsidR="006C6F09">
        <w:t xml:space="preserve"> </w:t>
      </w:r>
      <w:r>
        <w:t>pages</w:t>
      </w:r>
      <w:r w:rsidR="006C6F09">
        <w:t xml:space="preserve"> </w:t>
      </w:r>
      <w:r>
        <w:t>161-162).</w:t>
      </w:r>
      <w:r w:rsidR="00135456">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t>to</w:t>
      </w:r>
      <w:r w:rsidR="006C6F09">
        <w:t xml:space="preserve"> </w:t>
      </w:r>
      <w:r>
        <w:t>redact</w:t>
      </w:r>
      <w:r w:rsidR="006C6F09">
        <w:t xml:space="preserve"> </w:t>
      </w:r>
      <w:r>
        <w:t>physical</w:t>
      </w:r>
      <w:r w:rsidR="006C6F09">
        <w:t xml:space="preserve"> </w:t>
      </w:r>
      <w:r>
        <w:t>addresses.</w:t>
      </w:r>
      <w:r w:rsidR="006C6F09">
        <w:t xml:space="preserve"> </w:t>
      </w:r>
      <w:proofErr w:type="gramStart"/>
      <w:r>
        <w:t>Redaction</w:t>
      </w:r>
      <w:proofErr w:type="gramEnd"/>
      <w:r w:rsidR="006C6F09">
        <w:t xml:space="preserve"> </w:t>
      </w:r>
      <w:r>
        <w:t>of</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done</w:t>
      </w:r>
      <w:r w:rsidR="006C6F09">
        <w:t xml:space="preserve"> </w:t>
      </w:r>
      <w:r>
        <w:t>on</w:t>
      </w:r>
      <w:r w:rsidR="006C6F09">
        <w:t xml:space="preserve"> </w:t>
      </w:r>
      <w:r>
        <w:t>a</w:t>
      </w:r>
      <w:r w:rsidR="006C6F09">
        <w:t xml:space="preserve"> </w:t>
      </w:r>
      <w:r>
        <w:t>discretionary</w:t>
      </w:r>
      <w:r w:rsidR="006C6F09">
        <w:t xml:space="preserve"> </w:t>
      </w:r>
      <w:r>
        <w:t>basis.</w:t>
      </w:r>
    </w:p>
    <w:p w14:paraId="57C7B686" w14:textId="4032B0CB" w:rsidR="00457754" w:rsidRDefault="00457754" w:rsidP="0087244D">
      <w:pPr>
        <w:pStyle w:val="ListNumber"/>
        <w:numPr>
          <w:ilvl w:val="0"/>
          <w:numId w:val="10"/>
        </w:numPr>
        <w:ind w:left="360"/>
      </w:pPr>
      <w:r>
        <w:t>Certification</w:t>
      </w:r>
      <w:r w:rsidR="006C6F09">
        <w:t xml:space="preserve"> </w:t>
      </w:r>
    </w:p>
    <w:p w14:paraId="23B2100B" w14:textId="108A6C21" w:rsidR="00457754" w:rsidRDefault="00457754" w:rsidP="002F7235">
      <w:pPr>
        <w:pStyle w:val="ListNumber"/>
        <w:numPr>
          <w:ilvl w:val="0"/>
          <w:numId w:val="0"/>
        </w:numPr>
      </w:pPr>
      <w:r>
        <w:t>If</w:t>
      </w:r>
      <w:r w:rsidR="006C6F09">
        <w:t xml:space="preserve"> </w:t>
      </w:r>
      <w:r>
        <w:t>the</w:t>
      </w:r>
      <w:r w:rsidR="006C6F09">
        <w:t xml:space="preserve"> </w:t>
      </w:r>
      <w:r>
        <w:t>threshold</w:t>
      </w:r>
      <w:r w:rsidR="006C6F09">
        <w:t xml:space="preserve"> </w:t>
      </w:r>
      <w:r>
        <w:t>for</w:t>
      </w:r>
      <w:r w:rsidR="006C6F09">
        <w:t xml:space="preserve"> </w:t>
      </w:r>
      <w:r>
        <w:t>holding</w:t>
      </w:r>
      <w:r w:rsidR="006C6F09">
        <w:t xml:space="preserve"> </w:t>
      </w:r>
      <w:r>
        <w:t>a</w:t>
      </w:r>
      <w:r w:rsidR="006C6F09">
        <w:t xml:space="preserve"> </w:t>
      </w:r>
      <w:r>
        <w:t>hearing</w:t>
      </w:r>
      <w:r w:rsidR="006C6F09">
        <w:t xml:space="preserve"> </w:t>
      </w:r>
      <w:r>
        <w:t>is</w:t>
      </w:r>
      <w:r w:rsidR="006C6F09">
        <w:t xml:space="preserve"> </w:t>
      </w:r>
      <w:r>
        <w:t>not</w:t>
      </w:r>
      <w:r w:rsidR="006C6F09">
        <w:t xml:space="preserve"> </w:t>
      </w:r>
      <w:r>
        <w:t>met,</w:t>
      </w:r>
      <w:r w:rsidR="006C6F09">
        <w:t xml:space="preserve"> </w:t>
      </w:r>
      <w:r>
        <w:t>the</w:t>
      </w:r>
      <w:r w:rsidR="006C6F09">
        <w:t xml:space="preserve"> </w:t>
      </w:r>
      <w:r>
        <w:t>project</w:t>
      </w:r>
      <w:r w:rsidR="006C6F09">
        <w:t xml:space="preserve"> </w:t>
      </w:r>
      <w:r>
        <w:t>sponsor</w:t>
      </w:r>
      <w:r w:rsidR="006C6F09">
        <w:t xml:space="preserve"> </w:t>
      </w:r>
      <w:r>
        <w:t>submits</w:t>
      </w:r>
      <w:r w:rsidR="006C6F09">
        <w:t xml:space="preserve"> </w:t>
      </w:r>
      <w:r>
        <w:t>the</w:t>
      </w:r>
      <w:r w:rsidR="006C6F09">
        <w:t xml:space="preserve"> </w:t>
      </w:r>
      <w:r>
        <w:t>original</w:t>
      </w:r>
      <w:r w:rsidR="006C6F09">
        <w:t xml:space="preserve"> </w:t>
      </w:r>
      <w:r>
        <w:t>certification</w:t>
      </w:r>
      <w:r w:rsidR="006C6F09">
        <w:t xml:space="preserve"> </w:t>
      </w:r>
      <w:r>
        <w:t>of</w:t>
      </w:r>
      <w:r w:rsidR="006C6F09">
        <w:t xml:space="preserve"> </w:t>
      </w:r>
      <w:r>
        <w:t>the</w:t>
      </w:r>
      <w:r w:rsidR="006C6F09">
        <w:t xml:space="preserve"> </w:t>
      </w:r>
      <w:r>
        <w:t>public</w:t>
      </w:r>
      <w:r w:rsidR="006C6F09">
        <w:t xml:space="preserve"> </w:t>
      </w:r>
      <w:r>
        <w:t>involvement</w:t>
      </w:r>
      <w:r w:rsidR="006C6F09">
        <w:t xml:space="preserve"> </w:t>
      </w:r>
      <w:r>
        <w:t>process</w:t>
      </w:r>
      <w:r w:rsidR="006C6F09">
        <w:t xml:space="preserve"> </w:t>
      </w:r>
      <w:r>
        <w:t>signed</w:t>
      </w:r>
      <w:r w:rsidR="006C6F09">
        <w:t xml:space="preserve"> </w:t>
      </w:r>
      <w:r>
        <w:t>by</w:t>
      </w:r>
      <w:r w:rsidR="006C6F09">
        <w:t xml:space="preserve"> </w:t>
      </w:r>
      <w:r>
        <w:t>an</w:t>
      </w:r>
      <w:r w:rsidR="006C6F09">
        <w:t xml:space="preserve"> </w:t>
      </w:r>
      <w:r>
        <w:t>appropriately</w:t>
      </w:r>
      <w:r w:rsidR="006C6F09">
        <w:t xml:space="preserve"> </w:t>
      </w:r>
      <w:r>
        <w:t>designated</w:t>
      </w:r>
      <w:r w:rsidR="006C6F09">
        <w:t xml:space="preserve"> </w:t>
      </w:r>
      <w:r>
        <w:t>TxDOT</w:t>
      </w:r>
      <w:r w:rsidR="006C6F09">
        <w:t xml:space="preserve"> </w:t>
      </w:r>
      <w:r>
        <w:t>employee</w:t>
      </w:r>
      <w:r w:rsidR="006C6F09">
        <w:t xml:space="preserve"> </w:t>
      </w:r>
      <w:r>
        <w:t>to</w:t>
      </w:r>
      <w:r w:rsidR="006C6F09">
        <w:t xml:space="preserve"> </w:t>
      </w:r>
      <w:r>
        <w:t>the</w:t>
      </w:r>
      <w:r w:rsidR="006C6F09">
        <w:t xml:space="preserve"> </w:t>
      </w:r>
      <w:r>
        <w:t>department</w:t>
      </w:r>
      <w:r w:rsidR="006C6F09">
        <w:t xml:space="preserve"> </w:t>
      </w:r>
      <w:r>
        <w:t>delegate.</w:t>
      </w:r>
      <w:r w:rsidR="006C6F09">
        <w:t xml:space="preserve"> </w:t>
      </w:r>
      <w:r>
        <w:t>The</w:t>
      </w:r>
      <w:r w:rsidR="006C6F09">
        <w:t xml:space="preserve"> </w:t>
      </w:r>
      <w:r>
        <w:t>certification</w:t>
      </w:r>
      <w:r w:rsidR="006C6F09">
        <w:t xml:space="preserve"> </w:t>
      </w:r>
      <w:r>
        <w:t>must</w:t>
      </w:r>
      <w:r w:rsidR="006C6F09">
        <w:t xml:space="preserve"> </w:t>
      </w:r>
      <w:r>
        <w:t>include</w:t>
      </w:r>
      <w:r w:rsidR="006C6F09">
        <w:t xml:space="preserve"> </w:t>
      </w:r>
      <w:r>
        <w:t>the</w:t>
      </w:r>
      <w:r w:rsidR="006C6F09">
        <w:t xml:space="preserve"> </w:t>
      </w:r>
      <w:r>
        <w:t>following</w:t>
      </w:r>
      <w:r w:rsidR="006C6F09">
        <w:t xml:space="preserve"> </w:t>
      </w:r>
      <w:r>
        <w:t>statements</w:t>
      </w:r>
      <w:r w:rsidR="006C6F09">
        <w:t xml:space="preserve"> </w:t>
      </w:r>
      <w:r>
        <w:t>and</w:t>
      </w:r>
      <w:r w:rsidR="006C6F09">
        <w:t xml:space="preserve"> </w:t>
      </w:r>
      <w:r>
        <w:t>be</w:t>
      </w:r>
      <w:r w:rsidR="006C6F09">
        <w:t xml:space="preserve"> </w:t>
      </w:r>
      <w:r>
        <w:t>retained</w:t>
      </w:r>
      <w:r w:rsidR="006C6F09">
        <w:t xml:space="preserve"> </w:t>
      </w:r>
      <w:r>
        <w:t>in</w:t>
      </w:r>
      <w:r w:rsidR="006C6F09">
        <w:t xml:space="preserve"> </w:t>
      </w:r>
      <w:r>
        <w:t>the</w:t>
      </w:r>
      <w:r w:rsidR="006C6F09">
        <w:t xml:space="preserve"> </w:t>
      </w:r>
      <w:r>
        <w:t>official</w:t>
      </w:r>
      <w:r w:rsidR="006C6F09">
        <w:t xml:space="preserve"> </w:t>
      </w:r>
      <w:r>
        <w:t>project</w:t>
      </w:r>
      <w:r w:rsidR="006C6F09">
        <w:t xml:space="preserve"> </w:t>
      </w:r>
      <w:r>
        <w:t>file.</w:t>
      </w:r>
      <w:r w:rsidR="006C6F09">
        <w:t xml:space="preserve"> </w:t>
      </w:r>
    </w:p>
    <w:p w14:paraId="011E35EA" w14:textId="63AD0AD3" w:rsidR="00457754" w:rsidRDefault="00457754" w:rsidP="00457754">
      <w:pPr>
        <w:pStyle w:val="ListBullet"/>
      </w:pPr>
      <w:r>
        <w:t>An</w:t>
      </w:r>
      <w:r w:rsidR="006C6F09">
        <w:t xml:space="preserve"> </w:t>
      </w:r>
      <w:r>
        <w:t>opportunity</w:t>
      </w:r>
      <w:r w:rsidR="006C6F09">
        <w:t xml:space="preserve"> </w:t>
      </w:r>
      <w:r>
        <w:t>has</w:t>
      </w:r>
      <w:r w:rsidR="006C6F09">
        <w:t xml:space="preserve"> </w:t>
      </w:r>
      <w:r>
        <w:t>been</w:t>
      </w:r>
      <w:r w:rsidR="006C6F09">
        <w:t xml:space="preserve"> </w:t>
      </w:r>
      <w:proofErr w:type="gramStart"/>
      <w:r>
        <w:t>afforded</w:t>
      </w:r>
      <w:proofErr w:type="gramEnd"/>
      <w:r w:rsidR="006C6F09">
        <w:t xml:space="preserve"> </w:t>
      </w:r>
      <w:r>
        <w:t>the</w:t>
      </w:r>
      <w:r w:rsidR="006C6F09">
        <w:t xml:space="preserve"> </w:t>
      </w:r>
      <w:r>
        <w:t>public</w:t>
      </w:r>
      <w:r w:rsidR="006C6F09">
        <w:t xml:space="preserve"> </w:t>
      </w:r>
      <w:r>
        <w:t>to</w:t>
      </w:r>
      <w:r w:rsidR="006C6F09">
        <w:t xml:space="preserve"> </w:t>
      </w:r>
      <w:r>
        <w:t>request</w:t>
      </w:r>
      <w:r w:rsidR="006C6F09">
        <w:t xml:space="preserve"> </w:t>
      </w:r>
      <w:r>
        <w:t>a</w:t>
      </w:r>
      <w:r w:rsidR="006C6F09">
        <w:t xml:space="preserve"> </w:t>
      </w:r>
      <w:r>
        <w:t>hearing</w:t>
      </w:r>
      <w:r w:rsidR="006C6F09">
        <w:t xml:space="preserve"> </w:t>
      </w:r>
      <w:r>
        <w:t>addressing</w:t>
      </w:r>
      <w:r w:rsidR="006C6F09">
        <w:t xml:space="preserve"> </w:t>
      </w:r>
      <w:r>
        <w:t>the</w:t>
      </w:r>
      <w:r w:rsidR="006C6F09">
        <w:t xml:space="preserve"> </w:t>
      </w:r>
      <w:r>
        <w:t>project</w:t>
      </w:r>
      <w:r w:rsidR="006C6F09">
        <w:t xml:space="preserve"> </w:t>
      </w:r>
      <w:r>
        <w:t>location</w:t>
      </w:r>
      <w:r w:rsidR="006C6F09">
        <w:t xml:space="preserve"> </w:t>
      </w:r>
      <w:r>
        <w:t>and</w:t>
      </w:r>
      <w:r w:rsidR="006C6F09">
        <w:t xml:space="preserve"> </w:t>
      </w:r>
      <w:r>
        <w:t>design.</w:t>
      </w:r>
      <w:r w:rsidR="006C6F09">
        <w:t xml:space="preserve"> </w:t>
      </w:r>
    </w:p>
    <w:p w14:paraId="7F070328" w14:textId="6E80B5CC" w:rsidR="00457754" w:rsidRDefault="00457754" w:rsidP="00457754">
      <w:pPr>
        <w:pStyle w:val="ListBullet"/>
      </w:pPr>
      <w:r>
        <w:t>Either</w:t>
      </w:r>
      <w:r w:rsidR="006C6F09">
        <w:t xml:space="preserve"> </w:t>
      </w:r>
      <w:r>
        <w:t>less</w:t>
      </w:r>
      <w:r w:rsidR="006C6F09">
        <w:t xml:space="preserve"> </w:t>
      </w:r>
      <w:r>
        <w:t>than</w:t>
      </w:r>
      <w:r w:rsidR="006C6F09">
        <w:t xml:space="preserve"> </w:t>
      </w:r>
      <w:r>
        <w:t>ten</w:t>
      </w:r>
      <w:r w:rsidR="006C6F09">
        <w:t xml:space="preserve"> </w:t>
      </w:r>
      <w:r>
        <w:t>public</w:t>
      </w:r>
      <w:r w:rsidR="006C6F09">
        <w:t xml:space="preserve"> </w:t>
      </w:r>
      <w:r>
        <w:t>hearing</w:t>
      </w:r>
      <w:r w:rsidR="006C6F09">
        <w:t xml:space="preserve"> </w:t>
      </w:r>
      <w:r>
        <w:t>requests</w:t>
      </w:r>
      <w:r w:rsidR="006C6F09">
        <w:t xml:space="preserve"> </w:t>
      </w:r>
      <w:r>
        <w:t>were</w:t>
      </w:r>
      <w:r w:rsidR="006C6F09">
        <w:t xml:space="preserve"> </w:t>
      </w:r>
      <w:r>
        <w:t>received,</w:t>
      </w:r>
      <w:r w:rsidR="006C6F09">
        <w:t xml:space="preserve"> </w:t>
      </w:r>
      <w:r>
        <w:t>or</w:t>
      </w:r>
      <w:r w:rsidR="006C6F09">
        <w:t xml:space="preserve"> </w:t>
      </w:r>
      <w:r>
        <w:t>ten</w:t>
      </w:r>
      <w:r w:rsidR="006C6F09">
        <w:t xml:space="preserve"> </w:t>
      </w:r>
      <w:r>
        <w:t>or</w:t>
      </w:r>
      <w:r w:rsidR="006C6F09">
        <w:t xml:space="preserve"> </w:t>
      </w:r>
      <w:r>
        <w:t>more</w:t>
      </w:r>
      <w:r w:rsidR="006C6F09">
        <w:t xml:space="preserve"> </w:t>
      </w:r>
      <w:r>
        <w:t>public</w:t>
      </w:r>
      <w:r w:rsidR="006C6F09">
        <w:t xml:space="preserve"> </w:t>
      </w:r>
      <w:r>
        <w:t>hearing</w:t>
      </w:r>
      <w:r w:rsidR="006C6F09">
        <w:t xml:space="preserve"> </w:t>
      </w:r>
      <w:r>
        <w:t>requests</w:t>
      </w:r>
      <w:r w:rsidR="006C6F09">
        <w:t xml:space="preserve"> </w:t>
      </w:r>
      <w:r>
        <w:t>were</w:t>
      </w:r>
      <w:r w:rsidR="006C6F09">
        <w:t xml:space="preserve"> </w:t>
      </w:r>
      <w:r>
        <w:t>received,</w:t>
      </w:r>
      <w:r w:rsidR="006C6F09">
        <w:t xml:space="preserve"> </w:t>
      </w:r>
      <w:r>
        <w:t>but</w:t>
      </w:r>
      <w:r w:rsidR="006C6F09">
        <w:t xml:space="preserve"> </w:t>
      </w:r>
      <w:r>
        <w:t>one</w:t>
      </w:r>
      <w:r w:rsidR="006C6F09">
        <w:t xml:space="preserve"> </w:t>
      </w:r>
      <w:r>
        <w:t>or</w:t>
      </w:r>
      <w:r w:rsidR="006C6F09">
        <w:t xml:space="preserve"> </w:t>
      </w:r>
      <w:r>
        <w:t>more</w:t>
      </w:r>
      <w:r w:rsidR="006C6F09">
        <w:t xml:space="preserve"> </w:t>
      </w:r>
      <w:r>
        <w:t>were</w:t>
      </w:r>
      <w:r w:rsidR="006C6F09">
        <w:t xml:space="preserve"> </w:t>
      </w:r>
      <w:r>
        <w:t>retracted</w:t>
      </w:r>
      <w:r w:rsidR="006C6F09">
        <w:t xml:space="preserve"> </w:t>
      </w:r>
      <w:r>
        <w:t>after</w:t>
      </w:r>
      <w:r w:rsidR="006C6F09">
        <w:t xml:space="preserve"> </w:t>
      </w:r>
      <w:r>
        <w:t>concerns</w:t>
      </w:r>
      <w:r w:rsidR="006C6F09">
        <w:t xml:space="preserve"> </w:t>
      </w:r>
      <w:r>
        <w:t>were</w:t>
      </w:r>
      <w:r w:rsidR="006C6F09">
        <w:t xml:space="preserve"> </w:t>
      </w:r>
      <w:r>
        <w:t>addressed</w:t>
      </w:r>
      <w:r w:rsidR="006C6F09">
        <w:t xml:space="preserve"> </w:t>
      </w:r>
      <w:r>
        <w:t>and</w:t>
      </w:r>
      <w:r w:rsidR="006C6F09">
        <w:t xml:space="preserve"> </w:t>
      </w:r>
      <w:r>
        <w:t>satisfied</w:t>
      </w:r>
      <w:r w:rsidR="006C6F09">
        <w:t xml:space="preserve"> </w:t>
      </w:r>
      <w:r>
        <w:t>such</w:t>
      </w:r>
      <w:r w:rsidR="006C6F09">
        <w:t xml:space="preserve"> </w:t>
      </w:r>
      <w:r>
        <w:t>that</w:t>
      </w:r>
      <w:r w:rsidR="006C6F09">
        <w:t xml:space="preserve"> </w:t>
      </w:r>
      <w:r>
        <w:t>less</w:t>
      </w:r>
      <w:r w:rsidR="006C6F09">
        <w:t xml:space="preserve"> </w:t>
      </w:r>
      <w:r>
        <w:t>than</w:t>
      </w:r>
      <w:r w:rsidR="006C6F09">
        <w:t xml:space="preserve"> </w:t>
      </w:r>
      <w:r>
        <w:t>ten</w:t>
      </w:r>
      <w:r w:rsidR="006C6F09">
        <w:t xml:space="preserve"> </w:t>
      </w:r>
      <w:r>
        <w:t>pending</w:t>
      </w:r>
      <w:r w:rsidR="006C6F09">
        <w:t xml:space="preserve"> </w:t>
      </w:r>
      <w:r>
        <w:t>requests</w:t>
      </w:r>
      <w:r w:rsidR="006C6F09">
        <w:t xml:space="preserve"> </w:t>
      </w:r>
      <w:r>
        <w:t>remain.</w:t>
      </w:r>
    </w:p>
    <w:p w14:paraId="4B111BBB" w14:textId="2D57EA97" w:rsidR="00457754" w:rsidRDefault="00457754" w:rsidP="00457754">
      <w:pPr>
        <w:pStyle w:val="ListBullet"/>
      </w:pPr>
      <w:r>
        <w:t>Either</w:t>
      </w:r>
      <w:r w:rsidR="006C6F09">
        <w:t xml:space="preserve"> </w:t>
      </w:r>
      <w:r>
        <w:t>no</w:t>
      </w:r>
      <w:r w:rsidR="006C6F09">
        <w:t xml:space="preserve"> </w:t>
      </w:r>
      <w:r>
        <w:t>request</w:t>
      </w:r>
      <w:r w:rsidR="006C6F09">
        <w:t xml:space="preserve"> </w:t>
      </w:r>
      <w:r>
        <w:t>from</w:t>
      </w:r>
      <w:r w:rsidR="006C6F09">
        <w:t xml:space="preserve"> </w:t>
      </w:r>
      <w:r>
        <w:t>an</w:t>
      </w:r>
      <w:r w:rsidR="006C6F09">
        <w:t xml:space="preserve"> </w:t>
      </w:r>
      <w:r>
        <w:t>agency</w:t>
      </w:r>
      <w:r w:rsidR="006C6F09">
        <w:t xml:space="preserve"> </w:t>
      </w:r>
      <w:r>
        <w:t>with</w:t>
      </w:r>
      <w:r w:rsidR="006C6F09">
        <w:t xml:space="preserve"> </w:t>
      </w:r>
      <w:r>
        <w:t>jurisdiction</w:t>
      </w:r>
      <w:r w:rsidR="006C6F09">
        <w:t xml:space="preserve"> </w:t>
      </w:r>
      <w:r>
        <w:t>supported</w:t>
      </w:r>
      <w:r w:rsidR="006C6F09">
        <w:t xml:space="preserve"> </w:t>
      </w:r>
      <w:r>
        <w:t>with</w:t>
      </w:r>
      <w:r w:rsidR="006C6F09">
        <w:t xml:space="preserve"> </w:t>
      </w:r>
      <w:r>
        <w:t>reasons</w:t>
      </w:r>
      <w:r w:rsidR="006C6F09">
        <w:t xml:space="preserve"> </w:t>
      </w:r>
      <w:r>
        <w:t>why</w:t>
      </w:r>
      <w:r w:rsidR="006C6F09">
        <w:t xml:space="preserve"> </w:t>
      </w:r>
      <w:r>
        <w:t>a</w:t>
      </w:r>
      <w:r w:rsidR="006C6F09">
        <w:t xml:space="preserve"> </w:t>
      </w:r>
      <w:r>
        <w:t>hearing</w:t>
      </w:r>
      <w:r w:rsidR="006C6F09">
        <w:t xml:space="preserve"> </w:t>
      </w:r>
      <w:r>
        <w:t>will</w:t>
      </w:r>
      <w:r w:rsidR="006C6F09">
        <w:t xml:space="preserve"> </w:t>
      </w:r>
      <w:r>
        <w:t>be</w:t>
      </w:r>
      <w:r w:rsidR="006C6F09">
        <w:t xml:space="preserve"> </w:t>
      </w:r>
      <w:r>
        <w:t>helpful</w:t>
      </w:r>
      <w:r w:rsidR="006C6F09">
        <w:t xml:space="preserve"> </w:t>
      </w:r>
      <w:r>
        <w:t>were</w:t>
      </w:r>
      <w:r w:rsidR="006C6F09">
        <w:t xml:space="preserve"> </w:t>
      </w:r>
      <w:r>
        <w:t>received,</w:t>
      </w:r>
      <w:r w:rsidR="006C6F09">
        <w:t xml:space="preserve"> </w:t>
      </w:r>
      <w:r>
        <w:t>or</w:t>
      </w:r>
      <w:r w:rsidR="006C6F09">
        <w:t xml:space="preserve"> </w:t>
      </w:r>
      <w:r>
        <w:t>one</w:t>
      </w:r>
      <w:r w:rsidR="006C6F09">
        <w:t xml:space="preserve"> </w:t>
      </w:r>
      <w:r>
        <w:t>or</w:t>
      </w:r>
      <w:r w:rsidR="006C6F09">
        <w:t xml:space="preserve"> </w:t>
      </w:r>
      <w:r>
        <w:t>more</w:t>
      </w:r>
      <w:r w:rsidR="006C6F09">
        <w:t xml:space="preserve"> </w:t>
      </w:r>
      <w:r>
        <w:t>such</w:t>
      </w:r>
      <w:r w:rsidR="006C6F09">
        <w:t xml:space="preserve"> </w:t>
      </w:r>
      <w:r>
        <w:t>requests</w:t>
      </w:r>
      <w:r w:rsidR="006C6F09">
        <w:t xml:space="preserve"> </w:t>
      </w:r>
      <w:r>
        <w:t>were</w:t>
      </w:r>
      <w:r w:rsidR="006C6F09">
        <w:t xml:space="preserve"> </w:t>
      </w:r>
      <w:r>
        <w:t>received,</w:t>
      </w:r>
      <w:r w:rsidR="006C6F09">
        <w:t xml:space="preserve"> </w:t>
      </w:r>
      <w:r>
        <w:t>but</w:t>
      </w:r>
      <w:r w:rsidR="006C6F09">
        <w:t xml:space="preserve"> </w:t>
      </w:r>
      <w:r>
        <w:t>all</w:t>
      </w:r>
      <w:r w:rsidR="006C6F09">
        <w:t xml:space="preserve"> </w:t>
      </w:r>
      <w:r>
        <w:t>have</w:t>
      </w:r>
      <w:r w:rsidR="006C6F09">
        <w:t xml:space="preserve"> </w:t>
      </w:r>
      <w:r>
        <w:t>been</w:t>
      </w:r>
      <w:r w:rsidR="006C6F09">
        <w:t xml:space="preserve"> </w:t>
      </w:r>
      <w:r>
        <w:t>retracted.</w:t>
      </w:r>
    </w:p>
    <w:p w14:paraId="6A61A03C" w14:textId="7C4A335B" w:rsidR="00457754" w:rsidRDefault="00457754" w:rsidP="00457754">
      <w:pPr>
        <w:pStyle w:val="ListBullet"/>
      </w:pPr>
      <w:r>
        <w:t>The</w:t>
      </w:r>
      <w:r w:rsidR="006C6F09">
        <w:t xml:space="preserve"> </w:t>
      </w:r>
      <w:r>
        <w:t>economic</w:t>
      </w:r>
      <w:r w:rsidR="006C6F09">
        <w:t xml:space="preserve"> </w:t>
      </w:r>
      <w:r>
        <w:t>and</w:t>
      </w:r>
      <w:r w:rsidR="006C6F09">
        <w:t xml:space="preserve"> </w:t>
      </w:r>
      <w:r>
        <w:t>social</w:t>
      </w:r>
      <w:r w:rsidR="006C6F09">
        <w:t xml:space="preserve"> </w:t>
      </w:r>
      <w:r>
        <w:t>effects</w:t>
      </w:r>
      <w:r w:rsidR="006C6F09">
        <w:t xml:space="preserve"> </w:t>
      </w:r>
      <w:r>
        <w:t>of</w:t>
      </w:r>
      <w:r w:rsidR="006C6F09">
        <w:t xml:space="preserve"> </w:t>
      </w:r>
      <w:r>
        <w:t>the</w:t>
      </w:r>
      <w:r w:rsidR="006C6F09">
        <w:t xml:space="preserve"> </w:t>
      </w:r>
      <w:r w:rsidR="00AC2705">
        <w:t>project,</w:t>
      </w:r>
      <w:r w:rsidR="006C6F09">
        <w:t xml:space="preserve"> </w:t>
      </w:r>
      <w:r>
        <w:t>location</w:t>
      </w:r>
      <w:r w:rsidR="006C6F09">
        <w:t xml:space="preserve"> </w:t>
      </w:r>
      <w:r>
        <w:t>and</w:t>
      </w:r>
      <w:r w:rsidR="006C6F09">
        <w:t xml:space="preserve"> </w:t>
      </w:r>
      <w:r w:rsidR="007D15EE">
        <w:t>design,</w:t>
      </w:r>
      <w:r w:rsidR="006C6F09">
        <w:t xml:space="preserve"> </w:t>
      </w:r>
      <w:r>
        <w:t>and</w:t>
      </w:r>
      <w:r w:rsidR="006C6F09">
        <w:t xml:space="preserve"> </w:t>
      </w:r>
      <w:r>
        <w:t>its</w:t>
      </w:r>
      <w:r w:rsidR="006C6F09">
        <w:t xml:space="preserve"> </w:t>
      </w:r>
      <w:r>
        <w:t>impact</w:t>
      </w:r>
      <w:r w:rsidR="006C6F09">
        <w:t xml:space="preserve"> </w:t>
      </w:r>
      <w:r>
        <w:t>on</w:t>
      </w:r>
      <w:r w:rsidR="006C6F09">
        <w:t xml:space="preserve"> </w:t>
      </w:r>
      <w:r>
        <w:t>the</w:t>
      </w:r>
      <w:r w:rsidR="006C6F09">
        <w:t xml:space="preserve"> </w:t>
      </w:r>
      <w:r>
        <w:t>environment</w:t>
      </w:r>
      <w:r w:rsidR="006C6F09">
        <w:t xml:space="preserve"> </w:t>
      </w:r>
      <w:r>
        <w:t>have</w:t>
      </w:r>
      <w:r w:rsidR="006C6F09">
        <w:t xml:space="preserve"> </w:t>
      </w:r>
      <w:r>
        <w:t>been</w:t>
      </w:r>
      <w:r w:rsidR="006C6F09">
        <w:t xml:space="preserve"> </w:t>
      </w:r>
      <w:r>
        <w:t>considered.</w:t>
      </w:r>
    </w:p>
    <w:p w14:paraId="3E4D0CB1" w14:textId="3723A42A" w:rsidR="00457754" w:rsidRDefault="00457754" w:rsidP="00457754">
      <w:pPr>
        <w:pStyle w:val="ListBullet"/>
      </w:pPr>
      <w:r>
        <w:t>In</w:t>
      </w:r>
      <w:r w:rsidR="006C6F09">
        <w:t xml:space="preserve"> </w:t>
      </w:r>
      <w:r>
        <w:t>determining</w:t>
      </w:r>
      <w:r w:rsidR="006C6F09">
        <w:t xml:space="preserve"> </w:t>
      </w:r>
      <w:r>
        <w:t>economic,</w:t>
      </w:r>
      <w:r w:rsidR="006C6F09">
        <w:t xml:space="preserve"> </w:t>
      </w:r>
      <w:r>
        <w:t>social,</w:t>
      </w:r>
      <w:r w:rsidR="006C6F09">
        <w:t xml:space="preserve"> </w:t>
      </w:r>
      <w:r>
        <w:t>and</w:t>
      </w:r>
      <w:r w:rsidR="006C6F09">
        <w:t xml:space="preserve"> </w:t>
      </w:r>
      <w:r>
        <w:t>environmental</w:t>
      </w:r>
      <w:r w:rsidR="006C6F09">
        <w:t xml:space="preserve"> </w:t>
      </w:r>
      <w:r>
        <w:t>effects,</w:t>
      </w:r>
      <w:r w:rsidR="006C6F09">
        <w:t xml:space="preserve"> </w:t>
      </w:r>
      <w:r>
        <w:t>the</w:t>
      </w:r>
      <w:r w:rsidR="006C6F09">
        <w:t xml:space="preserve"> </w:t>
      </w:r>
      <w:r>
        <w:t>statutory</w:t>
      </w:r>
      <w:r w:rsidR="006C6F09">
        <w:t xml:space="preserve"> </w:t>
      </w:r>
      <w:r>
        <w:t>provisions</w:t>
      </w:r>
      <w:r w:rsidR="006C6F09">
        <w:t xml:space="preserve"> </w:t>
      </w:r>
      <w:r>
        <w:t>of</w:t>
      </w:r>
      <w:r w:rsidR="006C6F09">
        <w:t xml:space="preserve"> </w:t>
      </w:r>
      <w:r>
        <w:t>the</w:t>
      </w:r>
      <w:r w:rsidR="006C6F09">
        <w:t xml:space="preserve"> </w:t>
      </w:r>
      <w:r>
        <w:t>Civil</w:t>
      </w:r>
      <w:r w:rsidR="006C6F09">
        <w:t xml:space="preserve"> </w:t>
      </w:r>
      <w:r>
        <w:t>Rights</w:t>
      </w:r>
      <w:r w:rsidR="006C6F09">
        <w:t xml:space="preserve"> </w:t>
      </w:r>
      <w:r>
        <w:t>Act</w:t>
      </w:r>
      <w:r w:rsidR="006C6F09">
        <w:t xml:space="preserve"> </w:t>
      </w:r>
      <w:r>
        <w:t>of</w:t>
      </w:r>
      <w:r w:rsidR="006C6F09">
        <w:t xml:space="preserve"> </w:t>
      </w:r>
      <w:r>
        <w:t>1964</w:t>
      </w:r>
      <w:r w:rsidR="006C6F09">
        <w:t xml:space="preserve"> </w:t>
      </w:r>
      <w:r>
        <w:t>have</w:t>
      </w:r>
      <w:r w:rsidR="006C6F09">
        <w:t xml:space="preserve"> </w:t>
      </w:r>
      <w:r>
        <w:t>been</w:t>
      </w:r>
      <w:r w:rsidR="006C6F09">
        <w:t xml:space="preserve"> </w:t>
      </w:r>
      <w:r>
        <w:t>considered.</w:t>
      </w:r>
    </w:p>
    <w:p w14:paraId="2CECB58C" w14:textId="328E9050" w:rsidR="00457754" w:rsidRDefault="00457754" w:rsidP="00457754">
      <w:pPr>
        <w:pStyle w:val="ListBullet"/>
      </w:pPr>
      <w:r>
        <w:t>The</w:t>
      </w:r>
      <w:r w:rsidR="006C6F09">
        <w:t xml:space="preserve"> </w:t>
      </w:r>
      <w:r>
        <w:t>project</w:t>
      </w:r>
      <w:r w:rsidR="006C6F09">
        <w:t xml:space="preserve"> </w:t>
      </w:r>
      <w:r>
        <w:t>consistency</w:t>
      </w:r>
      <w:r w:rsidR="006C6F09">
        <w:t xml:space="preserve"> </w:t>
      </w:r>
      <w:r>
        <w:t>with</w:t>
      </w:r>
      <w:r w:rsidR="006C6F09">
        <w:t xml:space="preserve"> </w:t>
      </w:r>
      <w:r>
        <w:t>the</w:t>
      </w:r>
      <w:r w:rsidR="006C6F09">
        <w:t xml:space="preserve"> </w:t>
      </w:r>
      <w:r>
        <w:t>goals</w:t>
      </w:r>
      <w:r w:rsidR="006C6F09">
        <w:t xml:space="preserve"> </w:t>
      </w:r>
      <w:r>
        <w:t>and</w:t>
      </w:r>
      <w:r w:rsidR="006C6F09">
        <w:t xml:space="preserve"> </w:t>
      </w:r>
      <w:r>
        <w:t>objectives</w:t>
      </w:r>
      <w:r w:rsidR="006C6F09">
        <w:t xml:space="preserve"> </w:t>
      </w:r>
      <w:r>
        <w:t>of</w:t>
      </w:r>
      <w:r w:rsidR="006C6F09">
        <w:t xml:space="preserve"> </w:t>
      </w:r>
      <w:r>
        <w:t>urban</w:t>
      </w:r>
      <w:r w:rsidR="006C6F09">
        <w:t xml:space="preserve"> </w:t>
      </w:r>
      <w:r>
        <w:t>planning,</w:t>
      </w:r>
      <w:r w:rsidR="006C6F09">
        <w:t xml:space="preserve"> </w:t>
      </w:r>
      <w:r>
        <w:t>as</w:t>
      </w:r>
      <w:r w:rsidR="006C6F09">
        <w:t xml:space="preserve"> </w:t>
      </w:r>
      <w:r>
        <w:t>dictated</w:t>
      </w:r>
      <w:r w:rsidR="006C6F09">
        <w:t xml:space="preserve"> </w:t>
      </w:r>
      <w:r>
        <w:t>by</w:t>
      </w:r>
      <w:r w:rsidR="006C6F09">
        <w:t xml:space="preserve"> </w:t>
      </w:r>
      <w:r>
        <w:t>the</w:t>
      </w:r>
      <w:r w:rsidR="006C6F09">
        <w:t xml:space="preserve"> </w:t>
      </w:r>
      <w:r>
        <w:t>community,</w:t>
      </w:r>
      <w:r w:rsidR="006C6F09">
        <w:t xml:space="preserve"> </w:t>
      </w:r>
      <w:r>
        <w:t>has</w:t>
      </w:r>
      <w:r w:rsidR="006C6F09">
        <w:t xml:space="preserve"> </w:t>
      </w:r>
      <w:r>
        <w:t>been</w:t>
      </w:r>
      <w:r w:rsidR="006C6F09">
        <w:t xml:space="preserve"> </w:t>
      </w:r>
      <w:r>
        <w:t>considered.</w:t>
      </w:r>
      <w:r w:rsidR="006C6F09">
        <w:t xml:space="preserve"> </w:t>
      </w:r>
      <w:r>
        <w:t>If</w:t>
      </w:r>
      <w:r w:rsidR="006C6F09">
        <w:t xml:space="preserve"> </w:t>
      </w:r>
      <w:r>
        <w:t>the</w:t>
      </w:r>
      <w:r w:rsidR="006C6F09">
        <w:t xml:space="preserve"> </w:t>
      </w:r>
      <w:r>
        <w:t>project</w:t>
      </w:r>
      <w:r w:rsidR="006C6F09">
        <w:t xml:space="preserve"> </w:t>
      </w:r>
      <w:r>
        <w:t>involves</w:t>
      </w:r>
      <w:r w:rsidR="006C6F09">
        <w:t xml:space="preserve"> </w:t>
      </w:r>
      <w:r>
        <w:t>a</w:t>
      </w:r>
      <w:r w:rsidR="006C6F09">
        <w:t xml:space="preserve"> </w:t>
      </w:r>
      <w:r>
        <w:t>community</w:t>
      </w:r>
      <w:r w:rsidR="006C6F09">
        <w:t xml:space="preserve"> </w:t>
      </w:r>
      <w:r>
        <w:t>that</w:t>
      </w:r>
      <w:r w:rsidR="006C6F09">
        <w:t xml:space="preserve"> </w:t>
      </w:r>
      <w:r>
        <w:t>does</w:t>
      </w:r>
      <w:r w:rsidR="006C6F09">
        <w:t xml:space="preserve"> </w:t>
      </w:r>
      <w:r>
        <w:t>not</w:t>
      </w:r>
      <w:r w:rsidR="006C6F09">
        <w:t xml:space="preserve"> </w:t>
      </w:r>
      <w:r>
        <w:t>have</w:t>
      </w:r>
      <w:r w:rsidR="006C6F09">
        <w:t xml:space="preserve"> </w:t>
      </w:r>
      <w:r>
        <w:t>a</w:t>
      </w:r>
      <w:r w:rsidR="006C6F09">
        <w:t xml:space="preserve"> </w:t>
      </w:r>
      <w:r>
        <w:t>known</w:t>
      </w:r>
      <w:r w:rsidR="006C6F09">
        <w:t xml:space="preserve"> </w:t>
      </w:r>
      <w:r>
        <w:t>plan</w:t>
      </w:r>
      <w:r w:rsidR="006C6F09">
        <w:t xml:space="preserve"> </w:t>
      </w:r>
      <w:r>
        <w:t>of</w:t>
      </w:r>
      <w:r w:rsidR="006C6F09">
        <w:t xml:space="preserve"> </w:t>
      </w:r>
      <w:r>
        <w:t>development,</w:t>
      </w:r>
      <w:r w:rsidR="006C6F09">
        <w:t xml:space="preserve"> </w:t>
      </w:r>
      <w:r>
        <w:t>include</w:t>
      </w:r>
      <w:r w:rsidR="006C6F09">
        <w:t xml:space="preserve"> </w:t>
      </w:r>
      <w:r>
        <w:t>a</w:t>
      </w:r>
      <w:r w:rsidR="006C6F09">
        <w:t xml:space="preserve"> </w:t>
      </w:r>
      <w:r>
        <w:t>statement</w:t>
      </w:r>
      <w:r w:rsidR="006C6F09">
        <w:t xml:space="preserve"> </w:t>
      </w:r>
      <w:r>
        <w:t>to</w:t>
      </w:r>
      <w:r w:rsidR="006C6F09">
        <w:t xml:space="preserve"> </w:t>
      </w:r>
      <w:r>
        <w:t>that</w:t>
      </w:r>
      <w:r w:rsidR="006C6F09">
        <w:t xml:space="preserve"> </w:t>
      </w:r>
      <w:r>
        <w:t>effect</w:t>
      </w:r>
      <w:r w:rsidR="006C6F09">
        <w:t xml:space="preserve"> </w:t>
      </w:r>
      <w:r>
        <w:t>in</w:t>
      </w:r>
      <w:r w:rsidR="006C6F09">
        <w:t xml:space="preserve"> </w:t>
      </w:r>
      <w:r>
        <w:t>the</w:t>
      </w:r>
      <w:r w:rsidR="006C6F09">
        <w:t xml:space="preserve"> </w:t>
      </w:r>
      <w:r>
        <w:t>submission,</w:t>
      </w:r>
      <w:r w:rsidR="006C6F09">
        <w:t xml:space="preserve"> </w:t>
      </w:r>
      <w:r>
        <w:t>and</w:t>
      </w:r>
      <w:r w:rsidR="006C6F09">
        <w:t xml:space="preserve"> </w:t>
      </w:r>
      <w:r>
        <w:t>modify</w:t>
      </w:r>
      <w:r w:rsidR="006C6F09">
        <w:t xml:space="preserve"> </w:t>
      </w:r>
      <w:r>
        <w:t>the</w:t>
      </w:r>
      <w:r w:rsidR="006C6F09">
        <w:t xml:space="preserve"> </w:t>
      </w:r>
      <w:r>
        <w:t>certification,</w:t>
      </w:r>
      <w:r w:rsidR="006C6F09">
        <w:t xml:space="preserve"> </w:t>
      </w:r>
      <w:r>
        <w:t>as</w:t>
      </w:r>
      <w:r w:rsidR="006C6F09">
        <w:t xml:space="preserve"> </w:t>
      </w:r>
      <w:r>
        <w:t>necessary.</w:t>
      </w:r>
    </w:p>
    <w:p w14:paraId="0FFD8E22" w14:textId="350ECE37" w:rsidR="00457754" w:rsidRDefault="00457754" w:rsidP="00457754">
      <w:pPr>
        <w:pStyle w:val="ListBullet"/>
      </w:pPr>
      <w:r>
        <w:lastRenderedPageBreak/>
        <w:t>The</w:t>
      </w:r>
      <w:r w:rsidR="006C6F09">
        <w:t xml:space="preserve"> </w:t>
      </w:r>
      <w:r>
        <w:t>requirements</w:t>
      </w:r>
      <w:r w:rsidR="006C6F09">
        <w:t xml:space="preserve"> </w:t>
      </w:r>
      <w:r>
        <w:t>of</w:t>
      </w:r>
      <w:r w:rsidR="006C6F09">
        <w:t xml:space="preserve"> </w:t>
      </w:r>
      <w:hyperlink r:id="rId88" w:history="1">
        <w:r w:rsidRPr="00332D95">
          <w:rPr>
            <w:rStyle w:val="Hyperlink"/>
          </w:rPr>
          <w:t>43</w:t>
        </w:r>
        <w:r w:rsidR="006C6F09">
          <w:rPr>
            <w:rStyle w:val="Hyperlink"/>
          </w:rPr>
          <w:t xml:space="preserve"> </w:t>
        </w:r>
        <w:r w:rsidRPr="00332D95">
          <w:rPr>
            <w:rStyle w:val="Hyperlink"/>
          </w:rPr>
          <w:t>TAC</w:t>
        </w:r>
        <w:r w:rsidR="006C6F09">
          <w:rPr>
            <w:rStyle w:val="Hyperlink"/>
          </w:rPr>
          <w:t xml:space="preserve"> </w:t>
        </w:r>
        <w:r w:rsidRPr="00332D95">
          <w:rPr>
            <w:rStyle w:val="Hyperlink"/>
          </w:rPr>
          <w:t>2.106</w:t>
        </w:r>
      </w:hyperlink>
      <w:r w:rsidR="006C6F09">
        <w:t xml:space="preserve"> </w:t>
      </w:r>
      <w:r>
        <w:t>have</w:t>
      </w:r>
      <w:r w:rsidR="006C6F09">
        <w:t xml:space="preserve"> </w:t>
      </w:r>
      <w:r>
        <w:t>been</w:t>
      </w:r>
      <w:r w:rsidR="006C6F09">
        <w:t xml:space="preserve"> </w:t>
      </w:r>
      <w:r>
        <w:t>met.</w:t>
      </w:r>
    </w:p>
    <w:p w14:paraId="0D4272C4" w14:textId="43289531" w:rsidR="00457754" w:rsidRDefault="00457754" w:rsidP="00457754">
      <w:pPr>
        <w:pStyle w:val="ListBullet"/>
      </w:pPr>
      <w:r>
        <w:t>For</w:t>
      </w:r>
      <w:r w:rsidR="006C6F09">
        <w:t xml:space="preserve"> </w:t>
      </w:r>
      <w:r>
        <w:t>projects</w:t>
      </w:r>
      <w:r w:rsidR="006C6F09">
        <w:t xml:space="preserve"> </w:t>
      </w:r>
      <w:r>
        <w:t>assigned</w:t>
      </w:r>
      <w:r w:rsidR="006C6F09">
        <w:t xml:space="preserve"> </w:t>
      </w:r>
      <w:r>
        <w:t>under</w:t>
      </w:r>
      <w:r w:rsidR="006C6F09">
        <w:t xml:space="preserve"> </w:t>
      </w:r>
      <w:r>
        <w:t>the</w:t>
      </w:r>
      <w:r w:rsidR="006C6F09">
        <w:t xml:space="preserve"> </w:t>
      </w:r>
      <w:r>
        <w:t>Assignment</w:t>
      </w:r>
      <w:r w:rsidR="006C6F09">
        <w:t xml:space="preserve"> </w:t>
      </w:r>
      <w:r>
        <w:t>MOU,</w:t>
      </w:r>
      <w:r w:rsidR="006C6F09">
        <w:t xml:space="preserve"> </w:t>
      </w:r>
      <w:r>
        <w:t>include</w:t>
      </w:r>
      <w:r w:rsidR="006C6F09">
        <w:t xml:space="preserve"> </w:t>
      </w:r>
      <w:r>
        <w:t>the</w:t>
      </w:r>
      <w:r w:rsidR="006C6F09">
        <w:t xml:space="preserve"> </w:t>
      </w:r>
      <w:r>
        <w:t>following</w:t>
      </w:r>
      <w:r w:rsidR="006C6F09">
        <w:t xml:space="preserve"> </w:t>
      </w:r>
      <w:r>
        <w:t>language</w:t>
      </w:r>
      <w:r w:rsidR="006C6F09">
        <w:t xml:space="preserve"> </w:t>
      </w:r>
      <w:r>
        <w:t>in</w:t>
      </w:r>
      <w:r w:rsidR="006C6F09">
        <w:t xml:space="preserve"> </w:t>
      </w:r>
      <w:r>
        <w:t>the</w:t>
      </w:r>
      <w:r w:rsidR="006C6F09">
        <w:t xml:space="preserve"> </w:t>
      </w:r>
      <w:r>
        <w:t>certification.</w:t>
      </w:r>
      <w:r w:rsidR="006C6F09">
        <w:t xml:space="preserve"> </w:t>
      </w:r>
    </w:p>
    <w:p w14:paraId="49397676" w14:textId="06BEEE32" w:rsidR="00457754" w:rsidRPr="00DC72DD" w:rsidRDefault="00457754" w:rsidP="00457754">
      <w:pPr>
        <w:rPr>
          <w:i/>
          <w:iCs/>
        </w:rPr>
      </w:pPr>
      <w:r w:rsidRPr="00DC72DD">
        <w:rPr>
          <w:i/>
          <w:iCs/>
        </w:rPr>
        <w:t>The</w:t>
      </w:r>
      <w:r w:rsidR="006C6F09">
        <w:rPr>
          <w:i/>
          <w:iCs/>
        </w:rPr>
        <w:t xml:space="preserve"> </w:t>
      </w:r>
      <w:r w:rsidRPr="00DC72DD">
        <w:rPr>
          <w:i/>
          <w:iCs/>
        </w:rPr>
        <w:t>environmental</w:t>
      </w:r>
      <w:r w:rsidR="006C6F09">
        <w:rPr>
          <w:i/>
          <w:iCs/>
        </w:rPr>
        <w:t xml:space="preserve"> </w:t>
      </w:r>
      <w:r w:rsidRPr="00DC72DD">
        <w:rPr>
          <w:i/>
          <w:iCs/>
        </w:rPr>
        <w:t>review,</w:t>
      </w:r>
      <w:r w:rsidR="006C6F09">
        <w:rPr>
          <w:i/>
          <w:iCs/>
        </w:rPr>
        <w:t xml:space="preserve"> </w:t>
      </w:r>
      <w:r w:rsidRPr="00DC72DD">
        <w:rPr>
          <w:i/>
          <w:iCs/>
        </w:rPr>
        <w:t>consultation,</w:t>
      </w:r>
      <w:r w:rsidR="006C6F09">
        <w:rPr>
          <w:i/>
          <w:iCs/>
        </w:rPr>
        <w:t xml:space="preserve"> </w:t>
      </w:r>
      <w:r w:rsidRPr="00DC72DD">
        <w:rPr>
          <w:i/>
          <w:iCs/>
        </w:rPr>
        <w:t>and</w:t>
      </w:r>
      <w:r w:rsidR="006C6F09">
        <w:rPr>
          <w:i/>
          <w:iCs/>
        </w:rPr>
        <w:t xml:space="preserve"> </w:t>
      </w:r>
      <w:r w:rsidRPr="00DC72DD">
        <w:rPr>
          <w:i/>
          <w:iCs/>
        </w:rPr>
        <w:t>other</w:t>
      </w:r>
      <w:r w:rsidR="006C6F09">
        <w:rPr>
          <w:i/>
          <w:iCs/>
        </w:rPr>
        <w:t xml:space="preserve"> </w:t>
      </w:r>
      <w:r w:rsidRPr="00DC72DD">
        <w:rPr>
          <w:i/>
          <w:iCs/>
        </w:rPr>
        <w:t>actions</w:t>
      </w:r>
      <w:r w:rsidR="006C6F09">
        <w:rPr>
          <w:i/>
          <w:iCs/>
        </w:rPr>
        <w:t xml:space="preserve"> </w:t>
      </w:r>
      <w:r w:rsidRPr="00DC72DD">
        <w:rPr>
          <w:i/>
          <w:iCs/>
        </w:rPr>
        <w:t>required</w:t>
      </w:r>
      <w:r w:rsidR="006C6F09">
        <w:rPr>
          <w:i/>
          <w:iCs/>
        </w:rPr>
        <w:t xml:space="preserve"> </w:t>
      </w:r>
      <w:r w:rsidRPr="00DC72DD">
        <w:rPr>
          <w:i/>
          <w:iCs/>
        </w:rPr>
        <w:t>by</w:t>
      </w:r>
      <w:r w:rsidR="006C6F09">
        <w:rPr>
          <w:i/>
          <w:iCs/>
        </w:rPr>
        <w:t xml:space="preserve"> </w:t>
      </w:r>
      <w:r w:rsidRPr="00DC72DD">
        <w:rPr>
          <w:i/>
          <w:iCs/>
        </w:rPr>
        <w:t>applicable</w:t>
      </w:r>
      <w:r w:rsidR="006C6F09">
        <w:rPr>
          <w:i/>
          <w:iCs/>
        </w:rPr>
        <w:t xml:space="preserve"> </w:t>
      </w:r>
      <w:r w:rsidRPr="00DC72DD">
        <w:rPr>
          <w:i/>
          <w:iCs/>
        </w:rPr>
        <w:t>Federal</w:t>
      </w:r>
      <w:r w:rsidR="006C6F09">
        <w:rPr>
          <w:i/>
          <w:iCs/>
        </w:rPr>
        <w:t xml:space="preserve"> </w:t>
      </w:r>
      <w:r w:rsidRPr="00DC72DD">
        <w:rPr>
          <w:i/>
          <w:iCs/>
        </w:rPr>
        <w:t>environmental</w:t>
      </w:r>
      <w:r w:rsidR="006C6F09">
        <w:rPr>
          <w:i/>
          <w:iCs/>
        </w:rPr>
        <w:t xml:space="preserve"> </w:t>
      </w:r>
      <w:r w:rsidRPr="00DC72DD">
        <w:rPr>
          <w:i/>
          <w:iCs/>
        </w:rPr>
        <w:t>laws</w:t>
      </w:r>
      <w:r w:rsidR="006C6F09">
        <w:rPr>
          <w:i/>
          <w:iCs/>
        </w:rPr>
        <w:t xml:space="preserve"> </w:t>
      </w:r>
      <w:r w:rsidRPr="00DC72DD">
        <w:rPr>
          <w:i/>
          <w:iCs/>
        </w:rPr>
        <w:t>for</w:t>
      </w:r>
      <w:r w:rsidR="006C6F09">
        <w:rPr>
          <w:i/>
          <w:iCs/>
        </w:rPr>
        <w:t xml:space="preserve"> </w:t>
      </w:r>
      <w:r w:rsidRPr="00DC72DD">
        <w:rPr>
          <w:i/>
          <w:iCs/>
        </w:rPr>
        <w:t>this</w:t>
      </w:r>
      <w:r w:rsidR="006C6F09">
        <w:rPr>
          <w:i/>
          <w:iCs/>
        </w:rPr>
        <w:t xml:space="preserve"> </w:t>
      </w:r>
      <w:r w:rsidRPr="00DC72DD">
        <w:rPr>
          <w:i/>
          <w:iCs/>
        </w:rPr>
        <w:t>project</w:t>
      </w:r>
      <w:r w:rsidR="006C6F09">
        <w:rPr>
          <w:i/>
          <w:iCs/>
        </w:rPr>
        <w:t xml:space="preserve"> </w:t>
      </w:r>
      <w:r w:rsidRPr="00DC72DD">
        <w:rPr>
          <w:i/>
          <w:iCs/>
        </w:rPr>
        <w:t>are</w:t>
      </w:r>
      <w:r w:rsidR="006C6F09">
        <w:rPr>
          <w:i/>
          <w:iCs/>
        </w:rPr>
        <w:t xml:space="preserve"> </w:t>
      </w:r>
      <w:r w:rsidRPr="00DC72DD">
        <w:rPr>
          <w:i/>
          <w:iCs/>
        </w:rPr>
        <w:t>being,</w:t>
      </w:r>
      <w:r w:rsidR="006C6F09">
        <w:rPr>
          <w:i/>
          <w:iCs/>
        </w:rPr>
        <w:t xml:space="preserve"> </w:t>
      </w:r>
      <w:r w:rsidRPr="00DC72DD">
        <w:rPr>
          <w:i/>
          <w:iCs/>
        </w:rPr>
        <w:t>or</w:t>
      </w:r>
      <w:r w:rsidR="006C6F09">
        <w:rPr>
          <w:i/>
          <w:iCs/>
        </w:rPr>
        <w:t xml:space="preserve"> </w:t>
      </w:r>
      <w:r w:rsidRPr="00DC72DD">
        <w:rPr>
          <w:i/>
          <w:iCs/>
        </w:rPr>
        <w:t>have</w:t>
      </w:r>
      <w:r w:rsidR="006C6F09">
        <w:rPr>
          <w:i/>
          <w:iCs/>
        </w:rPr>
        <w:t xml:space="preserve"> </w:t>
      </w:r>
      <w:r w:rsidRPr="00DC72DD">
        <w:rPr>
          <w:i/>
          <w:iCs/>
        </w:rPr>
        <w:t>been,</w:t>
      </w:r>
      <w:r w:rsidR="006C6F09">
        <w:rPr>
          <w:i/>
          <w:iCs/>
        </w:rPr>
        <w:t xml:space="preserve"> </w:t>
      </w:r>
      <w:r w:rsidR="00AC2705" w:rsidRPr="00DC72DD">
        <w:rPr>
          <w:i/>
          <w:iCs/>
        </w:rPr>
        <w:t>carried</w:t>
      </w:r>
      <w:r w:rsidR="00AC2705">
        <w:rPr>
          <w:i/>
          <w:iCs/>
        </w:rPr>
        <w:t xml:space="preserve"> out</w:t>
      </w:r>
      <w:r w:rsidR="006C6F09">
        <w:rPr>
          <w:i/>
          <w:iCs/>
        </w:rPr>
        <w:t xml:space="preserve"> </w:t>
      </w:r>
      <w:r w:rsidRPr="00DC72DD">
        <w:rPr>
          <w:i/>
          <w:iCs/>
        </w:rPr>
        <w:t>by</w:t>
      </w:r>
      <w:r w:rsidR="006C6F09">
        <w:rPr>
          <w:i/>
          <w:iCs/>
        </w:rPr>
        <w:t xml:space="preserve"> </w:t>
      </w:r>
      <w:r w:rsidRPr="00DC72DD">
        <w:rPr>
          <w:i/>
          <w:iCs/>
        </w:rPr>
        <w:t>TxDOT</w:t>
      </w:r>
      <w:r w:rsidR="006C6F09">
        <w:rPr>
          <w:i/>
          <w:iCs/>
        </w:rPr>
        <w:t xml:space="preserve"> </w:t>
      </w:r>
      <w:r w:rsidRPr="00DC72DD">
        <w:rPr>
          <w:i/>
          <w:iCs/>
        </w:rPr>
        <w:t>pursuant</w:t>
      </w:r>
      <w:r w:rsidR="006C6F09">
        <w:rPr>
          <w:i/>
          <w:iCs/>
        </w:rPr>
        <w:t xml:space="preserve"> </w:t>
      </w:r>
      <w:r w:rsidRPr="00DC72DD">
        <w:rPr>
          <w:i/>
          <w:iCs/>
        </w:rPr>
        <w:t>to</w:t>
      </w:r>
      <w:r w:rsidR="006C6F09">
        <w:rPr>
          <w:i/>
          <w:iCs/>
        </w:rPr>
        <w:t xml:space="preserve"> </w:t>
      </w:r>
      <w:r w:rsidRPr="00DC72DD">
        <w:rPr>
          <w:i/>
          <w:iCs/>
        </w:rPr>
        <w:t>23</w:t>
      </w:r>
      <w:r w:rsidR="006C6F09">
        <w:rPr>
          <w:i/>
          <w:iCs/>
        </w:rPr>
        <w:t xml:space="preserve"> </w:t>
      </w:r>
      <w:r w:rsidRPr="00DC72DD">
        <w:rPr>
          <w:i/>
          <w:iCs/>
        </w:rPr>
        <w:t>U.S.C.</w:t>
      </w:r>
      <w:r w:rsidR="006C6F09">
        <w:rPr>
          <w:i/>
          <w:iCs/>
        </w:rPr>
        <w:t xml:space="preserve"> </w:t>
      </w:r>
      <w:r w:rsidRPr="00DC72DD">
        <w:rPr>
          <w:i/>
          <w:iCs/>
        </w:rPr>
        <w:t>327</w:t>
      </w:r>
      <w:r w:rsidR="006C6F09">
        <w:rPr>
          <w:i/>
          <w:iCs/>
        </w:rPr>
        <w:t xml:space="preserve"> </w:t>
      </w:r>
      <w:r w:rsidRPr="00DC72DD">
        <w:rPr>
          <w:i/>
          <w:iCs/>
        </w:rPr>
        <w:t>and</w:t>
      </w:r>
      <w:r w:rsidR="006C6F09">
        <w:rPr>
          <w:i/>
          <w:iCs/>
        </w:rPr>
        <w:t xml:space="preserve"> </w:t>
      </w:r>
      <w:r w:rsidRPr="00DC72DD">
        <w:rPr>
          <w:i/>
          <w:iCs/>
        </w:rPr>
        <w:t>a</w:t>
      </w:r>
      <w:r w:rsidR="006C6F09">
        <w:rPr>
          <w:i/>
          <w:iCs/>
        </w:rPr>
        <w:t xml:space="preserve"> </w:t>
      </w:r>
      <w:r w:rsidRPr="00DC72DD">
        <w:rPr>
          <w:i/>
          <w:iCs/>
        </w:rPr>
        <w:t>Memorandum</w:t>
      </w:r>
      <w:r w:rsidR="006C6F09">
        <w:rPr>
          <w:i/>
          <w:iCs/>
        </w:rPr>
        <w:t xml:space="preserve"> </w:t>
      </w:r>
      <w:r w:rsidRPr="00DC72DD">
        <w:rPr>
          <w:i/>
          <w:iCs/>
        </w:rPr>
        <w:t>of</w:t>
      </w:r>
      <w:r w:rsidR="006C6F09">
        <w:rPr>
          <w:i/>
          <w:iCs/>
        </w:rPr>
        <w:t xml:space="preserve"> </w:t>
      </w:r>
      <w:r w:rsidRPr="00DC72DD">
        <w:rPr>
          <w:i/>
          <w:iCs/>
        </w:rPr>
        <w:t>Understanding</w:t>
      </w:r>
      <w:r w:rsidR="006C6F09">
        <w:rPr>
          <w:i/>
          <w:iCs/>
        </w:rPr>
        <w:t xml:space="preserve"> </w:t>
      </w:r>
      <w:r w:rsidRPr="00DC72DD">
        <w:rPr>
          <w:i/>
          <w:iCs/>
        </w:rPr>
        <w:t>dated</w:t>
      </w:r>
      <w:r w:rsidR="006C6F09">
        <w:rPr>
          <w:i/>
          <w:iCs/>
        </w:rPr>
        <w:t xml:space="preserve"> </w:t>
      </w:r>
      <w:r w:rsidRPr="00DC72DD">
        <w:rPr>
          <w:i/>
          <w:iCs/>
        </w:rPr>
        <w:t>July</w:t>
      </w:r>
      <w:r w:rsidR="006C6F09">
        <w:rPr>
          <w:i/>
          <w:iCs/>
        </w:rPr>
        <w:t xml:space="preserve"> </w:t>
      </w:r>
      <w:r w:rsidRPr="00DC72DD">
        <w:rPr>
          <w:i/>
          <w:iCs/>
        </w:rPr>
        <w:t>17,</w:t>
      </w:r>
      <w:r w:rsidR="006C6F09">
        <w:rPr>
          <w:i/>
          <w:iCs/>
        </w:rPr>
        <w:t xml:space="preserve"> </w:t>
      </w:r>
      <w:r w:rsidRPr="00DC72DD">
        <w:rPr>
          <w:i/>
          <w:iCs/>
        </w:rPr>
        <w:t>2025,</w:t>
      </w:r>
      <w:r w:rsidR="006C6F09">
        <w:rPr>
          <w:i/>
          <w:iCs/>
        </w:rPr>
        <w:t xml:space="preserve"> </w:t>
      </w:r>
      <w:r w:rsidRPr="00DC72DD">
        <w:rPr>
          <w:i/>
          <w:iCs/>
        </w:rPr>
        <w:t>and</w:t>
      </w:r>
      <w:r w:rsidR="006C6F09">
        <w:rPr>
          <w:i/>
          <w:iCs/>
        </w:rPr>
        <w:t xml:space="preserve"> </w:t>
      </w:r>
      <w:r w:rsidRPr="00DC72DD">
        <w:rPr>
          <w:i/>
          <w:iCs/>
        </w:rPr>
        <w:t>executed</w:t>
      </w:r>
      <w:r w:rsidR="006C6F09">
        <w:rPr>
          <w:i/>
          <w:iCs/>
        </w:rPr>
        <w:t xml:space="preserve"> </w:t>
      </w:r>
      <w:r w:rsidRPr="00DC72DD">
        <w:rPr>
          <w:i/>
          <w:iCs/>
        </w:rPr>
        <w:t>by</w:t>
      </w:r>
      <w:r w:rsidR="006C6F09">
        <w:rPr>
          <w:i/>
          <w:iCs/>
        </w:rPr>
        <w:t xml:space="preserve"> </w:t>
      </w:r>
      <w:r w:rsidRPr="00DC72DD">
        <w:rPr>
          <w:i/>
          <w:iCs/>
        </w:rPr>
        <w:t>FHWA</w:t>
      </w:r>
      <w:r w:rsidR="006C6F09">
        <w:rPr>
          <w:i/>
          <w:iCs/>
        </w:rPr>
        <w:t xml:space="preserve"> </w:t>
      </w:r>
      <w:r w:rsidRPr="00DC72DD">
        <w:rPr>
          <w:i/>
          <w:iCs/>
        </w:rPr>
        <w:t>and</w:t>
      </w:r>
      <w:r w:rsidR="006C6F09">
        <w:rPr>
          <w:i/>
          <w:iCs/>
        </w:rPr>
        <w:t xml:space="preserve"> </w:t>
      </w:r>
      <w:r w:rsidRPr="00DC72DD">
        <w:rPr>
          <w:i/>
          <w:iCs/>
        </w:rPr>
        <w:t>TxDOT.</w:t>
      </w:r>
      <w:r w:rsidR="006C6F09">
        <w:rPr>
          <w:i/>
          <w:iCs/>
        </w:rPr>
        <w:t xml:space="preserve"> </w:t>
      </w:r>
    </w:p>
    <w:p w14:paraId="3C825B9E" w14:textId="114C5A6D" w:rsidR="00457754" w:rsidRDefault="00457754" w:rsidP="00457754">
      <w:r>
        <w:t>If</w:t>
      </w:r>
      <w:r w:rsidR="006C6F09">
        <w:t xml:space="preserve"> </w:t>
      </w:r>
      <w:r>
        <w:t>a</w:t>
      </w:r>
      <w:r w:rsidR="006C6F09">
        <w:t xml:space="preserve"> </w:t>
      </w:r>
      <w:r>
        <w:t>request</w:t>
      </w:r>
      <w:r w:rsidR="006C6F09">
        <w:t xml:space="preserve"> </w:t>
      </w:r>
      <w:r>
        <w:t>for</w:t>
      </w:r>
      <w:r w:rsidR="006C6F09">
        <w:t xml:space="preserve"> </w:t>
      </w:r>
      <w:r>
        <w:t>a</w:t>
      </w:r>
      <w:r w:rsidR="006C6F09">
        <w:t xml:space="preserve"> </w:t>
      </w:r>
      <w:r>
        <w:t>hearing</w:t>
      </w:r>
      <w:r w:rsidR="006C6F09">
        <w:t xml:space="preserve"> </w:t>
      </w:r>
      <w:r>
        <w:t>was</w:t>
      </w:r>
      <w:r w:rsidR="006C6F09">
        <w:t xml:space="preserve"> </w:t>
      </w:r>
      <w:r>
        <w:t>received</w:t>
      </w:r>
      <w:r w:rsidR="006C6F09">
        <w:t xml:space="preserve"> </w:t>
      </w:r>
      <w:r>
        <w:t>but</w:t>
      </w:r>
      <w:r w:rsidR="006C6F09">
        <w:t xml:space="preserve"> </w:t>
      </w:r>
      <w:r>
        <w:t>later</w:t>
      </w:r>
      <w:r w:rsidR="006C6F09">
        <w:t xml:space="preserve"> </w:t>
      </w:r>
      <w:r>
        <w:t>retracted,</w:t>
      </w:r>
      <w:r w:rsidR="006C6F09">
        <w:t xml:space="preserve"> </w:t>
      </w:r>
      <w:r>
        <w:t>correspondence</w:t>
      </w:r>
      <w:r w:rsidR="006C6F09">
        <w:t xml:space="preserve"> </w:t>
      </w:r>
      <w:r>
        <w:t>from</w:t>
      </w:r>
      <w:r w:rsidR="006C6F09">
        <w:t xml:space="preserve"> </w:t>
      </w:r>
      <w:r>
        <w:t>the</w:t>
      </w:r>
      <w:r w:rsidR="006C6F09">
        <w:t xml:space="preserve"> </w:t>
      </w:r>
      <w:r>
        <w:t>individual</w:t>
      </w:r>
      <w:r w:rsidR="006C6F09">
        <w:t xml:space="preserve"> </w:t>
      </w:r>
      <w:r>
        <w:t>requesting</w:t>
      </w:r>
      <w:r w:rsidR="006C6F09">
        <w:t xml:space="preserve"> </w:t>
      </w:r>
      <w:r>
        <w:t>the</w:t>
      </w:r>
      <w:r w:rsidR="006C6F09">
        <w:t xml:space="preserve"> </w:t>
      </w:r>
      <w:proofErr w:type="gramStart"/>
      <w:r>
        <w:t>hearing</w:t>
      </w:r>
      <w:r w:rsidR="006C6F09">
        <w:t xml:space="preserve"> </w:t>
      </w:r>
      <w:r>
        <w:t>stating</w:t>
      </w:r>
      <w:proofErr w:type="gramEnd"/>
      <w:r w:rsidR="006C6F09">
        <w:t xml:space="preserve"> </w:t>
      </w:r>
      <w:r>
        <w:t>that</w:t>
      </w:r>
      <w:r w:rsidR="006C6F09">
        <w:t xml:space="preserve"> </w:t>
      </w:r>
      <w:r>
        <w:t>the</w:t>
      </w:r>
      <w:r w:rsidR="006C6F09">
        <w:t xml:space="preserve"> </w:t>
      </w:r>
      <w:r>
        <w:t>hearing</w:t>
      </w:r>
      <w:r w:rsidR="006C6F09">
        <w:t xml:space="preserve"> </w:t>
      </w:r>
      <w:r>
        <w:t>request</w:t>
      </w:r>
      <w:r w:rsidR="006C6F09">
        <w:t xml:space="preserve"> </w:t>
      </w:r>
      <w:r>
        <w:t>was</w:t>
      </w:r>
      <w:r w:rsidR="006C6F09">
        <w:t xml:space="preserve"> </w:t>
      </w:r>
      <w:r>
        <w:t>retracted</w:t>
      </w:r>
      <w:r w:rsidR="006C6F09">
        <w:t xml:space="preserve"> </w:t>
      </w:r>
      <w:r>
        <w:t>must</w:t>
      </w:r>
      <w:r w:rsidR="006C6F09">
        <w:t xml:space="preserve"> </w:t>
      </w:r>
      <w:r>
        <w:t>be</w:t>
      </w:r>
      <w:r w:rsidR="006C6F09">
        <w:t xml:space="preserve"> </w:t>
      </w:r>
      <w:r>
        <w:t>included</w:t>
      </w:r>
      <w:r w:rsidR="006C6F09">
        <w:t xml:space="preserve"> </w:t>
      </w:r>
      <w:r>
        <w:t>with</w:t>
      </w:r>
      <w:r w:rsidR="006C6F09">
        <w:t xml:space="preserve"> </w:t>
      </w:r>
      <w:r>
        <w:t>the</w:t>
      </w:r>
      <w:r w:rsidR="006C6F09">
        <w:t xml:space="preserve"> </w:t>
      </w:r>
      <w:r>
        <w:t>certification</w:t>
      </w:r>
      <w:r w:rsidR="006C6F09">
        <w:t xml:space="preserve"> </w:t>
      </w:r>
      <w:r>
        <w:t>submitted</w:t>
      </w:r>
      <w:r w:rsidR="006C6F09">
        <w:t xml:space="preserve"> </w:t>
      </w:r>
      <w:r>
        <w:t>to</w:t>
      </w:r>
      <w:r w:rsidR="006C6F09">
        <w:t xml:space="preserve"> </w:t>
      </w:r>
      <w:r>
        <w:t>the</w:t>
      </w:r>
      <w:r w:rsidR="006C6F09">
        <w:t xml:space="preserve"> </w:t>
      </w:r>
      <w:r>
        <w:t>department</w:t>
      </w:r>
      <w:r w:rsidR="006C6F09">
        <w:t xml:space="preserve"> </w:t>
      </w:r>
      <w:r>
        <w:t>delegate.</w:t>
      </w:r>
      <w:r w:rsidR="006C6F09">
        <w:t xml:space="preserve"> </w:t>
      </w:r>
    </w:p>
    <w:p w14:paraId="70019290" w14:textId="5BFBF310" w:rsidR="00457754" w:rsidRDefault="00457754" w:rsidP="00457754">
      <w:r>
        <w:t>If</w:t>
      </w:r>
      <w:r w:rsidR="006C6F09">
        <w:t xml:space="preserve"> </w:t>
      </w:r>
      <w:r>
        <w:t>10</w:t>
      </w:r>
      <w:r w:rsidR="006C6F09">
        <w:t xml:space="preserve"> </w:t>
      </w:r>
      <w:r>
        <w:t>or</w:t>
      </w:r>
      <w:r w:rsidR="006C6F09">
        <w:t xml:space="preserve"> </w:t>
      </w:r>
      <w:r>
        <w:t>more</w:t>
      </w:r>
      <w:r w:rsidR="006C6F09">
        <w:t xml:space="preserve"> </w:t>
      </w:r>
      <w:r>
        <w:t>requests</w:t>
      </w:r>
      <w:r w:rsidR="006C6F09">
        <w:t xml:space="preserve"> </w:t>
      </w:r>
      <w:r>
        <w:t>remain</w:t>
      </w:r>
      <w:r w:rsidR="006C6F09">
        <w:t xml:space="preserve"> </w:t>
      </w:r>
      <w:r>
        <w:t>and</w:t>
      </w:r>
      <w:r w:rsidR="006C6F09">
        <w:t xml:space="preserve"> </w:t>
      </w:r>
      <w:r>
        <w:t>have</w:t>
      </w:r>
      <w:r w:rsidR="006C6F09">
        <w:t xml:space="preserve"> </w:t>
      </w:r>
      <w:r>
        <w:t>not</w:t>
      </w:r>
      <w:r w:rsidR="006C6F09">
        <w:t xml:space="preserve"> </w:t>
      </w:r>
      <w:r>
        <w:t>been</w:t>
      </w:r>
      <w:r w:rsidR="006C6F09">
        <w:t xml:space="preserve"> </w:t>
      </w:r>
      <w:r>
        <w:t>retracted,</w:t>
      </w:r>
      <w:r w:rsidR="006C6F09">
        <w:t xml:space="preserve"> </w:t>
      </w:r>
      <w:r>
        <w:t>or</w:t>
      </w:r>
      <w:r w:rsidR="006C6F09">
        <w:t xml:space="preserve"> </w:t>
      </w:r>
      <w:r>
        <w:t>if</w:t>
      </w:r>
      <w:r w:rsidR="006C6F09">
        <w:t xml:space="preserve"> </w:t>
      </w:r>
      <w:r>
        <w:t>a</w:t>
      </w:r>
      <w:r w:rsidR="006C6F09">
        <w:t xml:space="preserve"> </w:t>
      </w:r>
      <w:r>
        <w:t>request</w:t>
      </w:r>
      <w:r w:rsidR="006C6F09">
        <w:t xml:space="preserve"> </w:t>
      </w:r>
      <w:r>
        <w:t>from</w:t>
      </w:r>
      <w:r w:rsidR="006C6F09">
        <w:t xml:space="preserve"> </w:t>
      </w:r>
      <w:r>
        <w:t>an</w:t>
      </w:r>
      <w:r w:rsidR="006C6F09">
        <w:t xml:space="preserve"> </w:t>
      </w:r>
      <w:r>
        <w:t>agency</w:t>
      </w:r>
      <w:r w:rsidR="006C6F09">
        <w:t xml:space="preserve"> </w:t>
      </w:r>
      <w:r>
        <w:t>with</w:t>
      </w:r>
      <w:r w:rsidR="006C6F09">
        <w:t xml:space="preserve"> </w:t>
      </w:r>
      <w:r>
        <w:t>jurisdiction</w:t>
      </w:r>
      <w:r w:rsidR="006C6F09">
        <w:t xml:space="preserve"> </w:t>
      </w:r>
      <w:r>
        <w:t>remains</w:t>
      </w:r>
      <w:r w:rsidR="006C6F09">
        <w:t xml:space="preserve"> </w:t>
      </w:r>
      <w:r>
        <w:t>and</w:t>
      </w:r>
      <w:r w:rsidR="006C6F09">
        <w:t xml:space="preserve"> </w:t>
      </w:r>
      <w:r>
        <w:t>has</w:t>
      </w:r>
      <w:r w:rsidR="006C6F09">
        <w:t xml:space="preserve"> </w:t>
      </w:r>
      <w:r>
        <w:t>not</w:t>
      </w:r>
      <w:r w:rsidR="006C6F09">
        <w:t xml:space="preserve"> </w:t>
      </w:r>
      <w:r>
        <w:t>been</w:t>
      </w:r>
      <w:r w:rsidR="006C6F09">
        <w:t xml:space="preserve"> </w:t>
      </w:r>
      <w:r>
        <w:t>retracted,</w:t>
      </w:r>
      <w:r w:rsidR="006C6F09">
        <w:t xml:space="preserve"> </w:t>
      </w:r>
      <w:r>
        <w:t>then</w:t>
      </w:r>
      <w:r w:rsidR="006C6F09">
        <w:t xml:space="preserve"> </w:t>
      </w:r>
      <w:r>
        <w:t>a</w:t>
      </w:r>
      <w:r w:rsidR="006C6F09">
        <w:t xml:space="preserve"> </w:t>
      </w:r>
      <w:r>
        <w:t>public</w:t>
      </w:r>
      <w:r w:rsidR="006C6F09">
        <w:t xml:space="preserve"> </w:t>
      </w:r>
      <w:r>
        <w:t>hearing</w:t>
      </w:r>
      <w:r w:rsidR="006C6F09">
        <w:t xml:space="preserve"> </w:t>
      </w:r>
      <w:r>
        <w:t>must</w:t>
      </w:r>
      <w:r w:rsidR="006C6F09">
        <w:t xml:space="preserve"> </w:t>
      </w:r>
      <w:r>
        <w:t>be</w:t>
      </w:r>
      <w:r w:rsidR="006C6F09">
        <w:t xml:space="preserve"> </w:t>
      </w:r>
      <w:r>
        <w:t>scheduled</w:t>
      </w:r>
      <w:r w:rsidR="006C6F09">
        <w:t xml:space="preserve"> </w:t>
      </w:r>
      <w:r>
        <w:t>and</w:t>
      </w:r>
      <w:r w:rsidR="006C6F09">
        <w:t xml:space="preserve"> </w:t>
      </w:r>
      <w:r>
        <w:t>conducted,</w:t>
      </w:r>
      <w:r w:rsidR="006C6F09">
        <w:t xml:space="preserve"> </w:t>
      </w:r>
      <w:r>
        <w:t>in</w:t>
      </w:r>
      <w:r w:rsidR="006C6F09">
        <w:t xml:space="preserve"> </w:t>
      </w:r>
      <w:r>
        <w:t>which</w:t>
      </w:r>
      <w:r w:rsidR="006C6F09">
        <w:t xml:space="preserve"> </w:t>
      </w:r>
      <w:r>
        <w:t>case</w:t>
      </w:r>
      <w:r w:rsidR="006C6F09">
        <w:t xml:space="preserve"> </w:t>
      </w:r>
      <w:r>
        <w:t>there</w:t>
      </w:r>
      <w:r w:rsidR="006C6F09">
        <w:t xml:space="preserve"> </w:t>
      </w:r>
      <w:r>
        <w:t>is</w:t>
      </w:r>
      <w:r w:rsidR="006C6F09">
        <w:t xml:space="preserve"> </w:t>
      </w:r>
      <w:r>
        <w:t>no</w:t>
      </w:r>
      <w:r w:rsidR="006C6F09">
        <w:t xml:space="preserve"> </w:t>
      </w:r>
      <w:r>
        <w:t>need</w:t>
      </w:r>
      <w:r w:rsidR="006C6F09">
        <w:t xml:space="preserve"> </w:t>
      </w:r>
      <w:r>
        <w:t>to</w:t>
      </w:r>
      <w:r w:rsidR="006C6F09">
        <w:t xml:space="preserve"> </w:t>
      </w:r>
      <w:r>
        <w:t>complete</w:t>
      </w:r>
      <w:r w:rsidR="006C6F09">
        <w:t xml:space="preserve"> </w:t>
      </w:r>
      <w:r>
        <w:t>the</w:t>
      </w:r>
      <w:r w:rsidR="006C6F09">
        <w:t xml:space="preserve"> </w:t>
      </w:r>
      <w:r>
        <w:t>certification.</w:t>
      </w:r>
      <w:r w:rsidR="006C6F09">
        <w:t xml:space="preserve"> </w:t>
      </w:r>
      <w:r>
        <w:t>Instead,</w:t>
      </w:r>
      <w:r w:rsidR="006C6F09">
        <w:t xml:space="preserve"> </w:t>
      </w:r>
      <w:r>
        <w:t>simply</w:t>
      </w:r>
      <w:r w:rsidR="006C6F09">
        <w:t xml:space="preserve"> </w:t>
      </w:r>
      <w:r>
        <w:t>include</w:t>
      </w:r>
      <w:r w:rsidR="006C6F09">
        <w:t xml:space="preserve"> </w:t>
      </w:r>
      <w:r>
        <w:t>the</w:t>
      </w:r>
      <w:r w:rsidR="006C6F09">
        <w:t xml:space="preserve"> </w:t>
      </w:r>
      <w:r>
        <w:t>request(s)</w:t>
      </w:r>
      <w:r w:rsidR="006C6F09">
        <w:t xml:space="preserve"> </w:t>
      </w:r>
      <w:r>
        <w:t>with</w:t>
      </w:r>
      <w:r w:rsidR="006C6F09">
        <w:t xml:space="preserve"> </w:t>
      </w:r>
      <w:r>
        <w:t>the</w:t>
      </w:r>
      <w:r w:rsidR="006C6F09">
        <w:t xml:space="preserve"> </w:t>
      </w:r>
      <w:r>
        <w:t>NAOPH</w:t>
      </w:r>
      <w:r w:rsidR="006C6F09">
        <w:t xml:space="preserve"> </w:t>
      </w:r>
      <w:r>
        <w:t>documentation</w:t>
      </w:r>
      <w:r w:rsidR="006C6F09">
        <w:t xml:space="preserve"> </w:t>
      </w:r>
      <w:r>
        <w:t>packet.</w:t>
      </w:r>
      <w:r w:rsidR="006C6F09">
        <w:t xml:space="preserve"> </w:t>
      </w:r>
    </w:p>
    <w:p w14:paraId="07609A2C" w14:textId="5A187AF1" w:rsidR="00457754" w:rsidRDefault="00457754" w:rsidP="00457754">
      <w:r>
        <w:t>If</w:t>
      </w:r>
      <w:r w:rsidR="006C6F09">
        <w:t xml:space="preserve"> </w:t>
      </w:r>
      <w:r>
        <w:t>comments</w:t>
      </w:r>
      <w:r w:rsidR="006C6F09">
        <w:t xml:space="preserve"> </w:t>
      </w:r>
      <w:r>
        <w:t>are</w:t>
      </w:r>
      <w:r w:rsidR="006C6F09">
        <w:t xml:space="preserve"> </w:t>
      </w:r>
      <w:r>
        <w:t>received</w:t>
      </w:r>
      <w:r w:rsidR="006C6F09">
        <w:t xml:space="preserve"> </w:t>
      </w:r>
      <w:r>
        <w:t>in</w:t>
      </w:r>
      <w:r w:rsidR="006C6F09">
        <w:t xml:space="preserve"> </w:t>
      </w:r>
      <w:r>
        <w:t>response</w:t>
      </w:r>
      <w:r w:rsidR="006C6F09">
        <w:t xml:space="preserve"> </w:t>
      </w:r>
      <w:r>
        <w:t>to</w:t>
      </w:r>
      <w:r w:rsidR="006C6F09">
        <w:t xml:space="preserve"> </w:t>
      </w:r>
      <w:r>
        <w:t>the</w:t>
      </w:r>
      <w:r w:rsidR="006C6F09">
        <w:t xml:space="preserve"> </w:t>
      </w:r>
      <w:r>
        <w:t>NAOPH,</w:t>
      </w:r>
      <w:r w:rsidR="006C6F09">
        <w:t xml:space="preserve"> </w:t>
      </w:r>
      <w:r>
        <w:t>include</w:t>
      </w:r>
      <w:r w:rsidR="006C6F09">
        <w:t xml:space="preserve"> </w:t>
      </w:r>
      <w:r>
        <w:t>the</w:t>
      </w:r>
      <w:r w:rsidR="006C6F09">
        <w:t xml:space="preserve"> </w:t>
      </w:r>
      <w:r>
        <w:t>comments</w:t>
      </w:r>
      <w:r w:rsidR="006C6F09">
        <w:t xml:space="preserve"> </w:t>
      </w:r>
      <w:r>
        <w:t>and</w:t>
      </w:r>
      <w:r w:rsidR="006C6F09">
        <w:t xml:space="preserve"> </w:t>
      </w:r>
      <w:r>
        <w:t>a</w:t>
      </w:r>
      <w:r w:rsidR="006C6F09">
        <w:t xml:space="preserve"> </w:t>
      </w:r>
      <w:r>
        <w:t>comment</w:t>
      </w:r>
      <w:r w:rsidR="006C6F09">
        <w:t xml:space="preserve"> </w:t>
      </w:r>
      <w:r>
        <w:t>and</w:t>
      </w:r>
      <w:r w:rsidR="006C6F09">
        <w:t xml:space="preserve"> </w:t>
      </w:r>
      <w:r>
        <w:t>response</w:t>
      </w:r>
      <w:r w:rsidR="006C6F09">
        <w:t xml:space="preserve"> </w:t>
      </w:r>
      <w:r>
        <w:t>matrix</w:t>
      </w:r>
      <w:r w:rsidR="006C6F09">
        <w:t xml:space="preserve"> </w:t>
      </w:r>
      <w:r>
        <w:t>responding</w:t>
      </w:r>
      <w:r w:rsidR="006C6F09">
        <w:t xml:space="preserve"> </w:t>
      </w:r>
      <w:r>
        <w:t>to</w:t>
      </w:r>
      <w:r w:rsidR="006C6F09">
        <w:t xml:space="preserve"> </w:t>
      </w:r>
      <w:r>
        <w:t>such</w:t>
      </w:r>
      <w:r w:rsidR="006C6F09">
        <w:t xml:space="preserve"> </w:t>
      </w:r>
      <w:r>
        <w:t>comments</w:t>
      </w:r>
      <w:r w:rsidR="006C6F09">
        <w:t xml:space="preserve"> </w:t>
      </w:r>
      <w:r>
        <w:t>with</w:t>
      </w:r>
      <w:r w:rsidR="006C6F09">
        <w:t xml:space="preserve"> </w:t>
      </w:r>
      <w:r>
        <w:t>the</w:t>
      </w:r>
      <w:r w:rsidR="006C6F09">
        <w:t xml:space="preserve"> </w:t>
      </w:r>
      <w:r>
        <w:t>NAOPH</w:t>
      </w:r>
      <w:r w:rsidR="006C6F09">
        <w:t xml:space="preserve"> </w:t>
      </w:r>
      <w:r>
        <w:t>documentation</w:t>
      </w:r>
      <w:r w:rsidR="006C6F09">
        <w:t xml:space="preserve"> </w:t>
      </w:r>
      <w:r>
        <w:t>packet.</w:t>
      </w:r>
      <w:r w:rsidR="006C6F09">
        <w:t xml:space="preserve"> </w:t>
      </w:r>
      <w:r>
        <w:t>Include</w:t>
      </w:r>
      <w:r w:rsidR="006C6F09">
        <w:t xml:space="preserve"> </w:t>
      </w:r>
      <w:r>
        <w:t>all</w:t>
      </w:r>
      <w:r w:rsidR="006C6F09">
        <w:t xml:space="preserve"> </w:t>
      </w:r>
      <w:r>
        <w:t>comments</w:t>
      </w:r>
      <w:r w:rsidR="006C6F09">
        <w:t xml:space="preserve"> </w:t>
      </w:r>
      <w:r>
        <w:t>received</w:t>
      </w:r>
      <w:r w:rsidR="006C6F09">
        <w:t xml:space="preserve"> </w:t>
      </w:r>
      <w:r>
        <w:t>between</w:t>
      </w:r>
      <w:r w:rsidR="006C6F09">
        <w:t xml:space="preserve"> </w:t>
      </w:r>
      <w:r>
        <w:t>the</w:t>
      </w:r>
      <w:r w:rsidR="006C6F09">
        <w:t xml:space="preserve"> </w:t>
      </w:r>
      <w:r>
        <w:t>date</w:t>
      </w:r>
      <w:r w:rsidR="006C6F09">
        <w:t xml:space="preserve"> </w:t>
      </w:r>
      <w:r>
        <w:t>the</w:t>
      </w:r>
      <w:r w:rsidR="006C6F09">
        <w:t xml:space="preserve"> </w:t>
      </w:r>
      <w:r>
        <w:t>notice</w:t>
      </w:r>
      <w:r w:rsidR="006C6F09">
        <w:t xml:space="preserve"> </w:t>
      </w:r>
      <w:r>
        <w:t>was</w:t>
      </w:r>
      <w:r w:rsidR="006C6F09">
        <w:t xml:space="preserve"> </w:t>
      </w:r>
      <w:r>
        <w:t>provided</w:t>
      </w:r>
      <w:r w:rsidR="006C6F09">
        <w:t xml:space="preserve"> </w:t>
      </w:r>
      <w:r>
        <w:t>and</w:t>
      </w:r>
      <w:r w:rsidR="006C6F09">
        <w:t xml:space="preserve"> </w:t>
      </w:r>
      <w:r>
        <w:t>the</w:t>
      </w:r>
      <w:r w:rsidR="006C6F09">
        <w:t xml:space="preserve"> </w:t>
      </w:r>
      <w:r>
        <w:t>deadline</w:t>
      </w:r>
      <w:r w:rsidR="006C6F09">
        <w:t xml:space="preserve"> </w:t>
      </w:r>
      <w:r>
        <w:t>specified</w:t>
      </w:r>
      <w:r w:rsidR="006C6F09">
        <w:t xml:space="preserve"> </w:t>
      </w:r>
      <w:r>
        <w:t>in</w:t>
      </w:r>
      <w:r w:rsidR="006C6F09">
        <w:t xml:space="preserve"> </w:t>
      </w:r>
      <w:r>
        <w:t>the</w:t>
      </w:r>
      <w:r w:rsidR="006C6F09">
        <w:t xml:space="preserve"> </w:t>
      </w:r>
      <w:r>
        <w:t>notice.</w:t>
      </w:r>
      <w:r w:rsidR="006C6F09">
        <w:t xml:space="preserve"> </w:t>
      </w:r>
      <w:r>
        <w:t>In</w:t>
      </w:r>
      <w:r w:rsidR="006C6F09">
        <w:t xml:space="preserve"> </w:t>
      </w:r>
      <w:r>
        <w:t>cases</w:t>
      </w:r>
      <w:r w:rsidR="006C6F09">
        <w:t xml:space="preserve"> </w:t>
      </w:r>
      <w:r>
        <w:t>in</w:t>
      </w:r>
      <w:r w:rsidR="006C6F09">
        <w:t xml:space="preserve"> </w:t>
      </w:r>
      <w:r>
        <w:t>which</w:t>
      </w:r>
      <w:r w:rsidR="006C6F09">
        <w:t xml:space="preserve"> </w:t>
      </w:r>
      <w:r>
        <w:t>there</w:t>
      </w:r>
      <w:r w:rsidR="006C6F09">
        <w:t xml:space="preserve"> </w:t>
      </w:r>
      <w:r>
        <w:t>are</w:t>
      </w:r>
      <w:r w:rsidR="006C6F09">
        <w:t xml:space="preserve"> </w:t>
      </w:r>
      <w:r>
        <w:t>large</w:t>
      </w:r>
      <w:r w:rsidR="006C6F09">
        <w:t xml:space="preserve"> </w:t>
      </w:r>
      <w:r>
        <w:t>number</w:t>
      </w:r>
      <w:r w:rsidR="006C6F09">
        <w:t xml:space="preserve"> </w:t>
      </w:r>
      <w:r>
        <w:t>of</w:t>
      </w:r>
      <w:r w:rsidR="006C6F09">
        <w:t xml:space="preserve"> </w:t>
      </w:r>
      <w:r>
        <w:t>identical</w:t>
      </w:r>
      <w:r w:rsidR="006C6F09">
        <w:t xml:space="preserve"> </w:t>
      </w:r>
      <w:r>
        <w:t>comments,</w:t>
      </w:r>
      <w:r w:rsidR="006C6F09">
        <w:t xml:space="preserve"> </w:t>
      </w:r>
      <w:r>
        <w:t>it</w:t>
      </w:r>
      <w:r w:rsidR="006C6F09">
        <w:t xml:space="preserve"> </w:t>
      </w:r>
      <w:r>
        <w:t>may</w:t>
      </w:r>
      <w:r w:rsidR="006C6F09">
        <w:t xml:space="preserve"> </w:t>
      </w:r>
      <w:r>
        <w:t>be</w:t>
      </w:r>
      <w:r w:rsidR="006C6F09">
        <w:t xml:space="preserve"> </w:t>
      </w:r>
      <w:r>
        <w:t>appropriate</w:t>
      </w:r>
      <w:r w:rsidR="006C6F09">
        <w:t xml:space="preserve"> </w:t>
      </w:r>
      <w:r>
        <w:t>to</w:t>
      </w:r>
      <w:r w:rsidR="006C6F09">
        <w:t xml:space="preserve"> </w:t>
      </w:r>
      <w:r>
        <w:t>include</w:t>
      </w:r>
      <w:r w:rsidR="006C6F09">
        <w:t xml:space="preserve"> </w:t>
      </w:r>
      <w:r>
        <w:t>only</w:t>
      </w:r>
      <w:r w:rsidR="006C6F09">
        <w:t xml:space="preserve"> </w:t>
      </w:r>
      <w:r>
        <w:t>a</w:t>
      </w:r>
      <w:r w:rsidR="006C6F09">
        <w:t xml:space="preserve"> </w:t>
      </w:r>
      <w:r>
        <w:t>single</w:t>
      </w:r>
      <w:r w:rsidR="006C6F09">
        <w:t xml:space="preserve"> </w:t>
      </w:r>
      <w:r>
        <w:t>copy</w:t>
      </w:r>
      <w:r w:rsidR="006C6F09">
        <w:t xml:space="preserve"> </w:t>
      </w:r>
      <w:r>
        <w:t>–</w:t>
      </w:r>
      <w:r w:rsidR="006C6F09">
        <w:t xml:space="preserve"> </w:t>
      </w:r>
      <w:r>
        <w:t>consult</w:t>
      </w:r>
      <w:r w:rsidR="006C6F09">
        <w:t xml:space="preserve"> </w:t>
      </w:r>
      <w:r>
        <w:t>with</w:t>
      </w:r>
      <w:r w:rsidR="006C6F09">
        <w:t xml:space="preserve"> </w:t>
      </w:r>
      <w:r>
        <w:t>ENV’s</w:t>
      </w:r>
      <w:r w:rsidR="006C6F09">
        <w:t xml:space="preserve"> </w:t>
      </w:r>
      <w:r>
        <w:t>Project</w:t>
      </w:r>
      <w:r w:rsidR="006C6F09">
        <w:t xml:space="preserve"> </w:t>
      </w:r>
      <w:r>
        <w:t>Delivery</w:t>
      </w:r>
      <w:r w:rsidR="006C6F09">
        <w:t xml:space="preserve"> </w:t>
      </w:r>
      <w:r>
        <w:t>Section</w:t>
      </w:r>
      <w:r w:rsidR="006C6F09">
        <w:t xml:space="preserve"> </w:t>
      </w:r>
      <w:r>
        <w:t>to</w:t>
      </w:r>
      <w:r w:rsidR="006C6F09">
        <w:t xml:space="preserve"> </w:t>
      </w:r>
      <w:r>
        <w:t>discuss</w:t>
      </w:r>
      <w:r w:rsidR="006C6F09">
        <w:t xml:space="preserve"> </w:t>
      </w:r>
      <w:r>
        <w:t>the</w:t>
      </w:r>
      <w:r w:rsidR="006C6F09">
        <w:t xml:space="preserve"> </w:t>
      </w:r>
      <w:r>
        <w:t>best</w:t>
      </w:r>
      <w:r w:rsidR="006C6F09">
        <w:t xml:space="preserve"> </w:t>
      </w:r>
      <w:r>
        <w:t>approach.</w:t>
      </w:r>
      <w:r w:rsidR="006C6F09">
        <w:t xml:space="preserve"> </w:t>
      </w:r>
      <w:r>
        <w:t>If</w:t>
      </w:r>
      <w:r w:rsidR="006C6F09">
        <w:t xml:space="preserve"> </w:t>
      </w:r>
      <w:r>
        <w:t>a</w:t>
      </w:r>
      <w:r w:rsidR="006C6F09">
        <w:t xml:space="preserve"> </w:t>
      </w:r>
      <w:r>
        <w:t>public</w:t>
      </w:r>
      <w:r w:rsidR="006C6F09">
        <w:t xml:space="preserve"> </w:t>
      </w:r>
      <w:r>
        <w:t>hearing</w:t>
      </w:r>
      <w:r w:rsidR="006C6F09">
        <w:t xml:space="preserve"> </w:t>
      </w:r>
      <w:proofErr w:type="gramStart"/>
      <w:r>
        <w:t>will</w:t>
      </w:r>
      <w:r w:rsidR="006C6F09">
        <w:t xml:space="preserve"> </w:t>
      </w:r>
      <w:r>
        <w:t>be</w:t>
      </w:r>
      <w:proofErr w:type="gramEnd"/>
      <w:r w:rsidR="006C6F09">
        <w:t xml:space="preserve"> </w:t>
      </w:r>
      <w:r>
        <w:t>held,</w:t>
      </w:r>
      <w:r w:rsidR="006C6F09">
        <w:t xml:space="preserve"> </w:t>
      </w:r>
      <w:r>
        <w:t>it</w:t>
      </w:r>
      <w:r w:rsidR="006C6F09">
        <w:t xml:space="preserve"> </w:t>
      </w:r>
      <w:r>
        <w:t>is</w:t>
      </w:r>
      <w:r w:rsidR="006C6F09">
        <w:t xml:space="preserve"> </w:t>
      </w:r>
      <w:r>
        <w:t>acceptable</w:t>
      </w:r>
      <w:r w:rsidR="006C6F09">
        <w:t xml:space="preserve"> </w:t>
      </w:r>
      <w:r>
        <w:t>to</w:t>
      </w:r>
      <w:r w:rsidR="006C6F09">
        <w:t xml:space="preserve"> </w:t>
      </w:r>
      <w:r>
        <w:t>include</w:t>
      </w:r>
      <w:r w:rsidR="006C6F09">
        <w:t xml:space="preserve"> </w:t>
      </w:r>
      <w:r>
        <w:t>the</w:t>
      </w:r>
      <w:r w:rsidR="006C6F09">
        <w:t xml:space="preserve"> </w:t>
      </w:r>
      <w:r>
        <w:t>comments</w:t>
      </w:r>
      <w:r w:rsidR="006C6F09">
        <w:t xml:space="preserve"> </w:t>
      </w:r>
      <w:r>
        <w:t>and</w:t>
      </w:r>
      <w:r w:rsidR="006C6F09">
        <w:t xml:space="preserve"> </w:t>
      </w:r>
      <w:r>
        <w:t>responses</w:t>
      </w:r>
      <w:r w:rsidR="006C6F09">
        <w:t xml:space="preserve"> </w:t>
      </w:r>
      <w:r>
        <w:t>in</w:t>
      </w:r>
      <w:r w:rsidR="006C6F09">
        <w:t xml:space="preserve"> </w:t>
      </w:r>
      <w:r>
        <w:t>the</w:t>
      </w:r>
      <w:r w:rsidR="006C6F09">
        <w:t xml:space="preserve"> </w:t>
      </w:r>
      <w:r>
        <w:t>comment</w:t>
      </w:r>
      <w:r w:rsidR="006C6F09">
        <w:t xml:space="preserve"> </w:t>
      </w:r>
      <w:r>
        <w:t>and</w:t>
      </w:r>
      <w:r w:rsidR="006C6F09">
        <w:t xml:space="preserve"> </w:t>
      </w:r>
      <w:r>
        <w:t>response</w:t>
      </w:r>
      <w:r w:rsidR="006C6F09">
        <w:t xml:space="preserve"> </w:t>
      </w:r>
      <w:r>
        <w:t>matrix</w:t>
      </w:r>
      <w:r w:rsidR="006C6F09">
        <w:t xml:space="preserve"> </w:t>
      </w:r>
      <w:r>
        <w:t>prepared</w:t>
      </w:r>
      <w:r w:rsidR="006C6F09">
        <w:t xml:space="preserve"> </w:t>
      </w:r>
      <w:r>
        <w:t>after</w:t>
      </w:r>
      <w:r w:rsidR="006C6F09">
        <w:t xml:space="preserve"> </w:t>
      </w:r>
      <w:r>
        <w:t>the</w:t>
      </w:r>
      <w:r w:rsidR="006C6F09">
        <w:t xml:space="preserve"> </w:t>
      </w:r>
      <w:r>
        <w:t>hearing</w:t>
      </w:r>
      <w:r w:rsidR="006C6F09">
        <w:t xml:space="preserve"> </w:t>
      </w:r>
      <w:r>
        <w:t>instead</w:t>
      </w:r>
      <w:r w:rsidR="006C6F09">
        <w:t xml:space="preserve"> </w:t>
      </w:r>
      <w:r>
        <w:t>of</w:t>
      </w:r>
      <w:r w:rsidR="006C6F09">
        <w:t xml:space="preserve"> </w:t>
      </w:r>
      <w:r>
        <w:t>preparing</w:t>
      </w:r>
      <w:r w:rsidR="006C6F09">
        <w:t xml:space="preserve"> </w:t>
      </w:r>
      <w:r>
        <w:t>a</w:t>
      </w:r>
      <w:r w:rsidR="006C6F09">
        <w:t xml:space="preserve"> </w:t>
      </w:r>
      <w:r>
        <w:t>separate</w:t>
      </w:r>
      <w:r w:rsidR="006C6F09">
        <w:t xml:space="preserve"> </w:t>
      </w:r>
      <w:r>
        <w:t>comment</w:t>
      </w:r>
      <w:r w:rsidR="006C6F09">
        <w:t xml:space="preserve"> </w:t>
      </w:r>
      <w:r>
        <w:t>and</w:t>
      </w:r>
      <w:r w:rsidR="006C6F09">
        <w:t xml:space="preserve"> </w:t>
      </w:r>
      <w:r>
        <w:t>response</w:t>
      </w:r>
      <w:r w:rsidR="006C6F09">
        <w:t xml:space="preserve"> </w:t>
      </w:r>
      <w:r>
        <w:t>matrix</w:t>
      </w:r>
      <w:r w:rsidR="006C6F09">
        <w:t xml:space="preserve"> </w:t>
      </w:r>
      <w:r>
        <w:t>for</w:t>
      </w:r>
      <w:r w:rsidR="006C6F09">
        <w:t xml:space="preserve"> </w:t>
      </w:r>
      <w:r>
        <w:t>the</w:t>
      </w:r>
      <w:r w:rsidR="006C6F09">
        <w:t xml:space="preserve"> </w:t>
      </w:r>
      <w:r>
        <w:t>NAOPH.</w:t>
      </w:r>
      <w:r w:rsidR="006C6F09">
        <w:t xml:space="preserve"> </w:t>
      </w:r>
      <w:r>
        <w:t>See</w:t>
      </w:r>
      <w:r w:rsidR="006C6F09">
        <w:t xml:space="preserve"> </w:t>
      </w:r>
      <w:r w:rsidRPr="00DC72DD">
        <w:rPr>
          <w:b/>
          <w:bCs/>
        </w:rPr>
        <w:t>ENV’s</w:t>
      </w:r>
      <w:r w:rsidR="006C6F09">
        <w:rPr>
          <w:b/>
          <w:bCs/>
        </w:rPr>
        <w:t xml:space="preserve"> </w:t>
      </w:r>
      <w:r w:rsidRPr="00DC72DD">
        <w:rPr>
          <w:b/>
          <w:bCs/>
        </w:rPr>
        <w:t>Guidance</w:t>
      </w:r>
      <w:r w:rsidR="006C6F09">
        <w:rPr>
          <w:b/>
          <w:bCs/>
        </w:rPr>
        <w:t xml:space="preserve"> </w:t>
      </w:r>
      <w:r w:rsidRPr="00DC72DD">
        <w:rPr>
          <w:b/>
          <w:bCs/>
        </w:rPr>
        <w:t>–</w:t>
      </w:r>
      <w:r w:rsidR="006C6F09">
        <w:rPr>
          <w:b/>
          <w:bCs/>
        </w:rPr>
        <w:t xml:space="preserve"> </w:t>
      </w:r>
      <w:r w:rsidRPr="004A731F">
        <w:rPr>
          <w:b/>
          <w:bCs/>
        </w:rPr>
        <w:t>Public</w:t>
      </w:r>
      <w:r w:rsidR="006C6F09">
        <w:rPr>
          <w:b/>
          <w:bCs/>
        </w:rPr>
        <w:t xml:space="preserve"> </w:t>
      </w:r>
      <w:r w:rsidRPr="004A731F">
        <w:rPr>
          <w:b/>
          <w:bCs/>
        </w:rPr>
        <w:t>Comment</w:t>
      </w:r>
      <w:r w:rsidR="006C6F09">
        <w:rPr>
          <w:b/>
          <w:bCs/>
        </w:rPr>
        <w:t xml:space="preserve"> </w:t>
      </w:r>
      <w:r w:rsidRPr="004A731F">
        <w:rPr>
          <w:b/>
          <w:bCs/>
        </w:rPr>
        <w:t>Response</w:t>
      </w:r>
      <w:r w:rsidR="006C6F09">
        <w:rPr>
          <w:b/>
          <w:bCs/>
        </w:rPr>
        <w:t xml:space="preserve"> </w:t>
      </w:r>
      <w:r w:rsidRPr="004A731F">
        <w:rPr>
          <w:b/>
          <w:bCs/>
        </w:rPr>
        <w:t>Matrix</w:t>
      </w:r>
      <w:r w:rsidR="006C6F09">
        <w:rPr>
          <w:i/>
          <w:iCs/>
        </w:rPr>
        <w:t xml:space="preserve"> </w:t>
      </w:r>
      <w:r>
        <w:t>for</w:t>
      </w:r>
      <w:r w:rsidR="006C6F09">
        <w:t xml:space="preserve"> </w:t>
      </w:r>
      <w:r>
        <w:t>further</w:t>
      </w:r>
      <w:r w:rsidR="006C6F09">
        <w:t xml:space="preserve"> </w:t>
      </w:r>
      <w:r>
        <w:t>instructions</w:t>
      </w:r>
      <w:r w:rsidR="006C6F09">
        <w:t xml:space="preserve"> </w:t>
      </w:r>
      <w:r>
        <w:t>regarding</w:t>
      </w:r>
      <w:r w:rsidR="006C6F09">
        <w:t xml:space="preserve"> </w:t>
      </w:r>
      <w:r>
        <w:t>the</w:t>
      </w:r>
      <w:r w:rsidR="006C6F09">
        <w:t xml:space="preserve"> </w:t>
      </w:r>
      <w:r>
        <w:t>comment</w:t>
      </w:r>
      <w:r w:rsidR="006C6F09">
        <w:t xml:space="preserve"> </w:t>
      </w:r>
      <w:r>
        <w:t>and</w:t>
      </w:r>
      <w:r w:rsidR="006C6F09">
        <w:t xml:space="preserve"> </w:t>
      </w:r>
      <w:r>
        <w:t>response</w:t>
      </w:r>
      <w:r w:rsidR="006C6F09">
        <w:t xml:space="preserve"> </w:t>
      </w:r>
      <w:r>
        <w:t>matrix.</w:t>
      </w:r>
    </w:p>
    <w:p w14:paraId="20074734" w14:textId="649B63BD" w:rsidR="00457754" w:rsidRDefault="00457754" w:rsidP="00457754">
      <w:r>
        <w:lastRenderedPageBreak/>
        <w:t>Redact</w:t>
      </w:r>
      <w:r w:rsidR="006C6F09">
        <w:t xml:space="preserve"> </w:t>
      </w:r>
      <w:r>
        <w:t>any</w:t>
      </w:r>
      <w:r w:rsidR="006C6F09">
        <w:t xml:space="preserve"> </w:t>
      </w:r>
      <w:r>
        <w:t>email</w:t>
      </w:r>
      <w:r w:rsidR="006C6F09">
        <w:t xml:space="preserve"> </w:t>
      </w:r>
      <w:r>
        <w:t>addresses</w:t>
      </w:r>
      <w:r w:rsidR="006C6F09">
        <w:t xml:space="preserve"> </w:t>
      </w:r>
      <w:r>
        <w:t>visible</w:t>
      </w:r>
      <w:r w:rsidR="006C6F09">
        <w:t xml:space="preserve"> </w:t>
      </w:r>
      <w:r>
        <w:t>on</w:t>
      </w:r>
      <w:r w:rsidR="006C6F09">
        <w:t xml:space="preserve"> </w:t>
      </w:r>
      <w:r>
        <w:t>correspondence</w:t>
      </w:r>
      <w:r w:rsidR="006C6F09">
        <w:t xml:space="preserve"> </w:t>
      </w:r>
      <w:r>
        <w:t>provided</w:t>
      </w:r>
      <w:r w:rsidR="006C6F09">
        <w:t xml:space="preserve"> </w:t>
      </w:r>
      <w:r>
        <w:t>by</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in</w:t>
      </w:r>
      <w:r w:rsidR="006C6F09">
        <w:t xml:space="preserve"> </w:t>
      </w:r>
      <w:r>
        <w:t>accordance</w:t>
      </w:r>
      <w:r w:rsidR="006C6F09">
        <w:t xml:space="preserve"> </w:t>
      </w:r>
      <w:r>
        <w:t>with</w:t>
      </w:r>
      <w:r w:rsidR="006C6F09">
        <w:t xml:space="preserve"> </w:t>
      </w:r>
      <w:r w:rsidRPr="004A731F">
        <w:t>Texas</w:t>
      </w:r>
      <w:r w:rsidR="006C6F09">
        <w:t xml:space="preserve"> </w:t>
      </w:r>
      <w:r w:rsidRPr="004A731F">
        <w:t>Government</w:t>
      </w:r>
      <w:r w:rsidR="006C6F09">
        <w:t xml:space="preserve"> </w:t>
      </w:r>
      <w:r w:rsidRPr="004A731F">
        <w:t>Code</w:t>
      </w:r>
      <w:r w:rsidR="006C6F09">
        <w:t xml:space="preserve"> </w:t>
      </w:r>
      <w:r>
        <w:t>552.137(a)</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rsidRPr="00263E76">
        <w:t>Texas</w:t>
      </w:r>
      <w:r w:rsidR="006C6F09">
        <w:t xml:space="preserve"> </w:t>
      </w:r>
      <w:r w:rsidRPr="00263E76">
        <w:t>Attorney</w:t>
      </w:r>
      <w:r w:rsidR="006C6F09">
        <w:t xml:space="preserve"> </w:t>
      </w:r>
      <w:r w:rsidRPr="00263E76">
        <w:t>General’s</w:t>
      </w:r>
      <w:r w:rsidR="006C6F09">
        <w:t xml:space="preserve"> </w:t>
      </w:r>
      <w:r w:rsidRPr="00263E76">
        <w:t>2020</w:t>
      </w:r>
      <w:r w:rsidR="006C6F09">
        <w:t xml:space="preserve"> </w:t>
      </w:r>
      <w:r w:rsidRPr="00263E76">
        <w:t>Public</w:t>
      </w:r>
      <w:r w:rsidR="006C6F09">
        <w:t xml:space="preserve"> </w:t>
      </w:r>
      <w:r w:rsidRPr="00263E76">
        <w:t>Information</w:t>
      </w:r>
      <w:r w:rsidR="006C6F09">
        <w:t xml:space="preserve"> </w:t>
      </w:r>
      <w:r w:rsidRPr="00263E76">
        <w:t>Act</w:t>
      </w:r>
      <w:r w:rsidR="006C6F09">
        <w:t xml:space="preserve"> </w:t>
      </w:r>
      <w:r w:rsidRPr="00263E76">
        <w:t>Handbook</w:t>
      </w:r>
      <w:r w:rsidR="006C6F09">
        <w:t xml:space="preserve"> </w:t>
      </w:r>
      <w:r>
        <w:t>at</w:t>
      </w:r>
      <w:r w:rsidR="006C6F09">
        <w:t xml:space="preserve"> </w:t>
      </w:r>
      <w:r>
        <w:t>pages</w:t>
      </w:r>
      <w:r w:rsidR="006C6F09">
        <w:t xml:space="preserve"> </w:t>
      </w:r>
      <w:r>
        <w:t>161-162).</w:t>
      </w:r>
      <w:r w:rsidR="006C6F09">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t>to</w:t>
      </w:r>
      <w:r w:rsidR="006C6F09">
        <w:t xml:space="preserve"> </w:t>
      </w:r>
      <w:r>
        <w:t>redact</w:t>
      </w:r>
      <w:r w:rsidR="006C6F09">
        <w:t xml:space="preserve"> </w:t>
      </w:r>
      <w:r>
        <w:t>physical</w:t>
      </w:r>
      <w:r w:rsidR="006C6F09">
        <w:t xml:space="preserve"> </w:t>
      </w:r>
      <w:r>
        <w:t>addresses.</w:t>
      </w:r>
      <w:r w:rsidR="006C6F09">
        <w:t xml:space="preserve"> </w:t>
      </w:r>
      <w:proofErr w:type="gramStart"/>
      <w:r>
        <w:t>Redaction</w:t>
      </w:r>
      <w:proofErr w:type="gramEnd"/>
      <w:r w:rsidR="006C6F09">
        <w:t xml:space="preserve"> </w:t>
      </w:r>
      <w:r>
        <w:t>of</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done</w:t>
      </w:r>
      <w:r w:rsidR="006C6F09">
        <w:t xml:space="preserve"> </w:t>
      </w:r>
      <w:r>
        <w:t>on</w:t>
      </w:r>
      <w:r w:rsidR="006C6F09">
        <w:t xml:space="preserve"> </w:t>
      </w:r>
      <w:r>
        <w:t>a</w:t>
      </w:r>
      <w:r w:rsidR="006C6F09">
        <w:t xml:space="preserve"> </w:t>
      </w:r>
      <w:r>
        <w:t>discretionary</w:t>
      </w:r>
      <w:r w:rsidR="006C6F09">
        <w:t xml:space="preserve"> </w:t>
      </w:r>
      <w:r>
        <w:t>basis.</w:t>
      </w:r>
      <w:r w:rsidR="006C6F09">
        <w:t xml:space="preserve"> </w:t>
      </w:r>
    </w:p>
    <w:p w14:paraId="524358BA" w14:textId="79C28FFE" w:rsidR="00457754" w:rsidRPr="007242A6" w:rsidRDefault="00457754" w:rsidP="00457754">
      <w:pPr>
        <w:pStyle w:val="Heading3"/>
      </w:pPr>
      <w:bookmarkStart w:id="116" w:name="_Ref219791511"/>
      <w:bookmarkStart w:id="117" w:name="_Toc224026244"/>
      <w:r w:rsidRPr="00697763">
        <w:t>14.4</w:t>
      </w:r>
      <w:r w:rsidR="006C6F09" w:rsidRPr="00697763">
        <w:t xml:space="preserve"> </w:t>
      </w:r>
      <w:r w:rsidRPr="00697763">
        <w:t>Public</w:t>
      </w:r>
      <w:r w:rsidR="006C6F09" w:rsidRPr="00697763">
        <w:t xml:space="preserve"> </w:t>
      </w:r>
      <w:r w:rsidRPr="00697763">
        <w:t>Hearing</w:t>
      </w:r>
      <w:r w:rsidR="006C6F09" w:rsidRPr="00697763">
        <w:t xml:space="preserve"> </w:t>
      </w:r>
      <w:r w:rsidRPr="00697763">
        <w:t>Documentation</w:t>
      </w:r>
      <w:bookmarkEnd w:id="116"/>
      <w:bookmarkEnd w:id="117"/>
      <w:r w:rsidR="006C6F09" w:rsidRPr="00697763">
        <w:t xml:space="preserve"> </w:t>
      </w:r>
    </w:p>
    <w:p w14:paraId="7CAFB24E" w14:textId="01F419AE" w:rsidR="00457754" w:rsidRDefault="00457754" w:rsidP="00457754">
      <w:r>
        <w:t>The</w:t>
      </w:r>
      <w:r w:rsidR="006C6F09">
        <w:t xml:space="preserve"> </w:t>
      </w:r>
      <w:r>
        <w:t>project</w:t>
      </w:r>
      <w:r w:rsidR="006C6F09">
        <w:t xml:space="preserve"> </w:t>
      </w:r>
      <w:r>
        <w:t>sponsor</w:t>
      </w:r>
      <w:r w:rsidR="006C6F09">
        <w:t xml:space="preserve"> </w:t>
      </w:r>
      <w:r>
        <w:t>is</w:t>
      </w:r>
      <w:r w:rsidR="006C6F09">
        <w:t xml:space="preserve"> </w:t>
      </w:r>
      <w:r>
        <w:t>required</w:t>
      </w:r>
      <w:r w:rsidR="006C6F09">
        <w:t xml:space="preserve"> </w:t>
      </w:r>
      <w:r>
        <w:t>to</w:t>
      </w:r>
      <w:r w:rsidR="006C6F09">
        <w:t xml:space="preserve"> </w:t>
      </w:r>
      <w:r>
        <w:t>submit</w:t>
      </w:r>
      <w:r w:rsidR="006C6F09">
        <w:t xml:space="preserve"> </w:t>
      </w:r>
      <w:r>
        <w:t>the</w:t>
      </w:r>
      <w:r w:rsidR="006C6F09">
        <w:t xml:space="preserve"> </w:t>
      </w:r>
      <w:r>
        <w:t>following</w:t>
      </w:r>
      <w:r w:rsidR="006C6F09">
        <w:t xml:space="preserve"> </w:t>
      </w:r>
      <w:r>
        <w:t>documentation</w:t>
      </w:r>
      <w:r w:rsidR="006C6F09">
        <w:t xml:space="preserve"> </w:t>
      </w:r>
      <w:r>
        <w:t>to</w:t>
      </w:r>
      <w:r w:rsidR="006C6F09">
        <w:t xml:space="preserve"> </w:t>
      </w:r>
      <w:r>
        <w:t>the</w:t>
      </w:r>
      <w:r w:rsidR="006C6F09">
        <w:t xml:space="preserve"> </w:t>
      </w:r>
      <w:r>
        <w:t>department</w:t>
      </w:r>
      <w:r w:rsidR="006C6F09">
        <w:t xml:space="preserve"> </w:t>
      </w:r>
      <w:r>
        <w:t>delegate</w:t>
      </w:r>
      <w:r w:rsidR="006C6F09">
        <w:t xml:space="preserve"> </w:t>
      </w:r>
      <w:r>
        <w:t>after</w:t>
      </w:r>
      <w:r w:rsidR="006C6F09">
        <w:t xml:space="preserve"> </w:t>
      </w:r>
      <w:r>
        <w:t>the</w:t>
      </w:r>
      <w:r w:rsidR="006C6F09">
        <w:t xml:space="preserve"> </w:t>
      </w:r>
      <w:r>
        <w:t>completion</w:t>
      </w:r>
      <w:r w:rsidR="006C6F09">
        <w:t xml:space="preserve"> </w:t>
      </w:r>
      <w:r>
        <w:t>of</w:t>
      </w:r>
      <w:r w:rsidR="006C6F09">
        <w:t xml:space="preserve"> </w:t>
      </w:r>
      <w:r>
        <w:t>a</w:t>
      </w:r>
      <w:r w:rsidR="006C6F09">
        <w:t xml:space="preserve"> </w:t>
      </w:r>
      <w:r>
        <w:t>public</w:t>
      </w:r>
      <w:r w:rsidR="006C6F09">
        <w:t xml:space="preserve"> </w:t>
      </w:r>
      <w:r>
        <w:t>hearing.</w:t>
      </w:r>
      <w:r w:rsidR="006C6F09">
        <w:t xml:space="preserve"> </w:t>
      </w:r>
      <w:r>
        <w:t>The</w:t>
      </w:r>
      <w:r w:rsidR="006C6F09">
        <w:t xml:space="preserve"> </w:t>
      </w:r>
      <w:r>
        <w:t>documentation</w:t>
      </w:r>
      <w:r w:rsidR="006C6F09">
        <w:t xml:space="preserve"> </w:t>
      </w:r>
      <w:r>
        <w:t>must</w:t>
      </w:r>
      <w:r w:rsidR="006C6F09">
        <w:t xml:space="preserve"> </w:t>
      </w:r>
      <w:r>
        <w:t>be</w:t>
      </w:r>
      <w:r w:rsidR="006C6F09">
        <w:t xml:space="preserve"> </w:t>
      </w:r>
      <w:r>
        <w:t>retained</w:t>
      </w:r>
      <w:r w:rsidR="006C6F09">
        <w:t xml:space="preserve"> </w:t>
      </w:r>
      <w:r>
        <w:t>in</w:t>
      </w:r>
      <w:r w:rsidR="006C6F09">
        <w:t xml:space="preserve"> </w:t>
      </w:r>
      <w:r>
        <w:t>the</w:t>
      </w:r>
      <w:r w:rsidR="006C6F09">
        <w:t xml:space="preserve"> </w:t>
      </w:r>
      <w:r>
        <w:t>official</w:t>
      </w:r>
      <w:r w:rsidR="006C6F09">
        <w:t xml:space="preserve"> </w:t>
      </w:r>
      <w:r>
        <w:t>project</w:t>
      </w:r>
      <w:r w:rsidR="006C6F09">
        <w:t xml:space="preserve"> </w:t>
      </w:r>
      <w:r>
        <w:t>file.</w:t>
      </w:r>
      <w:r w:rsidR="006C6F09">
        <w:t xml:space="preserve"> </w:t>
      </w:r>
      <w:r>
        <w:t>Templates</w:t>
      </w:r>
      <w:r w:rsidR="006C6F09">
        <w:t xml:space="preserve"> </w:t>
      </w:r>
      <w:r>
        <w:t>and</w:t>
      </w:r>
      <w:r w:rsidR="006C6F09">
        <w:t xml:space="preserve"> </w:t>
      </w:r>
      <w:r>
        <w:t>guidance</w:t>
      </w:r>
      <w:r w:rsidR="006C6F09">
        <w:t xml:space="preserve"> </w:t>
      </w:r>
      <w:r>
        <w:t>for</w:t>
      </w:r>
      <w:r w:rsidR="006C6F09">
        <w:t xml:space="preserve"> </w:t>
      </w:r>
      <w:r>
        <w:t>the</w:t>
      </w:r>
      <w:r w:rsidR="006C6F09">
        <w:t xml:space="preserve"> </w:t>
      </w:r>
      <w:r>
        <w:t>required</w:t>
      </w:r>
      <w:r w:rsidR="006C6F09">
        <w:t xml:space="preserve"> </w:t>
      </w:r>
      <w:r>
        <w:t>documentation</w:t>
      </w:r>
      <w:r w:rsidR="006C6F09">
        <w:t xml:space="preserve"> </w:t>
      </w:r>
      <w:r>
        <w:t>format</w:t>
      </w:r>
      <w:r w:rsidR="006C6F09">
        <w:t xml:space="preserve"> </w:t>
      </w:r>
      <w:r>
        <w:t>are</w:t>
      </w:r>
      <w:r w:rsidR="006C6F09">
        <w:t xml:space="preserve"> </w:t>
      </w:r>
      <w:r>
        <w:t>available</w:t>
      </w:r>
      <w:r w:rsidR="006C6F09">
        <w:t xml:space="preserve"> </w:t>
      </w:r>
      <w:r>
        <w:t>in</w:t>
      </w:r>
      <w:r w:rsidR="006C6F09">
        <w:t xml:space="preserve"> </w:t>
      </w:r>
      <w:r>
        <w:t>the</w:t>
      </w:r>
      <w:r w:rsidR="006C6F09">
        <w:t xml:space="preserve"> </w:t>
      </w:r>
      <w:r>
        <w:t>toolkit.</w:t>
      </w:r>
      <w:r w:rsidR="006C6F09">
        <w:t xml:space="preserve"> </w:t>
      </w:r>
      <w:r>
        <w:t>Note</w:t>
      </w:r>
      <w:r w:rsidR="006C6F09">
        <w:t xml:space="preserve"> </w:t>
      </w:r>
      <w:r>
        <w:t>that</w:t>
      </w:r>
      <w:r w:rsidR="006C6F09">
        <w:t xml:space="preserve"> </w:t>
      </w:r>
      <w:r>
        <w:t>ENV</w:t>
      </w:r>
      <w:r w:rsidR="006C6F09">
        <w:t xml:space="preserve"> </w:t>
      </w:r>
      <w:r>
        <w:t>previously</w:t>
      </w:r>
      <w:r w:rsidR="006C6F09">
        <w:t xml:space="preserve"> </w:t>
      </w:r>
      <w:r>
        <w:t>required</w:t>
      </w:r>
      <w:r w:rsidR="006C6F09">
        <w:t xml:space="preserve"> </w:t>
      </w:r>
      <w:r>
        <w:t>districts</w:t>
      </w:r>
      <w:r w:rsidR="006C6F09">
        <w:t xml:space="preserve"> </w:t>
      </w:r>
      <w:r>
        <w:t>to</w:t>
      </w:r>
      <w:r w:rsidR="006C6F09">
        <w:t xml:space="preserve"> </w:t>
      </w:r>
      <w:r>
        <w:t>prepare</w:t>
      </w:r>
      <w:r w:rsidR="006C6F09">
        <w:t xml:space="preserve"> </w:t>
      </w:r>
      <w:r>
        <w:t>a</w:t>
      </w:r>
      <w:r w:rsidR="006C6F09">
        <w:t xml:space="preserve"> </w:t>
      </w:r>
      <w:r>
        <w:t>public</w:t>
      </w:r>
      <w:r w:rsidR="006C6F09">
        <w:t xml:space="preserve"> </w:t>
      </w:r>
      <w:r>
        <w:t>hearing</w:t>
      </w:r>
      <w:r w:rsidR="006C6F09">
        <w:t xml:space="preserve"> </w:t>
      </w:r>
      <w:r>
        <w:t>certification</w:t>
      </w:r>
      <w:r w:rsidR="006C6F09">
        <w:t xml:space="preserve"> </w:t>
      </w:r>
      <w:r>
        <w:t>documenting</w:t>
      </w:r>
      <w:r w:rsidR="006C6F09">
        <w:t xml:space="preserve"> </w:t>
      </w:r>
      <w:r>
        <w:t>that</w:t>
      </w:r>
      <w:r w:rsidR="006C6F09">
        <w:t xml:space="preserve"> </w:t>
      </w:r>
      <w:r>
        <w:t>the</w:t>
      </w:r>
      <w:r w:rsidR="006C6F09">
        <w:t xml:space="preserve"> </w:t>
      </w:r>
      <w:r>
        <w:t>public</w:t>
      </w:r>
      <w:r w:rsidR="006C6F09">
        <w:t xml:space="preserve"> </w:t>
      </w:r>
      <w:r>
        <w:t>hearing</w:t>
      </w:r>
      <w:r w:rsidR="006C6F09">
        <w:t xml:space="preserve"> </w:t>
      </w:r>
      <w:r>
        <w:t>had</w:t>
      </w:r>
      <w:r w:rsidR="006C6F09">
        <w:t xml:space="preserve"> </w:t>
      </w:r>
      <w:r>
        <w:t>been</w:t>
      </w:r>
      <w:r w:rsidR="006C6F09">
        <w:t xml:space="preserve"> </w:t>
      </w:r>
      <w:r>
        <w:t>held.</w:t>
      </w:r>
      <w:r w:rsidR="006C6F09">
        <w:t xml:space="preserve"> </w:t>
      </w:r>
      <w:r>
        <w:t>This</w:t>
      </w:r>
      <w:r w:rsidR="006C6F09">
        <w:t xml:space="preserve"> </w:t>
      </w:r>
      <w:r>
        <w:t>is</w:t>
      </w:r>
      <w:r w:rsidR="006C6F09">
        <w:t xml:space="preserve"> </w:t>
      </w:r>
      <w:r>
        <w:t>no</w:t>
      </w:r>
      <w:r w:rsidR="006C6F09">
        <w:t xml:space="preserve"> </w:t>
      </w:r>
      <w:r>
        <w:t>longer</w:t>
      </w:r>
      <w:r w:rsidR="006C6F09">
        <w:t xml:space="preserve"> </w:t>
      </w:r>
      <w:r>
        <w:t>required</w:t>
      </w:r>
      <w:r w:rsidR="006C6F09">
        <w:t xml:space="preserve"> </w:t>
      </w:r>
      <w:r>
        <w:t>because</w:t>
      </w:r>
      <w:r w:rsidR="006C6F09">
        <w:t xml:space="preserve"> </w:t>
      </w:r>
      <w:r>
        <w:t>district</w:t>
      </w:r>
      <w:r w:rsidR="006C6F09">
        <w:t xml:space="preserve"> </w:t>
      </w:r>
      <w:r>
        <w:t>environmental</w:t>
      </w:r>
      <w:r w:rsidR="006C6F09">
        <w:t xml:space="preserve"> </w:t>
      </w:r>
      <w:r>
        <w:t>staff’s</w:t>
      </w:r>
      <w:r w:rsidR="006C6F09">
        <w:t xml:space="preserve"> </w:t>
      </w:r>
      <w:r>
        <w:t>finalization</w:t>
      </w:r>
      <w:r w:rsidR="006C6F09">
        <w:t xml:space="preserve"> </w:t>
      </w:r>
      <w:r>
        <w:t>of</w:t>
      </w:r>
      <w:r w:rsidR="006C6F09">
        <w:t xml:space="preserve"> </w:t>
      </w:r>
      <w:r>
        <w:t>the</w:t>
      </w:r>
      <w:r w:rsidR="006C6F09">
        <w:t xml:space="preserve"> </w:t>
      </w:r>
      <w:r>
        <w:t>“Perform</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r>
        <w:t>(OPH)</w:t>
      </w:r>
      <w:r w:rsidR="006C6F09">
        <w:t xml:space="preserve"> </w:t>
      </w:r>
      <w:r>
        <w:t>or</w:t>
      </w:r>
      <w:r w:rsidR="006C6F09">
        <w:t xml:space="preserve"> </w:t>
      </w:r>
      <w:r>
        <w:t>Public</w:t>
      </w:r>
      <w:r w:rsidR="006C6F09">
        <w:t xml:space="preserve"> </w:t>
      </w:r>
      <w:r>
        <w:t>Hearing</w:t>
      </w:r>
      <w:r w:rsidR="006C6F09">
        <w:t xml:space="preserve"> </w:t>
      </w:r>
      <w:r>
        <w:t>(PH)”</w:t>
      </w:r>
      <w:r w:rsidR="006C6F09">
        <w:t xml:space="preserve"> </w:t>
      </w:r>
      <w:r>
        <w:t>Activity</w:t>
      </w:r>
      <w:r w:rsidR="006C6F09">
        <w:t xml:space="preserve"> </w:t>
      </w:r>
      <w:r>
        <w:t>serves</w:t>
      </w:r>
      <w:r w:rsidR="006C6F09">
        <w:t xml:space="preserve"> </w:t>
      </w:r>
      <w:r>
        <w:t>as</w:t>
      </w:r>
      <w:r w:rsidR="006C6F09">
        <w:t xml:space="preserve"> </w:t>
      </w:r>
      <w:r>
        <w:t>the</w:t>
      </w:r>
      <w:r w:rsidR="006C6F09">
        <w:t xml:space="preserve"> </w:t>
      </w:r>
      <w:r>
        <w:t>“certification”</w:t>
      </w:r>
      <w:r w:rsidR="006C6F09">
        <w:t xml:space="preserve"> </w:t>
      </w:r>
      <w:r>
        <w:t>that</w:t>
      </w:r>
      <w:r w:rsidR="006C6F09">
        <w:t xml:space="preserve"> </w:t>
      </w:r>
      <w:r>
        <w:t>the</w:t>
      </w:r>
      <w:r w:rsidR="006C6F09">
        <w:t xml:space="preserve"> </w:t>
      </w:r>
      <w:r>
        <w:t>public</w:t>
      </w:r>
      <w:r w:rsidR="006C6F09">
        <w:t xml:space="preserve"> </w:t>
      </w:r>
      <w:r>
        <w:t>hearing</w:t>
      </w:r>
      <w:r w:rsidR="006C6F09">
        <w:t xml:space="preserve"> </w:t>
      </w:r>
      <w:r>
        <w:t>has</w:t>
      </w:r>
      <w:r w:rsidR="006C6F09">
        <w:t xml:space="preserve"> </w:t>
      </w:r>
      <w:r>
        <w:t>been</w:t>
      </w:r>
      <w:r w:rsidR="006C6F09">
        <w:t xml:space="preserve"> </w:t>
      </w:r>
      <w:r>
        <w:t>held</w:t>
      </w:r>
      <w:r w:rsidR="006C6F09">
        <w:t xml:space="preserve"> </w:t>
      </w:r>
      <w:r>
        <w:t>as</w:t>
      </w:r>
      <w:r w:rsidR="006C6F09">
        <w:t xml:space="preserve"> </w:t>
      </w:r>
      <w:r>
        <w:t>required</w:t>
      </w:r>
      <w:r w:rsidR="006C6F09">
        <w:t xml:space="preserve"> </w:t>
      </w:r>
      <w:r>
        <w:t>by</w:t>
      </w:r>
      <w:r w:rsidR="006C6F09">
        <w:t xml:space="preserve"> </w:t>
      </w:r>
      <w:r w:rsidRPr="008368E1">
        <w:t>23</w:t>
      </w:r>
      <w:r w:rsidR="006C6F09">
        <w:t xml:space="preserve"> </w:t>
      </w:r>
      <w:r w:rsidRPr="008368E1">
        <w:t>CFR</w:t>
      </w:r>
      <w:r w:rsidR="006C6F09">
        <w:t xml:space="preserve"> </w:t>
      </w:r>
      <w:r w:rsidRPr="008368E1">
        <w:t>771</w:t>
      </w:r>
      <w:r>
        <w:t>.111(h)(2)(vi).</w:t>
      </w:r>
    </w:p>
    <w:p w14:paraId="7B585943" w14:textId="6D816D9E" w:rsidR="00457754" w:rsidRDefault="00457754" w:rsidP="00457754">
      <w:r>
        <w:t>The</w:t>
      </w:r>
      <w:r w:rsidR="006C6F09">
        <w:t xml:space="preserve"> </w:t>
      </w:r>
      <w:r>
        <w:t>final</w:t>
      </w:r>
      <w:r w:rsidR="006C6F09">
        <w:t xml:space="preserve"> </w:t>
      </w:r>
      <w:r>
        <w:t>EIS,</w:t>
      </w:r>
      <w:r w:rsidR="006C6F09">
        <w:t xml:space="preserve"> </w:t>
      </w:r>
      <w:r>
        <w:t>EA,</w:t>
      </w:r>
      <w:r w:rsidR="006C6F09">
        <w:t xml:space="preserve"> </w:t>
      </w:r>
      <w:r>
        <w:t>or</w:t>
      </w:r>
      <w:r w:rsidR="006C6F09">
        <w:t xml:space="preserve"> </w:t>
      </w:r>
      <w:r>
        <w:t>CE</w:t>
      </w:r>
      <w:r w:rsidR="006C6F09">
        <w:t xml:space="preserve"> </w:t>
      </w:r>
      <w:r>
        <w:t>determination</w:t>
      </w:r>
      <w:r w:rsidR="006C6F09">
        <w:t xml:space="preserve"> </w:t>
      </w:r>
      <w:r>
        <w:t>shall</w:t>
      </w:r>
      <w:r w:rsidR="006C6F09">
        <w:t xml:space="preserve"> </w:t>
      </w:r>
      <w:r>
        <w:t>reflect</w:t>
      </w:r>
      <w:r w:rsidR="006C6F09">
        <w:t xml:space="preserve"> </w:t>
      </w:r>
      <w:r>
        <w:t>the</w:t>
      </w:r>
      <w:r w:rsidR="006C6F09">
        <w:t xml:space="preserve"> </w:t>
      </w:r>
      <w:r>
        <w:t>holding</w:t>
      </w:r>
      <w:r w:rsidR="006C6F09">
        <w:t xml:space="preserve"> </w:t>
      </w:r>
      <w:r>
        <w:t>of</w:t>
      </w:r>
      <w:r w:rsidR="006C6F09">
        <w:t xml:space="preserve"> </w:t>
      </w:r>
      <w:r>
        <w:t>a</w:t>
      </w:r>
      <w:r w:rsidR="006C6F09">
        <w:t xml:space="preserve"> </w:t>
      </w:r>
      <w:r>
        <w:t>public</w:t>
      </w:r>
      <w:r w:rsidR="006C6F09">
        <w:t xml:space="preserve"> </w:t>
      </w:r>
      <w:r>
        <w:t>hearing</w:t>
      </w:r>
      <w:r w:rsidR="006C6F09">
        <w:t xml:space="preserve"> </w:t>
      </w:r>
      <w:r>
        <w:t>including</w:t>
      </w:r>
      <w:r w:rsidR="006C6F09">
        <w:t xml:space="preserve"> </w:t>
      </w:r>
      <w:r>
        <w:t>project</w:t>
      </w:r>
      <w:r w:rsidR="006C6F09">
        <w:t xml:space="preserve"> </w:t>
      </w:r>
      <w:r>
        <w:t>revisions</w:t>
      </w:r>
      <w:r w:rsidR="006C6F09">
        <w:t xml:space="preserve"> </w:t>
      </w:r>
      <w:r>
        <w:t>to</w:t>
      </w:r>
      <w:r w:rsidR="006C6F09">
        <w:t xml:space="preserve"> </w:t>
      </w:r>
      <w:r>
        <w:t>the</w:t>
      </w:r>
      <w:r w:rsidR="006C6F09">
        <w:t xml:space="preserve"> </w:t>
      </w:r>
      <w:r>
        <w:t>proposed</w:t>
      </w:r>
      <w:r w:rsidR="006C6F09">
        <w:t xml:space="preserve"> </w:t>
      </w:r>
      <w:r>
        <w:t>design</w:t>
      </w:r>
      <w:r w:rsidR="006C6F09">
        <w:t xml:space="preserve"> </w:t>
      </w:r>
      <w:r>
        <w:t>or</w:t>
      </w:r>
      <w:r w:rsidR="006C6F09">
        <w:t xml:space="preserve"> </w:t>
      </w:r>
      <w:r>
        <w:t>changes</w:t>
      </w:r>
      <w:r w:rsidR="006C6F09">
        <w:t xml:space="preserve"> </w:t>
      </w:r>
      <w:r>
        <w:t>in</w:t>
      </w:r>
      <w:r w:rsidR="006C6F09">
        <w:t xml:space="preserve"> </w:t>
      </w:r>
      <w:r>
        <w:t>anticipated</w:t>
      </w:r>
      <w:r w:rsidR="006C6F09">
        <w:t xml:space="preserve"> </w:t>
      </w:r>
      <w:r>
        <w:t>impacts</w:t>
      </w:r>
      <w:r w:rsidR="006C6F09">
        <w:t xml:space="preserve"> </w:t>
      </w:r>
      <w:r>
        <w:t>because</w:t>
      </w:r>
      <w:r w:rsidR="006C6F09">
        <w:t xml:space="preserve"> </w:t>
      </w:r>
      <w:r>
        <w:t>of</w:t>
      </w:r>
      <w:r w:rsidR="006C6F09">
        <w:t xml:space="preserve"> </w:t>
      </w:r>
      <w:r>
        <w:t>comments</w:t>
      </w:r>
      <w:r w:rsidR="006C6F09">
        <w:t xml:space="preserve"> </w:t>
      </w:r>
      <w:r>
        <w:t>received.</w:t>
      </w:r>
      <w:r w:rsidR="006C6F09">
        <w:t xml:space="preserve"> </w:t>
      </w:r>
      <w:r>
        <w:t>Additional</w:t>
      </w:r>
      <w:r w:rsidR="006C6F09">
        <w:t xml:space="preserve"> </w:t>
      </w:r>
      <w:r>
        <w:t>public</w:t>
      </w:r>
      <w:r w:rsidR="006C6F09">
        <w:t xml:space="preserve"> </w:t>
      </w:r>
      <w:r>
        <w:t>involvement</w:t>
      </w:r>
      <w:r w:rsidR="006C6F09">
        <w:t xml:space="preserve"> </w:t>
      </w:r>
      <w:r>
        <w:t>may</w:t>
      </w:r>
      <w:r w:rsidR="006C6F09">
        <w:t xml:space="preserve"> </w:t>
      </w:r>
      <w:r>
        <w:t>be</w:t>
      </w:r>
      <w:r w:rsidR="006C6F09">
        <w:t xml:space="preserve"> </w:t>
      </w:r>
      <w:r>
        <w:t>required</w:t>
      </w:r>
      <w:r w:rsidR="006C6F09">
        <w:t xml:space="preserve"> </w:t>
      </w:r>
      <w:r>
        <w:t>because</w:t>
      </w:r>
      <w:r w:rsidR="006C6F09">
        <w:t xml:space="preserve"> </w:t>
      </w:r>
      <w:r>
        <w:t>of</w:t>
      </w:r>
      <w:r w:rsidR="006C6F09">
        <w:t xml:space="preserve"> </w:t>
      </w:r>
      <w:r>
        <w:t>these</w:t>
      </w:r>
      <w:r w:rsidR="006C6F09">
        <w:t xml:space="preserve"> </w:t>
      </w:r>
      <w:proofErr w:type="gramStart"/>
      <w:r>
        <w:t>revisions</w:t>
      </w:r>
      <w:proofErr w:type="gramEnd"/>
      <w:r>
        <w:t>.</w:t>
      </w:r>
      <w:r w:rsidR="006C6F09">
        <w:t xml:space="preserve"> </w:t>
      </w:r>
    </w:p>
    <w:p w14:paraId="73F066B6" w14:textId="3E18ADAD" w:rsidR="005F2336" w:rsidRDefault="00457754" w:rsidP="005F2336">
      <w:r>
        <w:t>The</w:t>
      </w:r>
      <w:r w:rsidR="006C6F09">
        <w:t xml:space="preserve"> </w:t>
      </w:r>
      <w:r>
        <w:t>documentation</w:t>
      </w:r>
      <w:r w:rsidR="006C6F09">
        <w:t xml:space="preserve"> </w:t>
      </w:r>
      <w:r>
        <w:t>will</w:t>
      </w:r>
      <w:r w:rsidR="006C6F09">
        <w:t xml:space="preserve"> </w:t>
      </w:r>
      <w:r>
        <w:t>be</w:t>
      </w:r>
      <w:r w:rsidR="006C6F09">
        <w:t xml:space="preserve"> </w:t>
      </w:r>
      <w:r>
        <w:t>submitted</w:t>
      </w:r>
      <w:r w:rsidR="006C6F09">
        <w:t xml:space="preserve"> </w:t>
      </w:r>
      <w:r>
        <w:t>as</w:t>
      </w:r>
      <w:r w:rsidR="006C6F09">
        <w:t xml:space="preserve"> </w:t>
      </w:r>
      <w:r>
        <w:t>a</w:t>
      </w:r>
      <w:r w:rsidR="006C6F09">
        <w:t xml:space="preserve"> </w:t>
      </w:r>
      <w:r>
        <w:t>single</w:t>
      </w:r>
      <w:r w:rsidR="006C6F09">
        <w:t xml:space="preserve"> </w:t>
      </w:r>
      <w:r>
        <w:t>and</w:t>
      </w:r>
      <w:r w:rsidR="006C6F09">
        <w:t xml:space="preserve"> </w:t>
      </w:r>
      <w:r>
        <w:t>complete</w:t>
      </w:r>
      <w:r w:rsidR="006C6F09">
        <w:t xml:space="preserve"> </w:t>
      </w:r>
      <w:r>
        <w:t>packet.</w:t>
      </w:r>
      <w:r w:rsidR="006C6F09">
        <w:t xml:space="preserve"> </w:t>
      </w:r>
      <w:r>
        <w:t>Public</w:t>
      </w:r>
      <w:r w:rsidR="006C6F09">
        <w:t xml:space="preserve"> </w:t>
      </w:r>
      <w:r>
        <w:t>hearing</w:t>
      </w:r>
      <w:r w:rsidR="006C6F09">
        <w:t xml:space="preserve"> </w:t>
      </w:r>
      <w:r>
        <w:t>documentation</w:t>
      </w:r>
      <w:r w:rsidR="006C6F09">
        <w:t xml:space="preserve"> </w:t>
      </w:r>
      <w:r>
        <w:t>shall</w:t>
      </w:r>
      <w:r w:rsidR="006C6F09">
        <w:t xml:space="preserve"> </w:t>
      </w:r>
      <w:r>
        <w:t>include</w:t>
      </w:r>
      <w:r w:rsidR="006C6F09">
        <w:t xml:space="preserve"> </w:t>
      </w:r>
      <w:r>
        <w:t>the</w:t>
      </w:r>
      <w:r w:rsidR="006C6F09">
        <w:t xml:space="preserve"> </w:t>
      </w:r>
      <w:r>
        <w:t>following.</w:t>
      </w:r>
      <w:r w:rsidR="006C6F09">
        <w:t xml:space="preserve"> </w:t>
      </w:r>
    </w:p>
    <w:p w14:paraId="555A3CE6" w14:textId="1F6A5C76" w:rsidR="00457754" w:rsidRDefault="00457754" w:rsidP="00D97AAC">
      <w:pPr>
        <w:pStyle w:val="ListNumber"/>
        <w:numPr>
          <w:ilvl w:val="0"/>
          <w:numId w:val="9"/>
        </w:numPr>
      </w:pPr>
      <w:r>
        <w:t>Cover</w:t>
      </w:r>
      <w:r w:rsidR="006C6F09">
        <w:t xml:space="preserve"> </w:t>
      </w:r>
      <w:r>
        <w:t>Sheet</w:t>
      </w:r>
      <w:r w:rsidR="006C6F09">
        <w:t xml:space="preserve"> </w:t>
      </w:r>
      <w:r>
        <w:t>–</w:t>
      </w:r>
      <w:r w:rsidR="006C6F09">
        <w:t xml:space="preserve"> </w:t>
      </w:r>
      <w:r>
        <w:t>Public</w:t>
      </w:r>
      <w:r w:rsidR="006C6F09">
        <w:t xml:space="preserve"> </w:t>
      </w:r>
      <w:r>
        <w:t>hearing</w:t>
      </w:r>
      <w:r w:rsidR="006C6F09">
        <w:t xml:space="preserve"> </w:t>
      </w:r>
      <w:r>
        <w:t>documentation</w:t>
      </w:r>
      <w:r w:rsidR="006C6F09">
        <w:t xml:space="preserve"> </w:t>
      </w:r>
    </w:p>
    <w:p w14:paraId="01DF3081" w14:textId="0C9BF939" w:rsidR="00457754" w:rsidRDefault="00457754" w:rsidP="00457754">
      <w:pPr>
        <w:pStyle w:val="ListNumber"/>
        <w:numPr>
          <w:ilvl w:val="0"/>
          <w:numId w:val="0"/>
        </w:numPr>
        <w:ind w:left="360"/>
      </w:pPr>
      <w:r>
        <w:lastRenderedPageBreak/>
        <w:t>The</w:t>
      </w:r>
      <w:r w:rsidR="006C6F09">
        <w:t xml:space="preserve"> </w:t>
      </w:r>
      <w:r>
        <w:t>Cover</w:t>
      </w:r>
      <w:r w:rsidR="006C6F09">
        <w:t xml:space="preserve"> </w:t>
      </w:r>
      <w:r>
        <w:t>Sheet</w:t>
      </w:r>
      <w:r w:rsidR="006C6F09">
        <w:t xml:space="preserve"> </w:t>
      </w:r>
      <w:r>
        <w:t>will</w:t>
      </w:r>
      <w:r w:rsidR="006C6F09">
        <w:t xml:space="preserve"> </w:t>
      </w:r>
      <w:r>
        <w:t>include</w:t>
      </w:r>
      <w:r w:rsidR="006C6F09">
        <w:t xml:space="preserve"> </w:t>
      </w:r>
      <w:r>
        <w:t>the</w:t>
      </w:r>
      <w:r w:rsidR="006C6F09">
        <w:t xml:space="preserve"> </w:t>
      </w:r>
      <w:r>
        <w:t>information</w:t>
      </w:r>
      <w:r w:rsidR="006C6F09">
        <w:t xml:space="preserve"> </w:t>
      </w:r>
      <w:r>
        <w:t>listed</w:t>
      </w:r>
      <w:r w:rsidR="006C6F09">
        <w:t xml:space="preserve"> </w:t>
      </w:r>
      <w:r>
        <w:t>on</w:t>
      </w:r>
      <w:r w:rsidR="006C6F09">
        <w:t xml:space="preserve"> </w:t>
      </w:r>
      <w:r>
        <w:t>the</w:t>
      </w:r>
      <w:r w:rsidR="006C6F09">
        <w:t xml:space="preserve"> </w:t>
      </w:r>
      <w:r>
        <w:t>ENV’s</w:t>
      </w:r>
      <w:r w:rsidR="006C6F09">
        <w:t xml:space="preserve"> </w:t>
      </w:r>
      <w:r>
        <w:t>Template:</w:t>
      </w:r>
      <w:r w:rsidR="006C6F09">
        <w:t xml:space="preserve"> </w:t>
      </w:r>
      <w:r>
        <w:t>Public</w:t>
      </w:r>
      <w:r w:rsidR="006C6F09">
        <w:t xml:space="preserve"> </w:t>
      </w:r>
      <w:r>
        <w:t>Hearing</w:t>
      </w:r>
      <w:r w:rsidR="006C6F09">
        <w:t xml:space="preserve"> </w:t>
      </w:r>
      <w:r>
        <w:t>Documentation</w:t>
      </w:r>
      <w:r w:rsidR="006C6F09">
        <w:t xml:space="preserve"> </w:t>
      </w:r>
      <w:r>
        <w:t>Cover</w:t>
      </w:r>
      <w:r w:rsidR="006C6F09">
        <w:t xml:space="preserve"> </w:t>
      </w:r>
      <w:r>
        <w:t>Page,</w:t>
      </w:r>
      <w:r w:rsidR="006C6F09">
        <w:t xml:space="preserve"> </w:t>
      </w:r>
      <w:r>
        <w:t>available</w:t>
      </w:r>
      <w:r w:rsidR="006C6F09">
        <w:t xml:space="preserve"> </w:t>
      </w:r>
      <w:r>
        <w:t>in</w:t>
      </w:r>
      <w:r w:rsidR="006C6F09">
        <w:t xml:space="preserve"> </w:t>
      </w:r>
      <w:r>
        <w:t>the</w:t>
      </w:r>
      <w:r w:rsidR="006C6F09">
        <w:t xml:space="preserve"> </w:t>
      </w:r>
      <w:hyperlink r:id="rId89" w:history="1">
        <w:r w:rsidRPr="00190118">
          <w:rPr>
            <w:rStyle w:val="Hyperlink"/>
          </w:rPr>
          <w:t>Public</w:t>
        </w:r>
        <w:r w:rsidR="006C6F09">
          <w:rPr>
            <w:rStyle w:val="Hyperlink"/>
          </w:rPr>
          <w:t xml:space="preserve"> </w:t>
        </w:r>
        <w:r w:rsidRPr="00190118">
          <w:rPr>
            <w:rStyle w:val="Hyperlink"/>
          </w:rPr>
          <w:t>Involvement</w:t>
        </w:r>
        <w:r w:rsidR="006C6F09">
          <w:rPr>
            <w:rStyle w:val="Hyperlink"/>
          </w:rPr>
          <w:t xml:space="preserve"> </w:t>
        </w:r>
        <w:r w:rsidRPr="00190118">
          <w:rPr>
            <w:rStyle w:val="Hyperlink"/>
          </w:rPr>
          <w:t>Toolkit</w:t>
        </w:r>
      </w:hyperlink>
      <w:r>
        <w:t>.</w:t>
      </w:r>
      <w:r w:rsidR="00135456">
        <w:t xml:space="preserve"> </w:t>
      </w:r>
    </w:p>
    <w:p w14:paraId="6A547C62" w14:textId="586F9B24" w:rsidR="00457754" w:rsidRDefault="00457754" w:rsidP="00457754">
      <w:pPr>
        <w:pStyle w:val="ListNumber"/>
        <w:numPr>
          <w:ilvl w:val="0"/>
          <w:numId w:val="0"/>
        </w:numPr>
        <w:ind w:left="360"/>
      </w:pPr>
      <w:r>
        <w:t>For</w:t>
      </w:r>
      <w:r w:rsidR="006C6F09">
        <w:t xml:space="preserve"> </w:t>
      </w:r>
      <w:r>
        <w:t>virtual</w:t>
      </w:r>
      <w:r w:rsidR="006C6F09">
        <w:t xml:space="preserve"> </w:t>
      </w:r>
      <w:r>
        <w:t>hearing,</w:t>
      </w:r>
      <w:r w:rsidR="006C6F09">
        <w:t xml:space="preserve"> </w:t>
      </w:r>
      <w:r>
        <w:t>include</w:t>
      </w:r>
      <w:r w:rsidR="006C6F09">
        <w:t xml:space="preserve"> </w:t>
      </w:r>
      <w:r>
        <w:t>the</w:t>
      </w:r>
      <w:r w:rsidR="006C6F09">
        <w:t xml:space="preserve"> </w:t>
      </w:r>
      <w:r>
        <w:t>following</w:t>
      </w:r>
      <w:r w:rsidR="006C6F09">
        <w:t xml:space="preserve"> </w:t>
      </w:r>
      <w:r>
        <w:t>information:</w:t>
      </w:r>
      <w:r w:rsidR="006C6F09">
        <w:t xml:space="preserve"> </w:t>
      </w:r>
    </w:p>
    <w:p w14:paraId="4634AC4C" w14:textId="23BC9F9D" w:rsidR="00457754" w:rsidRPr="00613D9A" w:rsidRDefault="00457754" w:rsidP="00457754">
      <w:pPr>
        <w:pStyle w:val="ListBullet"/>
      </w:pPr>
      <w:r w:rsidRPr="00613D9A">
        <w:t>Under</w:t>
      </w:r>
      <w:r w:rsidR="006C6F09">
        <w:t xml:space="preserve"> </w:t>
      </w:r>
      <w:r w:rsidRPr="00613D9A">
        <w:t>“Hearing</w:t>
      </w:r>
      <w:r w:rsidR="006C6F09">
        <w:t xml:space="preserve"> </w:t>
      </w:r>
      <w:r w:rsidRPr="00613D9A">
        <w:t>Location”</w:t>
      </w:r>
      <w:r w:rsidR="006C6F09">
        <w:t xml:space="preserve"> </w:t>
      </w:r>
      <w:r w:rsidRPr="00613D9A">
        <w:t>indicate</w:t>
      </w:r>
      <w:r w:rsidR="006C6F09">
        <w:t xml:space="preserve"> </w:t>
      </w:r>
      <w:r w:rsidRPr="00613D9A">
        <w:t>that</w:t>
      </w:r>
      <w:r w:rsidR="006C6F09">
        <w:t xml:space="preserve"> </w:t>
      </w:r>
      <w:r w:rsidRPr="00613D9A">
        <w:t>it</w:t>
      </w:r>
      <w:r w:rsidR="006C6F09">
        <w:t xml:space="preserve"> </w:t>
      </w:r>
      <w:r w:rsidRPr="00613D9A">
        <w:t>was</w:t>
      </w:r>
      <w:r w:rsidR="006C6F09">
        <w:t xml:space="preserve"> </w:t>
      </w:r>
      <w:r w:rsidRPr="00613D9A">
        <w:t>a</w:t>
      </w:r>
      <w:r w:rsidR="006C6F09">
        <w:t xml:space="preserve"> </w:t>
      </w:r>
      <w:r w:rsidRPr="00613D9A">
        <w:t>virtual</w:t>
      </w:r>
      <w:r w:rsidR="006C6F09">
        <w:t xml:space="preserve"> </w:t>
      </w:r>
      <w:r w:rsidRPr="00613D9A">
        <w:t>hearing</w:t>
      </w:r>
      <w:r w:rsidR="006C6F09">
        <w:t xml:space="preserve"> </w:t>
      </w:r>
      <w:r w:rsidRPr="00613D9A">
        <w:t>and</w:t>
      </w:r>
      <w:r w:rsidR="006C6F09">
        <w:t xml:space="preserve"> </w:t>
      </w:r>
      <w:r w:rsidRPr="00613D9A">
        <w:t>provide</w:t>
      </w:r>
      <w:r w:rsidR="006C6F09">
        <w:t xml:space="preserve"> </w:t>
      </w:r>
      <w:r w:rsidRPr="00613D9A">
        <w:t>the</w:t>
      </w:r>
      <w:r w:rsidR="006C6F09">
        <w:t xml:space="preserve"> </w:t>
      </w:r>
      <w:r w:rsidRPr="00613D9A">
        <w:t>web</w:t>
      </w:r>
      <w:r w:rsidR="006C6F09">
        <w:t xml:space="preserve"> </w:t>
      </w:r>
      <w:r w:rsidRPr="00613D9A">
        <w:t>address</w:t>
      </w:r>
      <w:r w:rsidR="006C6F09">
        <w:t xml:space="preserve"> </w:t>
      </w:r>
      <w:r w:rsidRPr="00613D9A">
        <w:t>(and</w:t>
      </w:r>
      <w:r w:rsidR="006C6F09">
        <w:t xml:space="preserve"> </w:t>
      </w:r>
      <w:r w:rsidRPr="00613D9A">
        <w:t>for</w:t>
      </w:r>
      <w:r w:rsidR="006C6F09">
        <w:t xml:space="preserve"> </w:t>
      </w:r>
      <w:r w:rsidRPr="00613D9A">
        <w:t>a</w:t>
      </w:r>
      <w:r w:rsidR="006C6F09">
        <w:t xml:space="preserve"> </w:t>
      </w:r>
      <w:r w:rsidRPr="00613D9A">
        <w:t>virtual</w:t>
      </w:r>
      <w:r w:rsidR="006C6F09">
        <w:t xml:space="preserve"> </w:t>
      </w:r>
      <w:r w:rsidRPr="00613D9A">
        <w:t>hearing</w:t>
      </w:r>
      <w:r w:rsidR="006C6F09">
        <w:t xml:space="preserve"> </w:t>
      </w:r>
      <w:r w:rsidRPr="00613D9A">
        <w:t>with</w:t>
      </w:r>
      <w:r w:rsidR="006C6F09">
        <w:t xml:space="preserve"> </w:t>
      </w:r>
      <w:r w:rsidRPr="00613D9A">
        <w:t>an</w:t>
      </w:r>
      <w:r w:rsidR="006C6F09">
        <w:t xml:space="preserve"> </w:t>
      </w:r>
      <w:r w:rsidRPr="00613D9A">
        <w:t>in-person</w:t>
      </w:r>
      <w:r w:rsidR="006C6F09">
        <w:t xml:space="preserve"> </w:t>
      </w:r>
      <w:r w:rsidRPr="00613D9A">
        <w:t>option,</w:t>
      </w:r>
      <w:r w:rsidR="006C6F09">
        <w:t xml:space="preserve"> </w:t>
      </w:r>
      <w:r w:rsidRPr="00613D9A">
        <w:t>also</w:t>
      </w:r>
      <w:r w:rsidR="006C6F09">
        <w:t xml:space="preserve"> </w:t>
      </w:r>
      <w:r w:rsidRPr="00613D9A">
        <w:t>separately</w:t>
      </w:r>
      <w:r w:rsidR="006C6F09">
        <w:t xml:space="preserve"> </w:t>
      </w:r>
      <w:r w:rsidRPr="00613D9A">
        <w:t>indicate</w:t>
      </w:r>
      <w:r w:rsidR="006C6F09">
        <w:t xml:space="preserve"> </w:t>
      </w:r>
      <w:r w:rsidRPr="00613D9A">
        <w:t>the</w:t>
      </w:r>
      <w:r w:rsidR="006C6F09">
        <w:t xml:space="preserve"> </w:t>
      </w:r>
      <w:r w:rsidRPr="00613D9A">
        <w:t>location</w:t>
      </w:r>
      <w:r w:rsidR="006C6F09">
        <w:t xml:space="preserve"> </w:t>
      </w:r>
      <w:r w:rsidRPr="00613D9A">
        <w:t>of</w:t>
      </w:r>
      <w:r w:rsidR="006C6F09">
        <w:t xml:space="preserve"> </w:t>
      </w:r>
      <w:r w:rsidRPr="00613D9A">
        <w:t>the</w:t>
      </w:r>
      <w:r w:rsidR="006C6F09">
        <w:t xml:space="preserve"> </w:t>
      </w:r>
      <w:r w:rsidRPr="00613D9A">
        <w:t>in-person</w:t>
      </w:r>
      <w:r w:rsidR="006C6F09">
        <w:t xml:space="preserve"> </w:t>
      </w:r>
      <w:r w:rsidRPr="00613D9A">
        <w:t>option).</w:t>
      </w:r>
    </w:p>
    <w:p w14:paraId="6DC2B147" w14:textId="0C86DD1C" w:rsidR="00457754" w:rsidRPr="00613D9A" w:rsidRDefault="00457754" w:rsidP="00457754">
      <w:pPr>
        <w:pStyle w:val="ListBullet"/>
      </w:pPr>
      <w:r w:rsidRPr="00613D9A">
        <w:t>Under</w:t>
      </w:r>
      <w:r w:rsidR="006C6F09">
        <w:t xml:space="preserve"> </w:t>
      </w:r>
      <w:r w:rsidRPr="00613D9A">
        <w:t>“Hearing</w:t>
      </w:r>
      <w:r w:rsidR="006C6F09">
        <w:t xml:space="preserve"> </w:t>
      </w:r>
      <w:r w:rsidRPr="00613D9A">
        <w:t>Date</w:t>
      </w:r>
      <w:r w:rsidR="006C6F09">
        <w:t xml:space="preserve"> </w:t>
      </w:r>
      <w:r w:rsidRPr="00613D9A">
        <w:t>and</w:t>
      </w:r>
      <w:r w:rsidR="006C6F09">
        <w:t xml:space="preserve"> </w:t>
      </w:r>
      <w:r w:rsidRPr="00613D9A">
        <w:t>Time”</w:t>
      </w:r>
      <w:r w:rsidR="006C6F09">
        <w:t xml:space="preserve"> </w:t>
      </w:r>
      <w:r w:rsidRPr="00613D9A">
        <w:t>indicate</w:t>
      </w:r>
      <w:r w:rsidR="006C6F09">
        <w:t xml:space="preserve"> </w:t>
      </w:r>
      <w:r w:rsidRPr="00613D9A">
        <w:t>the</w:t>
      </w:r>
      <w:r w:rsidR="006C6F09">
        <w:t xml:space="preserve"> </w:t>
      </w:r>
      <w:r w:rsidRPr="00613D9A">
        <w:t>date</w:t>
      </w:r>
      <w:r w:rsidR="006C6F09">
        <w:t xml:space="preserve"> </w:t>
      </w:r>
      <w:r w:rsidRPr="00613D9A">
        <w:t>and</w:t>
      </w:r>
      <w:r w:rsidR="006C6F09">
        <w:t xml:space="preserve"> </w:t>
      </w:r>
      <w:r w:rsidRPr="00613D9A">
        <w:t>time</w:t>
      </w:r>
      <w:r w:rsidR="006C6F09">
        <w:t xml:space="preserve"> </w:t>
      </w:r>
      <w:r w:rsidRPr="00613D9A">
        <w:t>of</w:t>
      </w:r>
      <w:r w:rsidR="006C6F09">
        <w:t xml:space="preserve"> </w:t>
      </w:r>
      <w:r w:rsidRPr="00613D9A">
        <w:t>the</w:t>
      </w:r>
      <w:r w:rsidR="006C6F09">
        <w:t xml:space="preserve"> </w:t>
      </w:r>
      <w:r w:rsidRPr="00613D9A">
        <w:t>virtual</w:t>
      </w:r>
      <w:r w:rsidR="006C6F09">
        <w:t xml:space="preserve"> </w:t>
      </w:r>
      <w:r w:rsidRPr="00613D9A">
        <w:t>hearing,</w:t>
      </w:r>
      <w:r w:rsidR="006C6F09">
        <w:t xml:space="preserve"> </w:t>
      </w:r>
      <w:r w:rsidRPr="00613D9A">
        <w:t>and</w:t>
      </w:r>
      <w:r w:rsidR="006C6F09">
        <w:t xml:space="preserve"> </w:t>
      </w:r>
      <w:r w:rsidRPr="00613D9A">
        <w:t>the</w:t>
      </w:r>
      <w:r w:rsidR="006C6F09">
        <w:t xml:space="preserve"> </w:t>
      </w:r>
      <w:r w:rsidRPr="00613D9A">
        <w:t>dates</w:t>
      </w:r>
      <w:r w:rsidR="006C6F09">
        <w:t xml:space="preserve"> </w:t>
      </w:r>
      <w:r w:rsidRPr="00613D9A">
        <w:t>on</w:t>
      </w:r>
      <w:r w:rsidR="006C6F09">
        <w:t xml:space="preserve"> </w:t>
      </w:r>
      <w:r w:rsidRPr="00613D9A">
        <w:t>which</w:t>
      </w:r>
      <w:r w:rsidR="006C6F09">
        <w:t xml:space="preserve"> </w:t>
      </w:r>
      <w:r w:rsidRPr="00613D9A">
        <w:t>the</w:t>
      </w:r>
      <w:r w:rsidR="006C6F09">
        <w:t xml:space="preserve"> </w:t>
      </w:r>
      <w:r w:rsidRPr="00613D9A">
        <w:t>online</w:t>
      </w:r>
      <w:r w:rsidR="006C6F09">
        <w:t xml:space="preserve"> </w:t>
      </w:r>
      <w:r w:rsidRPr="00613D9A">
        <w:t>presentation</w:t>
      </w:r>
      <w:r w:rsidR="006C6F09">
        <w:t xml:space="preserve"> </w:t>
      </w:r>
      <w:r w:rsidRPr="00613D9A">
        <w:t>continued</w:t>
      </w:r>
      <w:r w:rsidR="006C6F09">
        <w:t xml:space="preserve"> </w:t>
      </w:r>
      <w:r w:rsidRPr="00613D9A">
        <w:t>to</w:t>
      </w:r>
      <w:r w:rsidR="006C6F09">
        <w:t xml:space="preserve"> </w:t>
      </w:r>
      <w:r w:rsidRPr="00613D9A">
        <w:t>be</w:t>
      </w:r>
      <w:r w:rsidR="006C6F09">
        <w:t xml:space="preserve"> </w:t>
      </w:r>
      <w:r w:rsidRPr="00613D9A">
        <w:t>available</w:t>
      </w:r>
      <w:r w:rsidR="006C6F09">
        <w:t xml:space="preserve"> </w:t>
      </w:r>
      <w:r w:rsidRPr="00613D9A">
        <w:t>for</w:t>
      </w:r>
      <w:r w:rsidR="006C6F09">
        <w:t xml:space="preserve"> </w:t>
      </w:r>
      <w:r w:rsidRPr="00613D9A">
        <w:t>viewing</w:t>
      </w:r>
      <w:r w:rsidR="006C6F09">
        <w:t xml:space="preserve"> </w:t>
      </w:r>
      <w:r w:rsidRPr="00613D9A">
        <w:t>online</w:t>
      </w:r>
      <w:r w:rsidR="006C6F09">
        <w:t xml:space="preserve"> </w:t>
      </w:r>
      <w:r w:rsidRPr="00613D9A">
        <w:t>(and</w:t>
      </w:r>
      <w:r w:rsidR="006C6F09">
        <w:t xml:space="preserve"> </w:t>
      </w:r>
      <w:r w:rsidRPr="00613D9A">
        <w:t>for</w:t>
      </w:r>
      <w:r w:rsidR="006C6F09">
        <w:t xml:space="preserve"> </w:t>
      </w:r>
      <w:r w:rsidRPr="00613D9A">
        <w:t>a</w:t>
      </w:r>
      <w:r w:rsidR="006C6F09">
        <w:t xml:space="preserve"> </w:t>
      </w:r>
      <w:r w:rsidRPr="00613D9A">
        <w:t>virtual</w:t>
      </w:r>
      <w:r w:rsidR="006C6F09">
        <w:t xml:space="preserve"> </w:t>
      </w:r>
      <w:r w:rsidRPr="00613D9A">
        <w:t>hearing</w:t>
      </w:r>
      <w:r w:rsidR="006C6F09">
        <w:t xml:space="preserve"> </w:t>
      </w:r>
      <w:r w:rsidRPr="00613D9A">
        <w:t>with</w:t>
      </w:r>
      <w:r w:rsidR="006C6F09">
        <w:t xml:space="preserve"> </w:t>
      </w:r>
      <w:r w:rsidRPr="00613D9A">
        <w:t>an</w:t>
      </w:r>
      <w:r w:rsidR="006C6F09">
        <w:t xml:space="preserve"> </w:t>
      </w:r>
      <w:r w:rsidRPr="00613D9A">
        <w:t>in-person</w:t>
      </w:r>
      <w:r w:rsidR="006C6F09">
        <w:t xml:space="preserve"> </w:t>
      </w:r>
      <w:r w:rsidRPr="00613D9A">
        <w:t>option,</w:t>
      </w:r>
      <w:r w:rsidR="006C6F09">
        <w:t xml:space="preserve"> </w:t>
      </w:r>
      <w:r w:rsidRPr="00613D9A">
        <w:t>also</w:t>
      </w:r>
      <w:r w:rsidR="006C6F09">
        <w:t xml:space="preserve"> </w:t>
      </w:r>
      <w:r w:rsidRPr="00613D9A">
        <w:t>separately</w:t>
      </w:r>
      <w:r w:rsidR="006C6F09">
        <w:t xml:space="preserve"> </w:t>
      </w:r>
      <w:r w:rsidRPr="00613D9A">
        <w:t>indicate</w:t>
      </w:r>
      <w:r w:rsidR="006C6F09">
        <w:t xml:space="preserve"> </w:t>
      </w:r>
      <w:r w:rsidRPr="00613D9A">
        <w:t>the</w:t>
      </w:r>
      <w:r w:rsidR="006C6F09">
        <w:t xml:space="preserve"> </w:t>
      </w:r>
      <w:r w:rsidRPr="00613D9A">
        <w:t>date(s)</w:t>
      </w:r>
      <w:r w:rsidR="006C6F09">
        <w:t xml:space="preserve"> </w:t>
      </w:r>
      <w:r w:rsidRPr="00613D9A">
        <w:t>and</w:t>
      </w:r>
      <w:r w:rsidR="006C6F09">
        <w:t xml:space="preserve"> </w:t>
      </w:r>
      <w:r w:rsidRPr="00613D9A">
        <w:t>times</w:t>
      </w:r>
      <w:r w:rsidR="006C6F09">
        <w:t xml:space="preserve"> </w:t>
      </w:r>
      <w:r w:rsidRPr="00613D9A">
        <w:t>of</w:t>
      </w:r>
      <w:r w:rsidR="006C6F09">
        <w:t xml:space="preserve"> </w:t>
      </w:r>
      <w:r w:rsidRPr="00613D9A">
        <w:t>the</w:t>
      </w:r>
      <w:r w:rsidR="006C6F09">
        <w:t xml:space="preserve"> </w:t>
      </w:r>
      <w:r w:rsidRPr="00613D9A">
        <w:t>in-person</w:t>
      </w:r>
      <w:r w:rsidR="006C6F09">
        <w:t xml:space="preserve"> </w:t>
      </w:r>
      <w:r w:rsidRPr="00613D9A">
        <w:t>option).</w:t>
      </w:r>
    </w:p>
    <w:p w14:paraId="6117F08B" w14:textId="25FEEEA9" w:rsidR="00457754" w:rsidRPr="00613D9A" w:rsidRDefault="00457754" w:rsidP="00457754">
      <w:pPr>
        <w:pStyle w:val="ListBullet"/>
      </w:pPr>
      <w:r w:rsidRPr="00613D9A">
        <w:t>Under</w:t>
      </w:r>
      <w:r w:rsidR="006C6F09">
        <w:t xml:space="preserve"> </w:t>
      </w:r>
      <w:r w:rsidRPr="00613D9A">
        <w:t>“Elected</w:t>
      </w:r>
      <w:r w:rsidR="006C6F09">
        <w:t xml:space="preserve"> </w:t>
      </w:r>
      <w:r w:rsidRPr="00613D9A">
        <w:t>Officials</w:t>
      </w:r>
      <w:r w:rsidR="006C6F09">
        <w:t xml:space="preserve"> </w:t>
      </w:r>
      <w:r w:rsidRPr="00613D9A">
        <w:t>in</w:t>
      </w:r>
      <w:r w:rsidR="006C6F09">
        <w:t xml:space="preserve"> </w:t>
      </w:r>
      <w:r w:rsidRPr="00613D9A">
        <w:t>Attendance,”</w:t>
      </w:r>
      <w:r w:rsidR="006C6F09">
        <w:t xml:space="preserve"> </w:t>
      </w:r>
      <w:r w:rsidRPr="00613D9A">
        <w:t>indicate</w:t>
      </w:r>
      <w:r w:rsidR="006C6F09">
        <w:t xml:space="preserve"> </w:t>
      </w:r>
      <w:r w:rsidRPr="00613D9A">
        <w:t>Not</w:t>
      </w:r>
      <w:r w:rsidR="006C6F09">
        <w:t xml:space="preserve"> </w:t>
      </w:r>
      <w:r w:rsidRPr="00613D9A">
        <w:t>Applicable.</w:t>
      </w:r>
    </w:p>
    <w:p w14:paraId="6E73F928" w14:textId="61737F07" w:rsidR="00457754" w:rsidRPr="00613D9A" w:rsidRDefault="00457754" w:rsidP="00457754">
      <w:pPr>
        <w:pStyle w:val="ListBullet"/>
      </w:pPr>
      <w:r w:rsidRPr="00613D9A">
        <w:t>Under</w:t>
      </w:r>
      <w:r w:rsidR="006C6F09">
        <w:t xml:space="preserve"> </w:t>
      </w:r>
      <w:r w:rsidRPr="00613D9A">
        <w:t>“Total</w:t>
      </w:r>
      <w:r w:rsidR="006C6F09">
        <w:t xml:space="preserve"> </w:t>
      </w:r>
      <w:r w:rsidRPr="00613D9A">
        <w:t>Number</w:t>
      </w:r>
      <w:r w:rsidR="006C6F09">
        <w:t xml:space="preserve"> </w:t>
      </w:r>
      <w:r w:rsidRPr="00613D9A">
        <w:t>of</w:t>
      </w:r>
      <w:r w:rsidR="006C6F09">
        <w:t xml:space="preserve"> </w:t>
      </w:r>
      <w:r w:rsidRPr="00613D9A">
        <w:t>Attendees,”</w:t>
      </w:r>
      <w:r w:rsidR="006C6F09">
        <w:t xml:space="preserve"> </w:t>
      </w:r>
      <w:r w:rsidRPr="00613D9A">
        <w:t>provide</w:t>
      </w:r>
      <w:r w:rsidR="006C6F09">
        <w:t xml:space="preserve"> </w:t>
      </w:r>
      <w:r w:rsidRPr="00613D9A">
        <w:t>the</w:t>
      </w:r>
      <w:r w:rsidR="006C6F09">
        <w:t xml:space="preserve"> </w:t>
      </w:r>
      <w:r w:rsidRPr="00613D9A">
        <w:t>total</w:t>
      </w:r>
      <w:r w:rsidR="006C6F09">
        <w:t xml:space="preserve"> </w:t>
      </w:r>
      <w:r w:rsidRPr="00613D9A">
        <w:t>number</w:t>
      </w:r>
      <w:r w:rsidR="006C6F09">
        <w:t xml:space="preserve"> </w:t>
      </w:r>
      <w:r w:rsidRPr="00613D9A">
        <w:t>of</w:t>
      </w:r>
      <w:r w:rsidR="006C6F09">
        <w:t xml:space="preserve"> </w:t>
      </w:r>
      <w:r w:rsidRPr="00613D9A">
        <w:t>“views”</w:t>
      </w:r>
      <w:r w:rsidR="006C6F09">
        <w:t xml:space="preserve"> </w:t>
      </w:r>
      <w:r w:rsidRPr="00613D9A">
        <w:t>of</w:t>
      </w:r>
      <w:r w:rsidR="006C6F09">
        <w:t xml:space="preserve"> </w:t>
      </w:r>
      <w:r w:rsidRPr="00613D9A">
        <w:t>the</w:t>
      </w:r>
      <w:r w:rsidR="006C6F09">
        <w:t xml:space="preserve"> </w:t>
      </w:r>
      <w:r w:rsidRPr="00613D9A">
        <w:t>online</w:t>
      </w:r>
      <w:r w:rsidR="006C6F09">
        <w:t xml:space="preserve"> </w:t>
      </w:r>
      <w:r w:rsidRPr="00613D9A">
        <w:t>presentation</w:t>
      </w:r>
      <w:r w:rsidR="006C6F09">
        <w:t xml:space="preserve"> </w:t>
      </w:r>
      <w:r w:rsidRPr="00613D9A">
        <w:t>with</w:t>
      </w:r>
      <w:r w:rsidR="006C6F09">
        <w:t xml:space="preserve"> </w:t>
      </w:r>
      <w:r w:rsidRPr="00613D9A">
        <w:t>a</w:t>
      </w:r>
      <w:r w:rsidR="006C6F09">
        <w:t xml:space="preserve"> </w:t>
      </w:r>
      <w:r w:rsidRPr="00613D9A">
        <w:t>notation</w:t>
      </w:r>
      <w:r w:rsidR="006C6F09">
        <w:t xml:space="preserve"> </w:t>
      </w:r>
      <w:r w:rsidRPr="00613D9A">
        <w:t>that</w:t>
      </w:r>
      <w:r w:rsidR="006C6F09">
        <w:t xml:space="preserve"> </w:t>
      </w:r>
      <w:r w:rsidRPr="00613D9A">
        <w:t>the</w:t>
      </w:r>
      <w:r w:rsidR="006C6F09">
        <w:t xml:space="preserve"> </w:t>
      </w:r>
      <w:r w:rsidRPr="00613D9A">
        <w:t>number</w:t>
      </w:r>
      <w:r w:rsidR="006C6F09">
        <w:t xml:space="preserve"> </w:t>
      </w:r>
      <w:r w:rsidRPr="00613D9A">
        <w:t>represents</w:t>
      </w:r>
      <w:r w:rsidR="006C6F09">
        <w:t xml:space="preserve"> </w:t>
      </w:r>
      <w:r w:rsidRPr="00613D9A">
        <w:t>“views”</w:t>
      </w:r>
      <w:r w:rsidR="006C6F09">
        <w:t xml:space="preserve"> </w:t>
      </w:r>
      <w:r w:rsidRPr="00613D9A">
        <w:t>(and</w:t>
      </w:r>
      <w:r w:rsidR="006C6F09">
        <w:t xml:space="preserve"> </w:t>
      </w:r>
      <w:r w:rsidRPr="00613D9A">
        <w:t>for</w:t>
      </w:r>
      <w:r w:rsidR="006C6F09">
        <w:t xml:space="preserve"> </w:t>
      </w:r>
      <w:r w:rsidRPr="00613D9A">
        <w:t>a</w:t>
      </w:r>
      <w:r w:rsidR="006C6F09">
        <w:t xml:space="preserve"> </w:t>
      </w:r>
      <w:r w:rsidRPr="00613D9A">
        <w:t>virtual</w:t>
      </w:r>
      <w:r w:rsidR="006C6F09">
        <w:t xml:space="preserve"> </w:t>
      </w:r>
      <w:r w:rsidRPr="00613D9A">
        <w:t>meeting</w:t>
      </w:r>
      <w:r w:rsidR="006C6F09">
        <w:t xml:space="preserve"> </w:t>
      </w:r>
      <w:r w:rsidRPr="00613D9A">
        <w:t>with</w:t>
      </w:r>
      <w:r w:rsidR="006C6F09">
        <w:t xml:space="preserve"> </w:t>
      </w:r>
      <w:r w:rsidRPr="00613D9A">
        <w:t>an</w:t>
      </w:r>
      <w:r w:rsidR="006C6F09">
        <w:t xml:space="preserve"> </w:t>
      </w:r>
      <w:r w:rsidRPr="00613D9A">
        <w:t>in-person</w:t>
      </w:r>
      <w:r w:rsidR="006C6F09">
        <w:t xml:space="preserve"> </w:t>
      </w:r>
      <w:r w:rsidRPr="00613D9A">
        <w:t>option,</w:t>
      </w:r>
      <w:r w:rsidR="006C6F09">
        <w:t xml:space="preserve"> </w:t>
      </w:r>
      <w:r w:rsidRPr="00613D9A">
        <w:t>also</w:t>
      </w:r>
      <w:r w:rsidR="006C6F09">
        <w:t xml:space="preserve"> </w:t>
      </w:r>
      <w:r w:rsidRPr="00613D9A">
        <w:t>separately</w:t>
      </w:r>
      <w:r w:rsidR="006C6F09">
        <w:t xml:space="preserve"> </w:t>
      </w:r>
      <w:r w:rsidRPr="00613D9A">
        <w:t>indicate</w:t>
      </w:r>
      <w:r w:rsidR="006C6F09">
        <w:t xml:space="preserve"> </w:t>
      </w:r>
      <w:r w:rsidRPr="00613D9A">
        <w:t>the</w:t>
      </w:r>
      <w:r w:rsidR="006C6F09">
        <w:t xml:space="preserve"> </w:t>
      </w:r>
      <w:r w:rsidRPr="00613D9A">
        <w:t>number</w:t>
      </w:r>
      <w:r w:rsidR="006C6F09">
        <w:t xml:space="preserve"> </w:t>
      </w:r>
      <w:r w:rsidRPr="00613D9A">
        <w:t>of</w:t>
      </w:r>
      <w:r w:rsidR="006C6F09">
        <w:t xml:space="preserve"> </w:t>
      </w:r>
      <w:r w:rsidRPr="00613D9A">
        <w:t>physical</w:t>
      </w:r>
      <w:r w:rsidR="006C6F09">
        <w:t xml:space="preserve"> </w:t>
      </w:r>
      <w:r w:rsidRPr="00613D9A">
        <w:t>attendees).</w:t>
      </w:r>
    </w:p>
    <w:p w14:paraId="722A6C9D" w14:textId="0C098658" w:rsidR="00457754" w:rsidRPr="00613D9A" w:rsidRDefault="00457754" w:rsidP="00457754">
      <w:pPr>
        <w:pStyle w:val="ListBullet"/>
      </w:pPr>
      <w:r w:rsidRPr="00613D9A">
        <w:t>In</w:t>
      </w:r>
      <w:r w:rsidR="006C6F09">
        <w:t xml:space="preserve"> </w:t>
      </w:r>
      <w:r w:rsidRPr="00613D9A">
        <w:t>the</w:t>
      </w:r>
      <w:r w:rsidR="006C6F09">
        <w:t xml:space="preserve"> </w:t>
      </w:r>
      <w:r w:rsidRPr="00613D9A">
        <w:t>“Contents,”</w:t>
      </w:r>
      <w:r w:rsidR="006C6F09">
        <w:t xml:space="preserve"> </w:t>
      </w:r>
      <w:r w:rsidRPr="00613D9A">
        <w:t>add</w:t>
      </w:r>
      <w:r w:rsidR="006C6F09">
        <w:t xml:space="preserve"> </w:t>
      </w:r>
      <w:r w:rsidRPr="00613D9A">
        <w:t>a</w:t>
      </w:r>
      <w:r w:rsidR="006C6F09">
        <w:t xml:space="preserve"> </w:t>
      </w:r>
      <w:r w:rsidRPr="00613D9A">
        <w:t>notation</w:t>
      </w:r>
      <w:r w:rsidR="006C6F09">
        <w:t xml:space="preserve"> </w:t>
      </w:r>
      <w:r w:rsidRPr="00613D9A">
        <w:t>to</w:t>
      </w:r>
      <w:r w:rsidR="006C6F09">
        <w:t xml:space="preserve"> </w:t>
      </w:r>
      <w:r w:rsidRPr="00613D9A">
        <w:t>“E.</w:t>
      </w:r>
      <w:r w:rsidR="006C6F09">
        <w:t xml:space="preserve"> </w:t>
      </w:r>
      <w:r w:rsidRPr="00613D9A">
        <w:t>Figures”</w:t>
      </w:r>
      <w:r w:rsidR="006C6F09">
        <w:t xml:space="preserve"> </w:t>
      </w:r>
      <w:r w:rsidRPr="00613D9A">
        <w:t>indicating</w:t>
      </w:r>
      <w:r w:rsidR="006C6F09">
        <w:t xml:space="preserve"> </w:t>
      </w:r>
      <w:r w:rsidRPr="00613D9A">
        <w:t>that</w:t>
      </w:r>
      <w:r w:rsidR="006C6F09">
        <w:t xml:space="preserve"> </w:t>
      </w:r>
      <w:r w:rsidRPr="00613D9A">
        <w:t>the</w:t>
      </w:r>
      <w:r w:rsidR="006C6F09">
        <w:t xml:space="preserve"> </w:t>
      </w:r>
      <w:r w:rsidRPr="00613D9A">
        <w:t>online</w:t>
      </w:r>
      <w:r w:rsidR="006C6F09">
        <w:t xml:space="preserve"> </w:t>
      </w:r>
      <w:r w:rsidRPr="00613D9A">
        <w:t>video</w:t>
      </w:r>
      <w:r w:rsidR="006C6F09">
        <w:t xml:space="preserve"> </w:t>
      </w:r>
      <w:r w:rsidRPr="00613D9A">
        <w:t>presentation</w:t>
      </w:r>
      <w:r w:rsidR="006C6F09">
        <w:t xml:space="preserve"> </w:t>
      </w:r>
      <w:r w:rsidRPr="00613D9A">
        <w:t>is</w:t>
      </w:r>
      <w:r w:rsidR="006C6F09">
        <w:t xml:space="preserve"> </w:t>
      </w:r>
      <w:r w:rsidRPr="00613D9A">
        <w:t>separately</w:t>
      </w:r>
      <w:r w:rsidR="006C6F09">
        <w:t xml:space="preserve"> </w:t>
      </w:r>
      <w:r w:rsidRPr="00613D9A">
        <w:t>uploaded</w:t>
      </w:r>
      <w:r w:rsidR="006C6F09">
        <w:t xml:space="preserve"> </w:t>
      </w:r>
      <w:r w:rsidRPr="00613D9A">
        <w:t>to</w:t>
      </w:r>
      <w:r w:rsidR="006C6F09">
        <w:t xml:space="preserve"> </w:t>
      </w:r>
      <w:r w:rsidRPr="00613D9A">
        <w:t>ECOS.</w:t>
      </w:r>
    </w:p>
    <w:p w14:paraId="6095B141" w14:textId="414C0C54" w:rsidR="00457754" w:rsidRDefault="00457754" w:rsidP="008A3A31">
      <w:pPr>
        <w:pStyle w:val="ListNumber"/>
        <w:tabs>
          <w:tab w:val="clear" w:pos="360"/>
        </w:tabs>
        <w:ind w:left="360" w:hanging="360"/>
      </w:pPr>
      <w:r>
        <w:t>Comments</w:t>
      </w:r>
      <w:r w:rsidR="006C6F09">
        <w:t xml:space="preserve"> </w:t>
      </w:r>
      <w:r>
        <w:t>and</w:t>
      </w:r>
      <w:r w:rsidR="006C6F09">
        <w:t xml:space="preserve"> </w:t>
      </w:r>
      <w:r>
        <w:t>Response</w:t>
      </w:r>
    </w:p>
    <w:p w14:paraId="69BDEBF1" w14:textId="1E5D6803" w:rsidR="00457754" w:rsidRDefault="00457754" w:rsidP="00457754">
      <w:pPr>
        <w:pStyle w:val="ListBullet"/>
      </w:pPr>
      <w:r>
        <w:t>Document</w:t>
      </w:r>
      <w:r w:rsidR="006C6F09">
        <w:t xml:space="preserve"> </w:t>
      </w:r>
      <w:r>
        <w:t>all</w:t>
      </w:r>
      <w:r w:rsidR="006C6F09">
        <w:t xml:space="preserve"> </w:t>
      </w:r>
      <w:r>
        <w:t>comments</w:t>
      </w:r>
      <w:r w:rsidR="006C6F09">
        <w:t xml:space="preserve"> </w:t>
      </w:r>
      <w:r>
        <w:t>received</w:t>
      </w:r>
      <w:r w:rsidR="006C6F09">
        <w:t xml:space="preserve"> </w:t>
      </w:r>
      <w:r>
        <w:t>between</w:t>
      </w:r>
      <w:r w:rsidR="006C6F09">
        <w:t xml:space="preserve"> </w:t>
      </w:r>
      <w:r>
        <w:t>the</w:t>
      </w:r>
      <w:r w:rsidR="006C6F09">
        <w:t xml:space="preserve"> </w:t>
      </w:r>
      <w:r>
        <w:t>date</w:t>
      </w:r>
      <w:r w:rsidR="006C6F09">
        <w:t xml:space="preserve"> </w:t>
      </w:r>
      <w:r>
        <w:t>the</w:t>
      </w:r>
      <w:r w:rsidR="006C6F09">
        <w:t xml:space="preserve"> </w:t>
      </w:r>
      <w:r>
        <w:t>notice</w:t>
      </w:r>
      <w:r w:rsidR="006C6F09">
        <w:t xml:space="preserve"> </w:t>
      </w:r>
      <w:r>
        <w:t>was</w:t>
      </w:r>
      <w:r w:rsidR="006C6F09">
        <w:t xml:space="preserve"> </w:t>
      </w:r>
      <w:r>
        <w:t>provided</w:t>
      </w:r>
      <w:r w:rsidR="006C6F09">
        <w:t xml:space="preserve"> </w:t>
      </w:r>
      <w:r>
        <w:t>and</w:t>
      </w:r>
      <w:r w:rsidR="006C6F09">
        <w:t xml:space="preserve"> </w:t>
      </w:r>
      <w:r>
        <w:t>the</w:t>
      </w:r>
      <w:r w:rsidR="006C6F09">
        <w:t xml:space="preserve"> </w:t>
      </w:r>
      <w:r>
        <w:t>deadline</w:t>
      </w:r>
      <w:r w:rsidR="006C6F09">
        <w:t xml:space="preserve"> </w:t>
      </w:r>
      <w:r>
        <w:t>specified</w:t>
      </w:r>
      <w:r w:rsidR="006C6F09">
        <w:t xml:space="preserve"> </w:t>
      </w:r>
      <w:r>
        <w:t>in</w:t>
      </w:r>
      <w:r w:rsidR="006C6F09">
        <w:t xml:space="preserve"> </w:t>
      </w:r>
      <w:r>
        <w:t>the</w:t>
      </w:r>
      <w:r w:rsidR="006C6F09">
        <w:t xml:space="preserve"> </w:t>
      </w:r>
      <w:r>
        <w:t>notice</w:t>
      </w:r>
      <w:r w:rsidR="006C6F09">
        <w:t xml:space="preserve"> </w:t>
      </w:r>
      <w:r>
        <w:t>(which</w:t>
      </w:r>
      <w:r w:rsidR="006C6F09">
        <w:t xml:space="preserve"> </w:t>
      </w:r>
      <w:r>
        <w:t>will</w:t>
      </w:r>
      <w:r w:rsidR="006C6F09">
        <w:t xml:space="preserve"> </w:t>
      </w:r>
      <w:r>
        <w:t>be</w:t>
      </w:r>
      <w:r w:rsidR="006C6F09">
        <w:t xml:space="preserve"> </w:t>
      </w:r>
      <w:r>
        <w:t>at</w:t>
      </w:r>
      <w:r w:rsidR="006C6F09">
        <w:t xml:space="preserve"> </w:t>
      </w:r>
      <w:r>
        <w:t>least</w:t>
      </w:r>
      <w:r w:rsidR="006C6F09">
        <w:t xml:space="preserve"> </w:t>
      </w:r>
      <w:r>
        <w:t>15</w:t>
      </w:r>
      <w:r w:rsidR="006C6F09">
        <w:t xml:space="preserve"> </w:t>
      </w:r>
      <w:r>
        <w:t>calendar</w:t>
      </w:r>
      <w:r w:rsidR="006C6F09">
        <w:t xml:space="preserve"> </w:t>
      </w:r>
      <w:r>
        <w:t>days</w:t>
      </w:r>
      <w:r w:rsidR="006C6F09">
        <w:t xml:space="preserve"> </w:t>
      </w:r>
      <w:r>
        <w:t>following</w:t>
      </w:r>
      <w:r w:rsidR="006C6F09">
        <w:t xml:space="preserve"> </w:t>
      </w:r>
      <w:r>
        <w:t>the</w:t>
      </w:r>
      <w:r w:rsidR="006C6F09">
        <w:t xml:space="preserve"> </w:t>
      </w:r>
      <w:r>
        <w:t>hearing).</w:t>
      </w:r>
      <w:r w:rsidR="006C6F09">
        <w:t xml:space="preserve"> </w:t>
      </w:r>
      <w:r>
        <w:t>The</w:t>
      </w:r>
      <w:r w:rsidR="006C6F09">
        <w:t xml:space="preserve"> </w:t>
      </w:r>
      <w:r>
        <w:t>responses</w:t>
      </w:r>
      <w:r w:rsidR="006C6F09">
        <w:t xml:space="preserve"> </w:t>
      </w:r>
      <w:r>
        <w:t>must</w:t>
      </w:r>
      <w:r w:rsidR="006C6F09">
        <w:t xml:space="preserve"> </w:t>
      </w:r>
      <w:r>
        <w:t>address</w:t>
      </w:r>
      <w:r w:rsidR="006C6F09">
        <w:t xml:space="preserve"> </w:t>
      </w:r>
      <w:r>
        <w:t>the</w:t>
      </w:r>
      <w:r w:rsidR="006C6F09">
        <w:t xml:space="preserve"> </w:t>
      </w:r>
      <w:r>
        <w:t>comments</w:t>
      </w:r>
      <w:r w:rsidR="006C6F09">
        <w:t xml:space="preserve"> </w:t>
      </w:r>
      <w:r>
        <w:t>received</w:t>
      </w:r>
      <w:r w:rsidR="006C6F09">
        <w:t xml:space="preserve"> </w:t>
      </w:r>
      <w:r>
        <w:t>during</w:t>
      </w:r>
      <w:r w:rsidR="006C6F09">
        <w:t xml:space="preserve"> </w:t>
      </w:r>
      <w:r>
        <w:t>the</w:t>
      </w:r>
      <w:r w:rsidR="006C6F09">
        <w:t xml:space="preserve"> </w:t>
      </w:r>
      <w:r>
        <w:t>hearing</w:t>
      </w:r>
      <w:r w:rsidR="006C6F09">
        <w:t xml:space="preserve"> </w:t>
      </w:r>
      <w:r>
        <w:t>and</w:t>
      </w:r>
      <w:r w:rsidR="006C6F09">
        <w:t xml:space="preserve"> </w:t>
      </w:r>
      <w:r>
        <w:t>associated</w:t>
      </w:r>
      <w:r w:rsidR="006C6F09">
        <w:t xml:space="preserve"> </w:t>
      </w:r>
      <w:r>
        <w:t>comment</w:t>
      </w:r>
      <w:r w:rsidR="006C6F09">
        <w:t xml:space="preserve"> </w:t>
      </w:r>
      <w:r>
        <w:t>period.</w:t>
      </w:r>
      <w:r w:rsidR="006C6F09">
        <w:t xml:space="preserve"> </w:t>
      </w:r>
      <w:r>
        <w:t>The</w:t>
      </w:r>
      <w:r w:rsidR="006C6F09">
        <w:t xml:space="preserve"> </w:t>
      </w:r>
      <w:r>
        <w:t>comment</w:t>
      </w:r>
      <w:r w:rsidR="006C6F09">
        <w:t xml:space="preserve"> </w:t>
      </w:r>
      <w:r>
        <w:t>and</w:t>
      </w:r>
      <w:r w:rsidR="006C6F09">
        <w:t xml:space="preserve"> </w:t>
      </w:r>
      <w:r>
        <w:t>response</w:t>
      </w:r>
      <w:r w:rsidR="006C6F09">
        <w:t xml:space="preserve"> </w:t>
      </w:r>
      <w:r>
        <w:t>matrix</w:t>
      </w:r>
      <w:r w:rsidR="006C6F09">
        <w:t xml:space="preserve"> </w:t>
      </w:r>
      <w:r>
        <w:t>template</w:t>
      </w:r>
      <w:r w:rsidR="006C6F09">
        <w:t xml:space="preserve"> </w:t>
      </w:r>
      <w:r>
        <w:t>found</w:t>
      </w:r>
      <w:r w:rsidR="006C6F09">
        <w:t xml:space="preserve"> </w:t>
      </w:r>
      <w:r>
        <w:t>in</w:t>
      </w:r>
      <w:r w:rsidR="006C6F09">
        <w:t xml:space="preserve"> </w:t>
      </w:r>
      <w:r>
        <w:t>the</w:t>
      </w:r>
      <w:r w:rsidR="006C6F09">
        <w:t xml:space="preserve"> </w:t>
      </w:r>
      <w:r>
        <w:t>toolkit</w:t>
      </w:r>
      <w:r w:rsidR="006C6F09">
        <w:t xml:space="preserve"> </w:t>
      </w:r>
      <w:r>
        <w:t>is</w:t>
      </w:r>
      <w:r w:rsidR="006C6F09">
        <w:t xml:space="preserve"> </w:t>
      </w:r>
      <w:r>
        <w:t>required</w:t>
      </w:r>
      <w:r w:rsidR="006C6F09">
        <w:t xml:space="preserve"> </w:t>
      </w:r>
      <w:r>
        <w:t>for</w:t>
      </w:r>
      <w:r w:rsidR="006C6F09">
        <w:t xml:space="preserve"> </w:t>
      </w:r>
      <w:r>
        <w:t>recording</w:t>
      </w:r>
      <w:r w:rsidR="006C6F09">
        <w:t xml:space="preserve"> </w:t>
      </w:r>
      <w:r>
        <w:t>this</w:t>
      </w:r>
      <w:r w:rsidR="006C6F09">
        <w:t xml:space="preserve"> </w:t>
      </w:r>
      <w:r>
        <w:t>information.</w:t>
      </w:r>
      <w:r w:rsidR="006C6F09">
        <w:t xml:space="preserve"> </w:t>
      </w:r>
      <w:r>
        <w:t>See</w:t>
      </w:r>
      <w:r w:rsidR="006C6F09">
        <w:t xml:space="preserve"> </w:t>
      </w:r>
      <w:r w:rsidRPr="007242A6">
        <w:rPr>
          <w:b/>
          <w:bCs/>
        </w:rPr>
        <w:t>ENV’s</w:t>
      </w:r>
      <w:r w:rsidR="006C6F09">
        <w:rPr>
          <w:b/>
          <w:bCs/>
        </w:rPr>
        <w:t xml:space="preserve"> </w:t>
      </w:r>
      <w:r w:rsidRPr="007242A6">
        <w:rPr>
          <w:b/>
          <w:bCs/>
        </w:rPr>
        <w:t>Guidance</w:t>
      </w:r>
      <w:r w:rsidR="006C6F09">
        <w:rPr>
          <w:b/>
          <w:bCs/>
        </w:rPr>
        <w:t xml:space="preserve"> </w:t>
      </w:r>
      <w:r w:rsidRPr="007242A6">
        <w:rPr>
          <w:b/>
          <w:bCs/>
        </w:rPr>
        <w:t>–</w:t>
      </w:r>
      <w:r w:rsidR="006C6F09">
        <w:rPr>
          <w:b/>
          <w:bCs/>
        </w:rPr>
        <w:t xml:space="preserve"> </w:t>
      </w:r>
      <w:r w:rsidRPr="008368E1">
        <w:rPr>
          <w:b/>
          <w:bCs/>
        </w:rPr>
        <w:t>Public</w:t>
      </w:r>
      <w:r w:rsidR="006C6F09">
        <w:rPr>
          <w:b/>
          <w:bCs/>
        </w:rPr>
        <w:t xml:space="preserve"> </w:t>
      </w:r>
      <w:r w:rsidRPr="008368E1">
        <w:rPr>
          <w:b/>
          <w:bCs/>
        </w:rPr>
        <w:t>Comment</w:t>
      </w:r>
      <w:r w:rsidR="006C6F09">
        <w:rPr>
          <w:b/>
          <w:bCs/>
        </w:rPr>
        <w:t xml:space="preserve"> </w:t>
      </w:r>
      <w:r w:rsidRPr="008368E1">
        <w:rPr>
          <w:b/>
          <w:bCs/>
        </w:rPr>
        <w:t>Response</w:t>
      </w:r>
      <w:r w:rsidR="006C6F09">
        <w:rPr>
          <w:b/>
          <w:bCs/>
        </w:rPr>
        <w:t xml:space="preserve"> </w:t>
      </w:r>
      <w:r w:rsidRPr="008368E1">
        <w:rPr>
          <w:b/>
          <w:bCs/>
        </w:rPr>
        <w:t>Matrix</w:t>
      </w:r>
      <w:r w:rsidR="006C6F09">
        <w:rPr>
          <w:b/>
          <w:bCs/>
          <w:i/>
          <w:iCs/>
        </w:rPr>
        <w:t xml:space="preserve"> </w:t>
      </w:r>
      <w:r>
        <w:t>for</w:t>
      </w:r>
      <w:r w:rsidR="006C6F09">
        <w:t xml:space="preserve"> </w:t>
      </w:r>
      <w:r>
        <w:t>further</w:t>
      </w:r>
      <w:r w:rsidR="006C6F09">
        <w:t xml:space="preserve"> </w:t>
      </w:r>
      <w:r>
        <w:t>instructions</w:t>
      </w:r>
      <w:r w:rsidR="006C6F09">
        <w:t xml:space="preserve"> </w:t>
      </w:r>
      <w:r>
        <w:t>regarding</w:t>
      </w:r>
      <w:r w:rsidR="006C6F09">
        <w:t xml:space="preserve"> </w:t>
      </w:r>
      <w:r>
        <w:t>the</w:t>
      </w:r>
      <w:r w:rsidR="006C6F09">
        <w:t xml:space="preserve"> </w:t>
      </w:r>
      <w:r>
        <w:t>comment</w:t>
      </w:r>
      <w:r w:rsidR="006C6F09">
        <w:t xml:space="preserve"> </w:t>
      </w:r>
      <w:r>
        <w:t>and</w:t>
      </w:r>
      <w:r w:rsidR="006C6F09">
        <w:t xml:space="preserve"> </w:t>
      </w:r>
      <w:r>
        <w:t>response</w:t>
      </w:r>
      <w:r w:rsidR="006C6F09">
        <w:t xml:space="preserve"> </w:t>
      </w:r>
      <w:r>
        <w:t>matrix.</w:t>
      </w:r>
      <w:r w:rsidR="006C6F09">
        <w:t xml:space="preserve"> </w:t>
      </w:r>
      <w:r>
        <w:t>The</w:t>
      </w:r>
      <w:r w:rsidR="006C6F09">
        <w:t xml:space="preserve"> </w:t>
      </w:r>
      <w:r>
        <w:t>department</w:t>
      </w:r>
      <w:r w:rsidR="006C6F09">
        <w:t xml:space="preserve"> </w:t>
      </w:r>
      <w:r>
        <w:t>delegate</w:t>
      </w:r>
      <w:r w:rsidR="006C6F09">
        <w:t xml:space="preserve"> </w:t>
      </w:r>
      <w:r>
        <w:t>will</w:t>
      </w:r>
      <w:r w:rsidR="006C6F09">
        <w:t xml:space="preserve"> </w:t>
      </w:r>
      <w:r>
        <w:t>review</w:t>
      </w:r>
      <w:r w:rsidR="006C6F09">
        <w:t xml:space="preserve"> </w:t>
      </w:r>
      <w:r>
        <w:t>the</w:t>
      </w:r>
      <w:r w:rsidR="006C6F09">
        <w:t xml:space="preserve"> </w:t>
      </w:r>
      <w:r>
        <w:lastRenderedPageBreak/>
        <w:t>comment</w:t>
      </w:r>
      <w:r w:rsidR="006C6F09">
        <w:t xml:space="preserve"> </w:t>
      </w:r>
      <w:r>
        <w:t>and</w:t>
      </w:r>
      <w:r w:rsidR="006C6F09">
        <w:t xml:space="preserve"> </w:t>
      </w:r>
      <w:r>
        <w:t>response</w:t>
      </w:r>
      <w:r w:rsidR="006C6F09">
        <w:t xml:space="preserve"> </w:t>
      </w:r>
      <w:r>
        <w:t>matrix</w:t>
      </w:r>
      <w:r w:rsidR="006C6F09">
        <w:t xml:space="preserve"> </w:t>
      </w:r>
      <w:r>
        <w:t>to</w:t>
      </w:r>
      <w:r w:rsidR="006C6F09">
        <w:t xml:space="preserve"> </w:t>
      </w:r>
      <w:r>
        <w:t>ensure</w:t>
      </w:r>
      <w:r w:rsidR="006C6F09">
        <w:t xml:space="preserve"> </w:t>
      </w:r>
      <w:r>
        <w:t>that</w:t>
      </w:r>
      <w:r w:rsidR="006C6F09">
        <w:t xml:space="preserve"> </w:t>
      </w:r>
      <w:r>
        <w:t>all</w:t>
      </w:r>
      <w:r w:rsidR="006C6F09">
        <w:t xml:space="preserve"> </w:t>
      </w:r>
      <w:r>
        <w:t>comments</w:t>
      </w:r>
      <w:r w:rsidR="006C6F09">
        <w:t xml:space="preserve"> </w:t>
      </w:r>
      <w:r>
        <w:t>are</w:t>
      </w:r>
      <w:r w:rsidR="006C6F09">
        <w:t xml:space="preserve"> </w:t>
      </w:r>
      <w:r>
        <w:t>adequately</w:t>
      </w:r>
      <w:r w:rsidR="006C6F09">
        <w:t xml:space="preserve"> </w:t>
      </w:r>
      <w:r>
        <w:t>addressed</w:t>
      </w:r>
      <w:r w:rsidR="006C6F09">
        <w:t xml:space="preserve"> </w:t>
      </w:r>
      <w:r>
        <w:t>before</w:t>
      </w:r>
      <w:r w:rsidR="006C6F09">
        <w:t xml:space="preserve"> </w:t>
      </w:r>
      <w:r>
        <w:t>the</w:t>
      </w:r>
      <w:r w:rsidR="006C6F09">
        <w:t xml:space="preserve"> </w:t>
      </w:r>
      <w:r>
        <w:t>matrix</w:t>
      </w:r>
      <w:r w:rsidR="006C6F09">
        <w:t xml:space="preserve"> </w:t>
      </w:r>
      <w:r>
        <w:t>is</w:t>
      </w:r>
      <w:r w:rsidR="006C6F09">
        <w:t xml:space="preserve"> </w:t>
      </w:r>
      <w:r>
        <w:t>finalized.</w:t>
      </w:r>
    </w:p>
    <w:p w14:paraId="57A3ED04" w14:textId="1EA68AB0" w:rsidR="00457754" w:rsidRDefault="00457754" w:rsidP="008A3A31">
      <w:pPr>
        <w:pStyle w:val="ListNumber"/>
        <w:tabs>
          <w:tab w:val="clear" w:pos="360"/>
        </w:tabs>
        <w:ind w:left="360" w:hanging="360"/>
      </w:pPr>
      <w:r>
        <w:t>Notices</w:t>
      </w:r>
      <w:r w:rsidR="006C6F09">
        <w:t xml:space="preserve"> </w:t>
      </w:r>
    </w:p>
    <w:p w14:paraId="46C8A624" w14:textId="5E8D0237" w:rsidR="00457754" w:rsidRDefault="00457754" w:rsidP="00457754">
      <w:pPr>
        <w:pStyle w:val="ListNumber"/>
        <w:numPr>
          <w:ilvl w:val="0"/>
          <w:numId w:val="0"/>
        </w:numPr>
        <w:ind w:left="360"/>
      </w:pPr>
      <w:r>
        <w:t>Include</w:t>
      </w:r>
      <w:r w:rsidR="006C6F09">
        <w:t xml:space="preserve"> </w:t>
      </w:r>
      <w:r>
        <w:t>copies</w:t>
      </w:r>
      <w:r w:rsidR="006C6F09">
        <w:t xml:space="preserve"> </w:t>
      </w:r>
      <w:r>
        <w:t>of</w:t>
      </w:r>
      <w:r w:rsidR="006C6F09">
        <w:t xml:space="preserve"> </w:t>
      </w:r>
      <w:r>
        <w:t>any</w:t>
      </w:r>
      <w:r w:rsidR="006C6F09">
        <w:t xml:space="preserve"> </w:t>
      </w:r>
      <w:r>
        <w:t>mailed</w:t>
      </w:r>
      <w:r w:rsidR="006C6F09">
        <w:t xml:space="preserve"> </w:t>
      </w:r>
      <w:r>
        <w:t>notices</w:t>
      </w:r>
      <w:r w:rsidR="006C6F09">
        <w:t xml:space="preserve"> </w:t>
      </w:r>
      <w:r>
        <w:t>or</w:t>
      </w:r>
      <w:r w:rsidR="006C6F09">
        <w:t xml:space="preserve"> </w:t>
      </w:r>
      <w:r>
        <w:t>flyers,</w:t>
      </w:r>
      <w:r w:rsidR="006C6F09">
        <w:t xml:space="preserve"> </w:t>
      </w:r>
      <w:r>
        <w:t>mailing</w:t>
      </w:r>
      <w:r w:rsidR="006C6F09">
        <w:t xml:space="preserve"> </w:t>
      </w:r>
      <w:r>
        <w:t>list,</w:t>
      </w:r>
      <w:r w:rsidR="006C6F09">
        <w:t xml:space="preserve"> </w:t>
      </w:r>
      <w:r>
        <w:t>website</w:t>
      </w:r>
      <w:r w:rsidR="006C6F09">
        <w:t xml:space="preserve"> </w:t>
      </w:r>
      <w:r>
        <w:t>notice,</w:t>
      </w:r>
      <w:r w:rsidR="006C6F09">
        <w:t xml:space="preserve"> </w:t>
      </w:r>
      <w:r>
        <w:t>and</w:t>
      </w:r>
      <w:r w:rsidR="006C6F09">
        <w:t xml:space="preserve"> </w:t>
      </w:r>
      <w:r>
        <w:t>documentation</w:t>
      </w:r>
      <w:r w:rsidR="006C6F09">
        <w:t xml:space="preserve"> </w:t>
      </w:r>
      <w:r>
        <w:t>of</w:t>
      </w:r>
      <w:r w:rsidR="006C6F09">
        <w:t xml:space="preserve"> </w:t>
      </w:r>
      <w:r>
        <w:t>additional</w:t>
      </w:r>
      <w:r w:rsidR="006C6F09">
        <w:t xml:space="preserve"> </w:t>
      </w:r>
      <w:r>
        <w:t>outreach</w:t>
      </w:r>
      <w:r w:rsidR="006C6F09">
        <w:t xml:space="preserve"> </w:t>
      </w:r>
      <w:r>
        <w:t>methods</w:t>
      </w:r>
      <w:r w:rsidR="006C6F09">
        <w:t xml:space="preserve"> </w:t>
      </w:r>
      <w:r>
        <w:t>used</w:t>
      </w:r>
      <w:r w:rsidR="006C6F09">
        <w:t xml:space="preserve"> </w:t>
      </w:r>
      <w:r>
        <w:t>to</w:t>
      </w:r>
      <w:r w:rsidR="006C6F09">
        <w:t xml:space="preserve"> </w:t>
      </w:r>
      <w:r>
        <w:t>inform</w:t>
      </w:r>
      <w:r w:rsidR="006C6F09">
        <w:t xml:space="preserve"> </w:t>
      </w:r>
      <w:r>
        <w:t>the</w:t>
      </w:r>
      <w:r w:rsidR="006C6F09">
        <w:t xml:space="preserve"> </w:t>
      </w:r>
      <w:r>
        <w:t>public,</w:t>
      </w:r>
      <w:r w:rsidR="006C6F09">
        <w:t xml:space="preserve"> </w:t>
      </w:r>
      <w:r>
        <w:t>agencies,</w:t>
      </w:r>
      <w:r w:rsidR="006C6F09">
        <w:t xml:space="preserve"> </w:t>
      </w:r>
      <w:r>
        <w:t>and</w:t>
      </w:r>
      <w:r w:rsidR="006C6F09">
        <w:t xml:space="preserve"> </w:t>
      </w:r>
      <w:r>
        <w:t>elected</w:t>
      </w:r>
      <w:r w:rsidR="006C6F09">
        <w:t xml:space="preserve"> </w:t>
      </w:r>
      <w:r>
        <w:t>officials.</w:t>
      </w:r>
      <w:r w:rsidR="006C6F09">
        <w:t xml:space="preserve"> </w:t>
      </w:r>
      <w:r>
        <w:t>For</w:t>
      </w:r>
      <w:r w:rsidR="006C6F09">
        <w:t xml:space="preserve"> </w:t>
      </w:r>
      <w:r>
        <w:t>an</w:t>
      </w:r>
      <w:r w:rsidR="006C6F09">
        <w:t xml:space="preserve"> </w:t>
      </w:r>
      <w:r>
        <w:t>EA</w:t>
      </w:r>
      <w:r w:rsidR="006C6F09">
        <w:t xml:space="preserve"> </w:t>
      </w:r>
      <w:r>
        <w:t>or</w:t>
      </w:r>
      <w:r w:rsidR="006C6F09">
        <w:t xml:space="preserve"> </w:t>
      </w:r>
      <w:r>
        <w:t>EIS,</w:t>
      </w:r>
      <w:r w:rsidR="006C6F09">
        <w:t xml:space="preserve"> </w:t>
      </w:r>
      <w:r>
        <w:t>this</w:t>
      </w:r>
      <w:r w:rsidR="006C6F09">
        <w:t xml:space="preserve"> </w:t>
      </w:r>
      <w:r>
        <w:t>includes</w:t>
      </w:r>
      <w:r w:rsidR="006C6F09">
        <w:t xml:space="preserve"> </w:t>
      </w:r>
      <w:r>
        <w:t>the</w:t>
      </w:r>
      <w:r w:rsidR="006C6F09">
        <w:t xml:space="preserve"> </w:t>
      </w:r>
      <w:r>
        <w:t>emails</w:t>
      </w:r>
      <w:r w:rsidR="006C6F09">
        <w:t xml:space="preserve"> </w:t>
      </w:r>
      <w:r>
        <w:t>transmitting</w:t>
      </w:r>
      <w:r w:rsidR="006C6F09">
        <w:t xml:space="preserve"> </w:t>
      </w:r>
      <w:r>
        <w:t>the</w:t>
      </w:r>
      <w:r w:rsidR="006C6F09">
        <w:t xml:space="preserve"> </w:t>
      </w:r>
      <w:r>
        <w:t>combined</w:t>
      </w:r>
      <w:r w:rsidR="006C6F09">
        <w:t xml:space="preserve"> </w:t>
      </w:r>
      <w:r>
        <w:t>notice</w:t>
      </w:r>
      <w:r w:rsidR="006C6F09">
        <w:t xml:space="preserve"> </w:t>
      </w:r>
      <w:r>
        <w:t>of</w:t>
      </w:r>
      <w:r w:rsidR="006C6F09">
        <w:t xml:space="preserve"> </w:t>
      </w:r>
      <w:r>
        <w:t>availability</w:t>
      </w:r>
      <w:r w:rsidR="006C6F09">
        <w:t xml:space="preserve"> </w:t>
      </w:r>
      <w:r>
        <w:t>of</w:t>
      </w:r>
      <w:r w:rsidR="006C6F09">
        <w:t xml:space="preserve"> </w:t>
      </w:r>
      <w:r>
        <w:t>draft</w:t>
      </w:r>
      <w:r w:rsidR="006C6F09">
        <w:t xml:space="preserve"> </w:t>
      </w:r>
      <w:r>
        <w:t>EA</w:t>
      </w:r>
      <w:r w:rsidR="006C6F09">
        <w:t xml:space="preserve"> </w:t>
      </w:r>
      <w:r>
        <w:t>and</w:t>
      </w:r>
      <w:r w:rsidR="006C6F09">
        <w:t xml:space="preserve"> </w:t>
      </w:r>
      <w:r>
        <w:t>notice</w:t>
      </w:r>
      <w:r w:rsidR="006C6F09">
        <w:t xml:space="preserve"> </w:t>
      </w:r>
      <w:r>
        <w:t>of</w:t>
      </w:r>
      <w:r w:rsidR="006C6F09">
        <w:t xml:space="preserve"> </w:t>
      </w:r>
      <w:r>
        <w:t>public</w:t>
      </w:r>
      <w:r w:rsidR="006C6F09">
        <w:t xml:space="preserve"> </w:t>
      </w:r>
      <w:r>
        <w:t>hearing</w:t>
      </w:r>
      <w:r w:rsidR="006C6F09">
        <w:t xml:space="preserve"> </w:t>
      </w:r>
      <w:r>
        <w:t>to</w:t>
      </w:r>
      <w:r w:rsidR="006C6F09">
        <w:t xml:space="preserve"> </w:t>
      </w:r>
      <w:r>
        <w:t>TCEQ</w:t>
      </w:r>
      <w:r w:rsidR="006C6F09">
        <w:t xml:space="preserve"> </w:t>
      </w:r>
      <w:r>
        <w:t>and</w:t>
      </w:r>
      <w:r w:rsidR="006C6F09">
        <w:t xml:space="preserve"> </w:t>
      </w:r>
      <w:r>
        <w:t>TPWD.</w:t>
      </w:r>
      <w:r w:rsidR="006C6F09">
        <w:t xml:space="preserve"> </w:t>
      </w:r>
      <w:r>
        <w:t>Redact</w:t>
      </w:r>
      <w:r w:rsidR="006C6F09">
        <w:t xml:space="preserve"> </w:t>
      </w:r>
      <w:r>
        <w:t>any</w:t>
      </w:r>
      <w:r w:rsidR="006C6F09">
        <w:t xml:space="preserve"> </w:t>
      </w:r>
      <w:r>
        <w:t>email</w:t>
      </w:r>
      <w:r w:rsidR="006C6F09">
        <w:t xml:space="preserve"> </w:t>
      </w:r>
      <w:r>
        <w:t>addresses</w:t>
      </w:r>
      <w:r w:rsidR="006C6F09">
        <w:t xml:space="preserve"> </w:t>
      </w:r>
      <w:r>
        <w:t>for</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in</w:t>
      </w:r>
      <w:r w:rsidR="006C6F09">
        <w:t xml:space="preserve"> </w:t>
      </w:r>
      <w:r>
        <w:t>accordance</w:t>
      </w:r>
      <w:r w:rsidR="006C6F09">
        <w:t xml:space="preserve"> </w:t>
      </w:r>
      <w:r>
        <w:t>with</w:t>
      </w:r>
      <w:r w:rsidR="006C6F09">
        <w:t xml:space="preserve"> </w:t>
      </w:r>
      <w:r w:rsidRPr="008368E1">
        <w:t>Texas</w:t>
      </w:r>
      <w:r w:rsidR="006C6F09">
        <w:t xml:space="preserve"> </w:t>
      </w:r>
      <w:r w:rsidRPr="008368E1">
        <w:t>Government</w:t>
      </w:r>
      <w:r w:rsidR="006C6F09">
        <w:t xml:space="preserve"> </w:t>
      </w:r>
      <w:r w:rsidRPr="008368E1">
        <w:t>Code</w:t>
      </w:r>
      <w:r w:rsidR="006C6F09">
        <w:t xml:space="preserve"> </w:t>
      </w:r>
      <w:r>
        <w:t>552.137(a)</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rsidRPr="00263E76">
        <w:t>Texas</w:t>
      </w:r>
      <w:r w:rsidR="006C6F09">
        <w:t xml:space="preserve"> </w:t>
      </w:r>
      <w:r w:rsidRPr="00263E76">
        <w:t>Attorney</w:t>
      </w:r>
      <w:r w:rsidR="006C6F09">
        <w:t xml:space="preserve"> </w:t>
      </w:r>
      <w:r w:rsidRPr="00263E76">
        <w:t>General’s</w:t>
      </w:r>
      <w:r w:rsidR="006C6F09">
        <w:t xml:space="preserve"> </w:t>
      </w:r>
      <w:r w:rsidRPr="00263E76">
        <w:t>2020</w:t>
      </w:r>
      <w:r w:rsidR="006C6F09">
        <w:t xml:space="preserve"> </w:t>
      </w:r>
      <w:r w:rsidRPr="00263E76">
        <w:t>Public</w:t>
      </w:r>
      <w:r w:rsidR="006C6F09">
        <w:t xml:space="preserve"> </w:t>
      </w:r>
      <w:r w:rsidRPr="00263E76">
        <w:t>Information</w:t>
      </w:r>
      <w:r w:rsidR="006C6F09">
        <w:t xml:space="preserve"> </w:t>
      </w:r>
      <w:r w:rsidRPr="00263E76">
        <w:t>Act</w:t>
      </w:r>
      <w:r w:rsidR="006C6F09">
        <w:t xml:space="preserve"> </w:t>
      </w:r>
      <w:r w:rsidRPr="00263E76">
        <w:t>Handbook</w:t>
      </w:r>
      <w:r w:rsidR="006C6F09">
        <w:t xml:space="preserve"> </w:t>
      </w:r>
      <w:r>
        <w:t>at</w:t>
      </w:r>
      <w:r w:rsidR="006C6F09">
        <w:t xml:space="preserve"> </w:t>
      </w:r>
      <w:r>
        <w:t>pages</w:t>
      </w:r>
      <w:r w:rsidR="006C6F09">
        <w:t xml:space="preserve"> </w:t>
      </w:r>
      <w:r>
        <w:t>161-162).</w:t>
      </w:r>
      <w:r w:rsidR="006C6F09">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t>to</w:t>
      </w:r>
      <w:r w:rsidR="006C6F09">
        <w:t xml:space="preserve"> </w:t>
      </w:r>
      <w:r>
        <w:t>redact</w:t>
      </w:r>
      <w:r w:rsidR="006C6F09">
        <w:t xml:space="preserve"> </w:t>
      </w:r>
      <w:r>
        <w:t>physical</w:t>
      </w:r>
      <w:r w:rsidR="006C6F09">
        <w:t xml:space="preserve"> </w:t>
      </w:r>
      <w:r>
        <w:t>addresses.</w:t>
      </w:r>
      <w:r w:rsidR="006C6F09">
        <w:t xml:space="preserve"> </w:t>
      </w:r>
      <w:proofErr w:type="gramStart"/>
      <w:r>
        <w:t>Redaction</w:t>
      </w:r>
      <w:proofErr w:type="gramEnd"/>
      <w:r w:rsidR="006C6F09">
        <w:t xml:space="preserve"> </w:t>
      </w:r>
      <w:r>
        <w:t>of</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done</w:t>
      </w:r>
      <w:r w:rsidR="006C6F09">
        <w:t xml:space="preserve"> </w:t>
      </w:r>
      <w:r>
        <w:t>on</w:t>
      </w:r>
      <w:r w:rsidR="006C6F09">
        <w:t xml:space="preserve"> </w:t>
      </w:r>
      <w:r>
        <w:t>a</w:t>
      </w:r>
      <w:r w:rsidR="006C6F09">
        <w:t xml:space="preserve"> </w:t>
      </w:r>
      <w:r>
        <w:t>discretionary</w:t>
      </w:r>
      <w:r w:rsidR="006C6F09">
        <w:t xml:space="preserve"> </w:t>
      </w:r>
      <w:r>
        <w:t>basis.</w:t>
      </w:r>
    </w:p>
    <w:p w14:paraId="1A9A9E4E" w14:textId="629AE1A1" w:rsidR="00457754" w:rsidRDefault="00457754" w:rsidP="008A3A31">
      <w:pPr>
        <w:pStyle w:val="ListNumber"/>
        <w:tabs>
          <w:tab w:val="clear" w:pos="360"/>
        </w:tabs>
        <w:ind w:left="360" w:hanging="360"/>
      </w:pPr>
      <w:r>
        <w:t>Sign-in</w:t>
      </w:r>
      <w:r w:rsidR="006C6F09">
        <w:t xml:space="preserve"> </w:t>
      </w:r>
      <w:r>
        <w:t>Sheets</w:t>
      </w:r>
    </w:p>
    <w:p w14:paraId="38B7C70A" w14:textId="6F92697E" w:rsidR="00457754" w:rsidRDefault="00457754" w:rsidP="00457754">
      <w:pPr>
        <w:pStyle w:val="ListNumber"/>
        <w:numPr>
          <w:ilvl w:val="0"/>
          <w:numId w:val="0"/>
        </w:numPr>
        <w:ind w:left="360"/>
      </w:pPr>
      <w:r>
        <w:t>Include</w:t>
      </w:r>
      <w:r w:rsidR="006C6F09">
        <w:t xml:space="preserve"> </w:t>
      </w:r>
      <w:r>
        <w:t>sign-in</w:t>
      </w:r>
      <w:r w:rsidR="006C6F09">
        <w:t xml:space="preserve"> </w:t>
      </w:r>
      <w:r>
        <w:t>sheets</w:t>
      </w:r>
      <w:r w:rsidR="006C6F09">
        <w:t xml:space="preserve"> </w:t>
      </w:r>
      <w:r>
        <w:t>of</w:t>
      </w:r>
      <w:r w:rsidR="006C6F09">
        <w:t xml:space="preserve"> </w:t>
      </w:r>
      <w:r>
        <w:t>private</w:t>
      </w:r>
      <w:r w:rsidR="006C6F09">
        <w:t xml:space="preserve"> </w:t>
      </w:r>
      <w:r>
        <w:t>individuals,</w:t>
      </w:r>
      <w:r w:rsidR="006C6F09">
        <w:t xml:space="preserve"> </w:t>
      </w:r>
      <w:r>
        <w:t>government</w:t>
      </w:r>
      <w:r w:rsidR="006C6F09">
        <w:t xml:space="preserve"> </w:t>
      </w:r>
      <w:r>
        <w:t>officials,</w:t>
      </w:r>
      <w:r w:rsidR="006C6F09">
        <w:t xml:space="preserve"> </w:t>
      </w:r>
      <w:r>
        <w:t>TxDOT</w:t>
      </w:r>
      <w:r w:rsidR="006C6F09">
        <w:t xml:space="preserve"> </w:t>
      </w:r>
      <w:r>
        <w:t>staff,</w:t>
      </w:r>
      <w:r w:rsidR="006C6F09">
        <w:t xml:space="preserve"> </w:t>
      </w:r>
      <w:r>
        <w:t>and</w:t>
      </w:r>
      <w:r w:rsidR="006C6F09">
        <w:t xml:space="preserve"> </w:t>
      </w:r>
      <w:r>
        <w:t>consultant</w:t>
      </w:r>
      <w:r w:rsidR="006C6F09">
        <w:t xml:space="preserve"> </w:t>
      </w:r>
      <w:r>
        <w:t>staff.</w:t>
      </w:r>
      <w:r w:rsidR="006C6F09">
        <w:t xml:space="preserve"> </w:t>
      </w:r>
      <w:r>
        <w:t>Attendees’</w:t>
      </w:r>
      <w:r w:rsidR="006C6F09">
        <w:t xml:space="preserve"> </w:t>
      </w:r>
      <w:r>
        <w:t>email</w:t>
      </w:r>
      <w:r w:rsidR="006C6F09">
        <w:t xml:space="preserve"> </w:t>
      </w:r>
      <w:r>
        <w:t>addresses</w:t>
      </w:r>
      <w:r w:rsidR="006C6F09">
        <w:t xml:space="preserve"> </w:t>
      </w:r>
      <w:r>
        <w:t>should</w:t>
      </w:r>
      <w:r w:rsidR="006C6F09">
        <w:t xml:space="preserve"> </w:t>
      </w:r>
      <w:r>
        <w:t>generally</w:t>
      </w:r>
      <w:r w:rsidR="006C6F09">
        <w:t xml:space="preserve"> </w:t>
      </w:r>
      <w:r>
        <w:t>not</w:t>
      </w:r>
      <w:r w:rsidR="006C6F09">
        <w:t xml:space="preserve"> </w:t>
      </w:r>
      <w:r>
        <w:t>be</w:t>
      </w:r>
      <w:r w:rsidR="006C6F09">
        <w:t xml:space="preserve"> </w:t>
      </w:r>
      <w:r>
        <w:t>collected</w:t>
      </w:r>
      <w:r w:rsidR="006C6F09">
        <w:t xml:space="preserve"> </w:t>
      </w:r>
      <w:r>
        <w:t>on</w:t>
      </w:r>
      <w:r w:rsidR="006C6F09">
        <w:t xml:space="preserve"> </w:t>
      </w:r>
      <w:r>
        <w:t>the</w:t>
      </w:r>
      <w:r w:rsidR="006C6F09">
        <w:t xml:space="preserve"> </w:t>
      </w:r>
      <w:r>
        <w:t>sign-in</w:t>
      </w:r>
      <w:r w:rsidR="006C6F09">
        <w:t xml:space="preserve"> </w:t>
      </w:r>
      <w:r>
        <w:t>sheets.</w:t>
      </w:r>
      <w:r w:rsidR="006C6F09">
        <w:t xml:space="preserve"> </w:t>
      </w:r>
      <w:r>
        <w:t>However,</w:t>
      </w:r>
      <w:r w:rsidR="006C6F09">
        <w:t xml:space="preserve"> </w:t>
      </w:r>
      <w:r>
        <w:t>if</w:t>
      </w:r>
      <w:r w:rsidR="006C6F09">
        <w:t xml:space="preserve"> </w:t>
      </w:r>
      <w:r>
        <w:t>the</w:t>
      </w:r>
      <w:r w:rsidR="006C6F09">
        <w:t xml:space="preserve"> </w:t>
      </w:r>
      <w:r>
        <w:t>district,</w:t>
      </w:r>
      <w:r w:rsidR="006C6F09">
        <w:t xml:space="preserve"> </w:t>
      </w:r>
      <w:r>
        <w:t>or</w:t>
      </w:r>
      <w:r w:rsidR="006C6F09">
        <w:t xml:space="preserve"> </w:t>
      </w:r>
      <w:r>
        <w:t>the</w:t>
      </w:r>
      <w:r w:rsidR="006C6F09">
        <w:t xml:space="preserve"> </w:t>
      </w:r>
      <w:r>
        <w:t>core</w:t>
      </w:r>
      <w:r w:rsidR="006C6F09">
        <w:t xml:space="preserve"> </w:t>
      </w:r>
      <w:r>
        <w:t>team</w:t>
      </w:r>
      <w:r w:rsidR="006C6F09">
        <w:t xml:space="preserve"> </w:t>
      </w:r>
      <w:r>
        <w:t>in</w:t>
      </w:r>
      <w:r w:rsidR="006C6F09">
        <w:t xml:space="preserve"> </w:t>
      </w:r>
      <w:r>
        <w:t>the</w:t>
      </w:r>
      <w:r w:rsidR="006C6F09">
        <w:t xml:space="preserve"> </w:t>
      </w:r>
      <w:r>
        <w:t>case</w:t>
      </w:r>
      <w:r w:rsidR="006C6F09">
        <w:t xml:space="preserve"> </w:t>
      </w:r>
      <w:r>
        <w:t>of</w:t>
      </w:r>
      <w:r w:rsidR="006C6F09">
        <w:t xml:space="preserve"> </w:t>
      </w:r>
      <w:r>
        <w:t>an</w:t>
      </w:r>
      <w:r w:rsidR="006C6F09">
        <w:t xml:space="preserve"> </w:t>
      </w:r>
      <w:r>
        <w:t>EA</w:t>
      </w:r>
      <w:r w:rsidR="006C6F09">
        <w:t xml:space="preserve"> </w:t>
      </w:r>
      <w:r>
        <w:t>or</w:t>
      </w:r>
      <w:r w:rsidR="006C6F09">
        <w:t xml:space="preserve"> </w:t>
      </w:r>
      <w:r>
        <w:t>EIS,</w:t>
      </w:r>
      <w:r w:rsidR="006C6F09">
        <w:t xml:space="preserve"> </w:t>
      </w:r>
      <w:r>
        <w:t>determined</w:t>
      </w:r>
      <w:r w:rsidR="006C6F09">
        <w:t xml:space="preserve"> </w:t>
      </w:r>
      <w:r>
        <w:t>during</w:t>
      </w:r>
      <w:r w:rsidR="006C6F09">
        <w:t xml:space="preserve"> </w:t>
      </w:r>
      <w:r>
        <w:t>scoping</w:t>
      </w:r>
      <w:r w:rsidR="006C6F09">
        <w:t xml:space="preserve"> </w:t>
      </w:r>
      <w:r>
        <w:t>that</w:t>
      </w:r>
      <w:r w:rsidR="006C6F09">
        <w:t xml:space="preserve"> </w:t>
      </w:r>
      <w:r>
        <w:t>there</w:t>
      </w:r>
      <w:r w:rsidR="006C6F09">
        <w:t xml:space="preserve"> </w:t>
      </w:r>
      <w:r>
        <w:t>is</w:t>
      </w:r>
      <w:r w:rsidR="006C6F09">
        <w:t xml:space="preserve"> </w:t>
      </w:r>
      <w:r>
        <w:t>a</w:t>
      </w:r>
      <w:r w:rsidR="006C6F09">
        <w:t xml:space="preserve"> </w:t>
      </w:r>
      <w:r>
        <w:t>valid</w:t>
      </w:r>
      <w:r w:rsidR="006C6F09">
        <w:t xml:space="preserve"> </w:t>
      </w:r>
      <w:r>
        <w:t>reason</w:t>
      </w:r>
      <w:r w:rsidR="006C6F09">
        <w:t xml:space="preserve"> </w:t>
      </w:r>
      <w:r>
        <w:t>for</w:t>
      </w:r>
      <w:r w:rsidR="006C6F09">
        <w:t xml:space="preserve"> </w:t>
      </w:r>
      <w:r>
        <w:t>collecting</w:t>
      </w:r>
      <w:r w:rsidR="006C6F09">
        <w:t xml:space="preserve"> </w:t>
      </w:r>
      <w:r>
        <w:t>attendees’</w:t>
      </w:r>
      <w:r w:rsidR="006C6F09">
        <w:t xml:space="preserve"> </w:t>
      </w:r>
      <w:r>
        <w:t>email</w:t>
      </w:r>
      <w:r w:rsidR="006C6F09">
        <w:t xml:space="preserve"> </w:t>
      </w:r>
      <w:r>
        <w:t>addresses</w:t>
      </w:r>
      <w:r w:rsidR="006C6F09">
        <w:t xml:space="preserve"> </w:t>
      </w:r>
      <w:r>
        <w:t>on</w:t>
      </w:r>
      <w:r w:rsidR="006C6F09">
        <w:t xml:space="preserve"> </w:t>
      </w:r>
      <w:r>
        <w:t>the</w:t>
      </w:r>
      <w:r w:rsidR="006C6F09">
        <w:t xml:space="preserve"> </w:t>
      </w:r>
      <w:r>
        <w:t>sign-in</w:t>
      </w:r>
      <w:r w:rsidR="006C6F09">
        <w:t xml:space="preserve"> </w:t>
      </w:r>
      <w:r>
        <w:t>sheet</w:t>
      </w:r>
      <w:r w:rsidR="006C6F09">
        <w:t xml:space="preserve"> </w:t>
      </w:r>
      <w:r>
        <w:t>(for</w:t>
      </w:r>
      <w:r w:rsidR="006C6F09">
        <w:t xml:space="preserve"> </w:t>
      </w:r>
      <w:r>
        <w:t>example,</w:t>
      </w:r>
      <w:r w:rsidR="006C6F09">
        <w:t xml:space="preserve"> </w:t>
      </w:r>
      <w:r>
        <w:t>to</w:t>
      </w:r>
      <w:r w:rsidR="006C6F09">
        <w:t xml:space="preserve"> </w:t>
      </w:r>
      <w:r>
        <w:t>provide</w:t>
      </w:r>
      <w:r w:rsidR="006C6F09">
        <w:t xml:space="preserve"> </w:t>
      </w:r>
      <w:r>
        <w:t>project</w:t>
      </w:r>
      <w:r w:rsidR="006C6F09">
        <w:t xml:space="preserve"> </w:t>
      </w:r>
      <w:r>
        <w:t>updates,</w:t>
      </w:r>
      <w:r w:rsidR="006C6F09">
        <w:t xml:space="preserve"> </w:t>
      </w:r>
      <w:r>
        <w:t>newsletters,</w:t>
      </w:r>
      <w:r w:rsidR="006C6F09">
        <w:t xml:space="preserve"> </w:t>
      </w:r>
      <w:r>
        <w:t>or</w:t>
      </w:r>
      <w:r w:rsidR="006C6F09">
        <w:t xml:space="preserve"> </w:t>
      </w:r>
      <w:r>
        <w:t>other</w:t>
      </w:r>
      <w:r w:rsidR="006C6F09">
        <w:t xml:space="preserve"> </w:t>
      </w:r>
      <w:r>
        <w:t>information</w:t>
      </w:r>
      <w:r w:rsidR="006C6F09">
        <w:t xml:space="preserve"> </w:t>
      </w:r>
      <w:r>
        <w:t>about</w:t>
      </w:r>
      <w:r w:rsidR="006C6F09">
        <w:t xml:space="preserve"> </w:t>
      </w:r>
      <w:r>
        <w:t>the</w:t>
      </w:r>
      <w:r w:rsidR="006C6F09">
        <w:t xml:space="preserve"> </w:t>
      </w:r>
      <w:r>
        <w:t>project</w:t>
      </w:r>
      <w:r w:rsidR="006C6F09">
        <w:t xml:space="preserve"> </w:t>
      </w:r>
      <w:r>
        <w:t>by</w:t>
      </w:r>
      <w:r w:rsidR="006C6F09">
        <w:t xml:space="preserve"> </w:t>
      </w:r>
      <w:r>
        <w:t>email),</w:t>
      </w:r>
      <w:r w:rsidR="006C6F09">
        <w:t xml:space="preserve"> </w:t>
      </w:r>
      <w:r>
        <w:t>then,</w:t>
      </w:r>
      <w:r w:rsidR="006C6F09">
        <w:t xml:space="preserve"> </w:t>
      </w:r>
      <w:r>
        <w:t>in</w:t>
      </w:r>
      <w:r w:rsidR="006C6F09">
        <w:t xml:space="preserve"> </w:t>
      </w:r>
      <w:r>
        <w:t>accordance</w:t>
      </w:r>
      <w:r w:rsidR="006C6F09">
        <w:t xml:space="preserve"> </w:t>
      </w:r>
      <w:r>
        <w:t>with</w:t>
      </w:r>
      <w:r w:rsidR="006C6F09">
        <w:t xml:space="preserve"> </w:t>
      </w:r>
      <w:hyperlink r:id="rId90" w:history="1">
        <w:r w:rsidRPr="00EF3B78">
          <w:rPr>
            <w:rStyle w:val="Hyperlink"/>
          </w:rPr>
          <w:t>Texas</w:t>
        </w:r>
        <w:r w:rsidR="006C6F09">
          <w:rPr>
            <w:rStyle w:val="Hyperlink"/>
          </w:rPr>
          <w:t xml:space="preserve"> </w:t>
        </w:r>
        <w:r w:rsidRPr="00EF3B78">
          <w:rPr>
            <w:rStyle w:val="Hyperlink"/>
          </w:rPr>
          <w:t>Government</w:t>
        </w:r>
        <w:r w:rsidR="006C6F09">
          <w:rPr>
            <w:rStyle w:val="Hyperlink"/>
          </w:rPr>
          <w:t xml:space="preserve"> </w:t>
        </w:r>
        <w:r w:rsidRPr="00EF3B78">
          <w:rPr>
            <w:rStyle w:val="Hyperlink"/>
          </w:rPr>
          <w:t>Code</w:t>
        </w:r>
        <w:r w:rsidR="006C6F09">
          <w:rPr>
            <w:rStyle w:val="Hyperlink"/>
          </w:rPr>
          <w:t xml:space="preserve"> </w:t>
        </w:r>
        <w:r w:rsidRPr="00EF3B78">
          <w:rPr>
            <w:rStyle w:val="Hyperlink"/>
          </w:rPr>
          <w:t>552.137(a)</w:t>
        </w:r>
      </w:hyperlink>
      <w:r>
        <w:t>,</w:t>
      </w:r>
      <w:r w:rsidR="006C6F09">
        <w:t xml:space="preserve"> </w:t>
      </w:r>
      <w:r>
        <w:t>any</w:t>
      </w:r>
      <w:r w:rsidR="006C6F09">
        <w:t xml:space="preserve"> </w:t>
      </w:r>
      <w:r>
        <w:t>email</w:t>
      </w:r>
      <w:r w:rsidR="006C6F09">
        <w:t xml:space="preserve"> </w:t>
      </w:r>
      <w:r>
        <w:t>addresses</w:t>
      </w:r>
      <w:r w:rsidR="006C6F09">
        <w:t xml:space="preserve"> </w:t>
      </w:r>
      <w:r>
        <w:t>provided</w:t>
      </w:r>
      <w:r w:rsidR="006C6F09">
        <w:t xml:space="preserve"> </w:t>
      </w:r>
      <w:r>
        <w:t>by</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must</w:t>
      </w:r>
      <w:r w:rsidR="006C6F09">
        <w:t xml:space="preserve"> </w:t>
      </w:r>
      <w:r>
        <w:t>be</w:t>
      </w:r>
      <w:r w:rsidR="006C6F09">
        <w:t xml:space="preserve"> </w:t>
      </w:r>
      <w:r>
        <w:t>redacted</w:t>
      </w:r>
      <w:r w:rsidR="006C6F09">
        <w:t xml:space="preserve"> </w:t>
      </w:r>
      <w:r>
        <w:t>from</w:t>
      </w:r>
      <w:r w:rsidR="006C6F09">
        <w:t xml:space="preserve"> </w:t>
      </w:r>
      <w:r>
        <w:t>the</w:t>
      </w:r>
      <w:r w:rsidR="006C6F09">
        <w:t xml:space="preserve"> </w:t>
      </w:r>
      <w:r>
        <w:t>sign-in</w:t>
      </w:r>
      <w:r w:rsidR="006C6F09">
        <w:t xml:space="preserve"> </w:t>
      </w:r>
      <w:r>
        <w:t>sheets</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rsidRPr="00263E76">
        <w:t>Texas</w:t>
      </w:r>
      <w:r w:rsidR="006C6F09">
        <w:t xml:space="preserve"> </w:t>
      </w:r>
      <w:r w:rsidRPr="00263E76">
        <w:t>Attorney</w:t>
      </w:r>
      <w:r w:rsidR="006C6F09">
        <w:t xml:space="preserve"> </w:t>
      </w:r>
      <w:r w:rsidRPr="00263E76">
        <w:t>General’s</w:t>
      </w:r>
      <w:r w:rsidR="006C6F09">
        <w:t xml:space="preserve"> </w:t>
      </w:r>
      <w:r w:rsidRPr="00263E76">
        <w:t>2020</w:t>
      </w:r>
      <w:r w:rsidR="006C6F09">
        <w:t xml:space="preserve"> </w:t>
      </w:r>
      <w:r w:rsidRPr="00263E76">
        <w:lastRenderedPageBreak/>
        <w:t>Public</w:t>
      </w:r>
      <w:r w:rsidR="006C6F09">
        <w:t xml:space="preserve"> </w:t>
      </w:r>
      <w:r w:rsidRPr="00263E76">
        <w:t>Information</w:t>
      </w:r>
      <w:r w:rsidR="006C6F09">
        <w:t xml:space="preserve"> </w:t>
      </w:r>
      <w:r w:rsidRPr="00263E76">
        <w:t>Act</w:t>
      </w:r>
      <w:r w:rsidR="006C6F09">
        <w:t xml:space="preserve"> </w:t>
      </w:r>
      <w:r w:rsidRPr="00263E76">
        <w:t>Handbook</w:t>
      </w:r>
      <w:r w:rsidR="006C6F09">
        <w:t xml:space="preserve"> </w:t>
      </w:r>
      <w:r>
        <w:t>at</w:t>
      </w:r>
      <w:r w:rsidR="006C6F09">
        <w:t xml:space="preserve"> </w:t>
      </w:r>
      <w:r>
        <w:t>pages</w:t>
      </w:r>
      <w:r w:rsidR="006C6F09">
        <w:t xml:space="preserve"> </w:t>
      </w:r>
      <w:r>
        <w:t>161-162).</w:t>
      </w:r>
      <w:r w:rsidR="00135456">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t>to</w:t>
      </w:r>
      <w:r w:rsidR="006C6F09">
        <w:t xml:space="preserve"> </w:t>
      </w:r>
      <w:r>
        <w:t>redact</w:t>
      </w:r>
      <w:r w:rsidR="006C6F09">
        <w:t xml:space="preserve"> </w:t>
      </w:r>
      <w:r>
        <w:t>physical</w:t>
      </w:r>
      <w:r w:rsidR="006C6F09">
        <w:t xml:space="preserve"> </w:t>
      </w:r>
      <w:r>
        <w:t>addresses.</w:t>
      </w:r>
      <w:r w:rsidR="006C6F09">
        <w:t xml:space="preserve"> </w:t>
      </w:r>
      <w:proofErr w:type="gramStart"/>
      <w:r>
        <w:t>Redaction</w:t>
      </w:r>
      <w:proofErr w:type="gramEnd"/>
      <w:r w:rsidR="006C6F09">
        <w:t xml:space="preserve"> </w:t>
      </w:r>
      <w:r>
        <w:t>of</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done</w:t>
      </w:r>
      <w:r w:rsidR="006C6F09">
        <w:t xml:space="preserve"> </w:t>
      </w:r>
      <w:r>
        <w:t>on</w:t>
      </w:r>
      <w:r w:rsidR="006C6F09">
        <w:t xml:space="preserve"> </w:t>
      </w:r>
      <w:r>
        <w:t>a</w:t>
      </w:r>
      <w:r w:rsidR="006C6F09">
        <w:t xml:space="preserve"> </w:t>
      </w:r>
      <w:r>
        <w:t>discretionary</w:t>
      </w:r>
      <w:r w:rsidR="006C6F09">
        <w:t xml:space="preserve"> </w:t>
      </w:r>
      <w:r>
        <w:t>basis.</w:t>
      </w:r>
      <w:r w:rsidR="006C6F09">
        <w:t xml:space="preserve"> </w:t>
      </w:r>
    </w:p>
    <w:p w14:paraId="7D5BA704" w14:textId="77777777" w:rsidR="00457754" w:rsidRDefault="00457754" w:rsidP="008A3A31">
      <w:pPr>
        <w:pStyle w:val="ListNumber"/>
        <w:tabs>
          <w:tab w:val="clear" w:pos="360"/>
        </w:tabs>
        <w:ind w:left="360" w:hanging="360"/>
      </w:pPr>
      <w:r>
        <w:t>Transcript</w:t>
      </w:r>
    </w:p>
    <w:p w14:paraId="4023433B" w14:textId="210A5D8C" w:rsidR="00457754" w:rsidRDefault="00457754" w:rsidP="00457754">
      <w:pPr>
        <w:pStyle w:val="ListNumber"/>
        <w:numPr>
          <w:ilvl w:val="0"/>
          <w:numId w:val="0"/>
        </w:numPr>
        <w:ind w:left="360"/>
      </w:pPr>
      <w:r>
        <w:t>This</w:t>
      </w:r>
      <w:r w:rsidR="006C6F09">
        <w:t xml:space="preserve"> </w:t>
      </w:r>
      <w:r>
        <w:t>would</w:t>
      </w:r>
      <w:r w:rsidR="006C6F09">
        <w:t xml:space="preserve"> </w:t>
      </w:r>
      <w:r>
        <w:t>only</w:t>
      </w:r>
      <w:r w:rsidR="006C6F09">
        <w:t xml:space="preserve"> </w:t>
      </w:r>
      <w:r>
        <w:t>be</w:t>
      </w:r>
      <w:r w:rsidR="006C6F09">
        <w:t xml:space="preserve"> </w:t>
      </w:r>
      <w:r>
        <w:t>applicable</w:t>
      </w:r>
      <w:r w:rsidR="006C6F09">
        <w:t xml:space="preserve"> </w:t>
      </w:r>
      <w:r>
        <w:t>if</w:t>
      </w:r>
      <w:r w:rsidR="006C6F09">
        <w:t xml:space="preserve"> </w:t>
      </w:r>
      <w:r>
        <w:t>an</w:t>
      </w:r>
      <w:r w:rsidR="006C6F09">
        <w:t xml:space="preserve"> </w:t>
      </w:r>
      <w:r>
        <w:t>in-person</w:t>
      </w:r>
      <w:r w:rsidR="006C6F09">
        <w:t xml:space="preserve"> </w:t>
      </w:r>
      <w:r>
        <w:t>option</w:t>
      </w:r>
      <w:r w:rsidR="006C6F09">
        <w:t xml:space="preserve"> </w:t>
      </w:r>
      <w:r w:rsidR="0011551E">
        <w:t>were</w:t>
      </w:r>
      <w:r w:rsidR="006C6F09">
        <w:t xml:space="preserve"> </w:t>
      </w:r>
      <w:r>
        <w:t>held</w:t>
      </w:r>
      <w:r w:rsidR="006C6F09">
        <w:t xml:space="preserve"> </w:t>
      </w:r>
      <w:r>
        <w:t>in</w:t>
      </w:r>
      <w:r w:rsidR="006C6F09">
        <w:t xml:space="preserve"> </w:t>
      </w:r>
      <w:r>
        <w:t>a</w:t>
      </w:r>
      <w:r w:rsidR="006C6F09">
        <w:t xml:space="preserve"> </w:t>
      </w:r>
      <w:r>
        <w:t>traditional</w:t>
      </w:r>
      <w:r w:rsidR="006C6F09">
        <w:t xml:space="preserve"> </w:t>
      </w:r>
      <w:r>
        <w:t>public</w:t>
      </w:r>
      <w:r w:rsidR="006C6F09">
        <w:t xml:space="preserve"> </w:t>
      </w:r>
      <w:r>
        <w:t>hearing</w:t>
      </w:r>
      <w:r w:rsidR="006C6F09">
        <w:t xml:space="preserve"> </w:t>
      </w:r>
      <w:r>
        <w:t>format,</w:t>
      </w:r>
      <w:r w:rsidR="006C6F09">
        <w:t xml:space="preserve"> </w:t>
      </w:r>
      <w:r>
        <w:t>in</w:t>
      </w:r>
      <w:r w:rsidR="006C6F09">
        <w:t xml:space="preserve"> </w:t>
      </w:r>
      <w:r>
        <w:t>which</w:t>
      </w:r>
      <w:r w:rsidR="006C6F09">
        <w:t xml:space="preserve"> </w:t>
      </w:r>
      <w:r>
        <w:t>case</w:t>
      </w:r>
      <w:r w:rsidR="006C6F09">
        <w:t xml:space="preserve"> </w:t>
      </w:r>
      <w:r>
        <w:t>a</w:t>
      </w:r>
      <w:r w:rsidR="006C6F09">
        <w:t xml:space="preserve"> </w:t>
      </w:r>
      <w:r>
        <w:t>court</w:t>
      </w:r>
      <w:r w:rsidR="006C6F09">
        <w:t xml:space="preserve"> </w:t>
      </w:r>
      <w:r>
        <w:t>reporter</w:t>
      </w:r>
      <w:r w:rsidR="006C6F09">
        <w:t xml:space="preserve"> </w:t>
      </w:r>
      <w:r>
        <w:t>will</w:t>
      </w:r>
      <w:r w:rsidR="006C6F09">
        <w:t xml:space="preserve"> </w:t>
      </w:r>
      <w:r>
        <w:t>have</w:t>
      </w:r>
      <w:r w:rsidR="006C6F09">
        <w:t xml:space="preserve"> </w:t>
      </w:r>
      <w:r>
        <w:t>prepared</w:t>
      </w:r>
      <w:r w:rsidR="006C6F09">
        <w:t xml:space="preserve"> </w:t>
      </w:r>
      <w:r>
        <w:t>a</w:t>
      </w:r>
      <w:r w:rsidR="006C6F09">
        <w:t xml:space="preserve"> </w:t>
      </w:r>
      <w:r>
        <w:t>transcript</w:t>
      </w:r>
      <w:r w:rsidR="006C6F09">
        <w:t xml:space="preserve"> </w:t>
      </w:r>
      <w:r>
        <w:t>of</w:t>
      </w:r>
      <w:r w:rsidR="006C6F09">
        <w:t xml:space="preserve"> </w:t>
      </w:r>
      <w:r>
        <w:t>the</w:t>
      </w:r>
      <w:r w:rsidR="006C6F09">
        <w:t xml:space="preserve"> </w:t>
      </w:r>
      <w:r>
        <w:t>live</w:t>
      </w:r>
      <w:r w:rsidR="006C6F09">
        <w:t xml:space="preserve"> </w:t>
      </w:r>
      <w:r>
        <w:t>proceedings.</w:t>
      </w:r>
      <w:r w:rsidR="006C6F09">
        <w:t xml:space="preserve"> </w:t>
      </w:r>
      <w:r>
        <w:t>This</w:t>
      </w:r>
      <w:r w:rsidR="006C6F09">
        <w:t xml:space="preserve"> </w:t>
      </w:r>
      <w:r>
        <w:t>is</w:t>
      </w:r>
      <w:r w:rsidR="006C6F09">
        <w:t xml:space="preserve"> </w:t>
      </w:r>
      <w:r>
        <w:t>not</w:t>
      </w:r>
      <w:r w:rsidR="006C6F09">
        <w:t xml:space="preserve"> </w:t>
      </w:r>
      <w:r>
        <w:t>referring</w:t>
      </w:r>
      <w:r w:rsidR="006C6F09">
        <w:t xml:space="preserve"> </w:t>
      </w:r>
      <w:r>
        <w:t>to</w:t>
      </w:r>
      <w:r w:rsidR="006C6F09">
        <w:t xml:space="preserve"> </w:t>
      </w:r>
      <w:r>
        <w:t>the</w:t>
      </w:r>
      <w:r w:rsidR="006C6F09">
        <w:t xml:space="preserve"> </w:t>
      </w:r>
      <w:r>
        <w:t>transcript</w:t>
      </w:r>
      <w:r w:rsidR="006C6F09">
        <w:t xml:space="preserve"> </w:t>
      </w:r>
      <w:r>
        <w:t>of</w:t>
      </w:r>
      <w:r w:rsidR="006C6F09">
        <w:t xml:space="preserve"> </w:t>
      </w:r>
      <w:r>
        <w:t>the</w:t>
      </w:r>
      <w:r w:rsidR="006C6F09">
        <w:t xml:space="preserve"> </w:t>
      </w:r>
      <w:r>
        <w:t>video</w:t>
      </w:r>
      <w:r w:rsidR="006C6F09">
        <w:t xml:space="preserve"> </w:t>
      </w:r>
      <w:r>
        <w:t>presentation</w:t>
      </w:r>
      <w:r w:rsidR="006C6F09">
        <w:t xml:space="preserve"> </w:t>
      </w:r>
      <w:r>
        <w:t>for</w:t>
      </w:r>
      <w:r w:rsidR="006C6F09">
        <w:t xml:space="preserve"> </w:t>
      </w:r>
      <w:r>
        <w:t>the</w:t>
      </w:r>
      <w:r w:rsidR="006C6F09">
        <w:t xml:space="preserve"> </w:t>
      </w:r>
      <w:r>
        <w:t>virtual</w:t>
      </w:r>
      <w:r w:rsidR="006C6F09">
        <w:t xml:space="preserve"> </w:t>
      </w:r>
      <w:r>
        <w:t>hearing</w:t>
      </w:r>
      <w:r w:rsidR="006C6F09">
        <w:t xml:space="preserve"> </w:t>
      </w:r>
      <w:r>
        <w:t>–</w:t>
      </w:r>
      <w:r w:rsidR="006C6F09">
        <w:t xml:space="preserve"> </w:t>
      </w:r>
      <w:r>
        <w:t>that</w:t>
      </w:r>
      <w:r w:rsidR="006C6F09">
        <w:t xml:space="preserve"> </w:t>
      </w:r>
      <w:r>
        <w:t>will</w:t>
      </w:r>
      <w:r w:rsidR="006C6F09">
        <w:t xml:space="preserve"> </w:t>
      </w:r>
      <w:r>
        <w:t>be</w:t>
      </w:r>
      <w:r w:rsidR="006C6F09">
        <w:t xml:space="preserve"> </w:t>
      </w:r>
      <w:r>
        <w:t>included</w:t>
      </w:r>
      <w:r w:rsidR="006C6F09">
        <w:t xml:space="preserve"> </w:t>
      </w:r>
      <w:r>
        <w:t>under</w:t>
      </w:r>
      <w:r w:rsidR="006C6F09">
        <w:t xml:space="preserve"> </w:t>
      </w:r>
      <w:r w:rsidRPr="00942156">
        <w:t>“</w:t>
      </w:r>
      <w:r w:rsidR="00942156" w:rsidRPr="00942156">
        <w:t>7</w:t>
      </w:r>
      <w:r w:rsidRPr="00942156">
        <w:t>.</w:t>
      </w:r>
      <w:r w:rsidR="006C6F09">
        <w:t xml:space="preserve"> </w:t>
      </w:r>
      <w:r w:rsidRPr="00942156">
        <w:t>Figures”</w:t>
      </w:r>
      <w:r w:rsidR="006C6F09">
        <w:t xml:space="preserve"> </w:t>
      </w:r>
      <w:r w:rsidRPr="00942156">
        <w:t>below.</w:t>
      </w:r>
    </w:p>
    <w:p w14:paraId="23D7152A" w14:textId="25B37DA2" w:rsidR="00457754" w:rsidRDefault="00457754" w:rsidP="008A3A31">
      <w:pPr>
        <w:pStyle w:val="ListNumber"/>
        <w:tabs>
          <w:tab w:val="clear" w:pos="360"/>
        </w:tabs>
        <w:ind w:left="360" w:hanging="360"/>
      </w:pPr>
      <w:r>
        <w:t>Comments</w:t>
      </w:r>
      <w:r w:rsidR="006C6F09">
        <w:t xml:space="preserve"> </w:t>
      </w:r>
      <w:r>
        <w:t>Received</w:t>
      </w:r>
    </w:p>
    <w:p w14:paraId="0D53A0DC" w14:textId="34F20CAE" w:rsidR="00457754" w:rsidRDefault="00457754" w:rsidP="00457754">
      <w:pPr>
        <w:pStyle w:val="ListNumber"/>
        <w:numPr>
          <w:ilvl w:val="0"/>
          <w:numId w:val="0"/>
        </w:numPr>
        <w:ind w:left="360"/>
      </w:pPr>
      <w:r>
        <w:t>Include</w:t>
      </w:r>
      <w:r w:rsidR="006C6F09">
        <w:t xml:space="preserve"> </w:t>
      </w:r>
      <w:r>
        <w:t>a</w:t>
      </w:r>
      <w:r w:rsidR="006C6F09">
        <w:t xml:space="preserve"> </w:t>
      </w:r>
      <w:r>
        <w:t>copy</w:t>
      </w:r>
      <w:r w:rsidR="006C6F09">
        <w:t xml:space="preserve"> </w:t>
      </w:r>
      <w:r>
        <w:t>of</w:t>
      </w:r>
      <w:r w:rsidR="006C6F09">
        <w:t xml:space="preserve"> </w:t>
      </w:r>
      <w:r>
        <w:t>all</w:t>
      </w:r>
      <w:r w:rsidR="006C6F09">
        <w:t xml:space="preserve"> </w:t>
      </w:r>
      <w:r>
        <w:t>comments</w:t>
      </w:r>
      <w:r w:rsidR="006C6F09">
        <w:t xml:space="preserve"> </w:t>
      </w:r>
      <w:r>
        <w:t>received,</w:t>
      </w:r>
      <w:r w:rsidR="006C6F09">
        <w:t xml:space="preserve"> </w:t>
      </w:r>
      <w:r>
        <w:t>both</w:t>
      </w:r>
      <w:r w:rsidR="006C6F09">
        <w:t xml:space="preserve"> </w:t>
      </w:r>
      <w:r>
        <w:t>written</w:t>
      </w:r>
      <w:r w:rsidR="006C6F09">
        <w:t xml:space="preserve"> </w:t>
      </w:r>
      <w:r>
        <w:t>and</w:t>
      </w:r>
      <w:r w:rsidR="006C6F09">
        <w:t xml:space="preserve"> </w:t>
      </w:r>
      <w:r>
        <w:t>dictated,</w:t>
      </w:r>
      <w:r w:rsidR="006C6F09">
        <w:t xml:space="preserve"> </w:t>
      </w:r>
      <w:r>
        <w:t>if</w:t>
      </w:r>
      <w:r w:rsidR="006C6F09">
        <w:t xml:space="preserve"> </w:t>
      </w:r>
      <w:r>
        <w:t>applicable.</w:t>
      </w:r>
      <w:r w:rsidR="006C6F09">
        <w:t xml:space="preserve"> </w:t>
      </w:r>
      <w:r>
        <w:t>Include</w:t>
      </w:r>
      <w:r w:rsidR="006C6F09">
        <w:t xml:space="preserve"> </w:t>
      </w:r>
      <w:r>
        <w:t>all</w:t>
      </w:r>
      <w:r w:rsidR="006C6F09">
        <w:t xml:space="preserve"> </w:t>
      </w:r>
      <w:r>
        <w:t>comments</w:t>
      </w:r>
      <w:r w:rsidR="006C6F09">
        <w:t xml:space="preserve"> </w:t>
      </w:r>
      <w:r>
        <w:t>received</w:t>
      </w:r>
      <w:r w:rsidR="006C6F09">
        <w:t xml:space="preserve"> </w:t>
      </w:r>
      <w:r>
        <w:t>between</w:t>
      </w:r>
      <w:r w:rsidR="006C6F09">
        <w:t xml:space="preserve"> </w:t>
      </w:r>
      <w:r>
        <w:t>the</w:t>
      </w:r>
      <w:r w:rsidR="006C6F09">
        <w:t xml:space="preserve"> </w:t>
      </w:r>
      <w:r>
        <w:t>date</w:t>
      </w:r>
      <w:r w:rsidR="006C6F09">
        <w:t xml:space="preserve"> </w:t>
      </w:r>
      <w:r>
        <w:t>the</w:t>
      </w:r>
      <w:r w:rsidR="006C6F09">
        <w:t xml:space="preserve"> </w:t>
      </w:r>
      <w:r>
        <w:t>notice</w:t>
      </w:r>
      <w:r w:rsidR="006C6F09">
        <w:t xml:space="preserve"> </w:t>
      </w:r>
      <w:r>
        <w:t>was</w:t>
      </w:r>
      <w:r w:rsidR="006C6F09">
        <w:t xml:space="preserve"> </w:t>
      </w:r>
      <w:r>
        <w:t>provided</w:t>
      </w:r>
      <w:r w:rsidR="006C6F09">
        <w:t xml:space="preserve"> </w:t>
      </w:r>
      <w:r>
        <w:t>and</w:t>
      </w:r>
      <w:r w:rsidR="006C6F09">
        <w:t xml:space="preserve"> </w:t>
      </w:r>
      <w:r>
        <w:t>the</w:t>
      </w:r>
      <w:r w:rsidR="006C6F09">
        <w:t xml:space="preserve"> </w:t>
      </w:r>
      <w:r>
        <w:t>deadline</w:t>
      </w:r>
      <w:r w:rsidR="006C6F09">
        <w:t xml:space="preserve"> </w:t>
      </w:r>
      <w:r>
        <w:t>specified</w:t>
      </w:r>
      <w:r w:rsidR="006C6F09">
        <w:t xml:space="preserve"> </w:t>
      </w:r>
      <w:r>
        <w:t>in</w:t>
      </w:r>
      <w:r w:rsidR="006C6F09">
        <w:t xml:space="preserve"> </w:t>
      </w:r>
      <w:r>
        <w:t>the</w:t>
      </w:r>
      <w:r w:rsidR="006C6F09">
        <w:t xml:space="preserve"> </w:t>
      </w:r>
      <w:r>
        <w:t>notice.</w:t>
      </w:r>
      <w:r w:rsidR="006C6F09">
        <w:t xml:space="preserve"> </w:t>
      </w:r>
      <w:r>
        <w:t>In</w:t>
      </w:r>
      <w:r w:rsidR="006C6F09">
        <w:t xml:space="preserve"> </w:t>
      </w:r>
      <w:r>
        <w:t>cases</w:t>
      </w:r>
      <w:r w:rsidR="006C6F09">
        <w:t xml:space="preserve"> </w:t>
      </w:r>
      <w:r>
        <w:t>in</w:t>
      </w:r>
      <w:r w:rsidR="006C6F09">
        <w:t xml:space="preserve"> </w:t>
      </w:r>
      <w:r>
        <w:t>which</w:t>
      </w:r>
      <w:r w:rsidR="006C6F09">
        <w:t xml:space="preserve"> </w:t>
      </w:r>
      <w:r>
        <w:t>there</w:t>
      </w:r>
      <w:r w:rsidR="006C6F09">
        <w:t xml:space="preserve"> </w:t>
      </w:r>
      <w:r>
        <w:t>are</w:t>
      </w:r>
      <w:r w:rsidR="006C6F09">
        <w:t xml:space="preserve"> </w:t>
      </w:r>
      <w:r>
        <w:t>large</w:t>
      </w:r>
      <w:r w:rsidR="006C6F09">
        <w:t xml:space="preserve"> </w:t>
      </w:r>
      <w:r>
        <w:t>number</w:t>
      </w:r>
      <w:r w:rsidR="006C6F09">
        <w:t xml:space="preserve"> </w:t>
      </w:r>
      <w:r>
        <w:t>of</w:t>
      </w:r>
      <w:r w:rsidR="006C6F09">
        <w:t xml:space="preserve"> </w:t>
      </w:r>
      <w:r>
        <w:t>identical</w:t>
      </w:r>
      <w:r w:rsidR="006C6F09">
        <w:t xml:space="preserve"> </w:t>
      </w:r>
      <w:r>
        <w:t>comments,</w:t>
      </w:r>
      <w:r w:rsidR="006C6F09">
        <w:t xml:space="preserve"> </w:t>
      </w:r>
      <w:r>
        <w:t>it</w:t>
      </w:r>
      <w:r w:rsidR="006C6F09">
        <w:t xml:space="preserve"> </w:t>
      </w:r>
      <w:r>
        <w:t>may</w:t>
      </w:r>
      <w:r w:rsidR="006C6F09">
        <w:t xml:space="preserve"> </w:t>
      </w:r>
      <w:r>
        <w:t>be</w:t>
      </w:r>
      <w:r w:rsidR="006C6F09">
        <w:t xml:space="preserve"> </w:t>
      </w:r>
      <w:r>
        <w:t>appropriate</w:t>
      </w:r>
      <w:r w:rsidR="006C6F09">
        <w:t xml:space="preserve"> </w:t>
      </w:r>
      <w:r>
        <w:t>to</w:t>
      </w:r>
      <w:r w:rsidR="006C6F09">
        <w:t xml:space="preserve"> </w:t>
      </w:r>
      <w:r>
        <w:t>include</w:t>
      </w:r>
      <w:r w:rsidR="006C6F09">
        <w:t xml:space="preserve"> </w:t>
      </w:r>
      <w:r>
        <w:t>only</w:t>
      </w:r>
      <w:r w:rsidR="006C6F09">
        <w:t xml:space="preserve"> </w:t>
      </w:r>
      <w:r>
        <w:t>a</w:t>
      </w:r>
      <w:r w:rsidR="006C6F09">
        <w:t xml:space="preserve"> </w:t>
      </w:r>
      <w:r>
        <w:t>single</w:t>
      </w:r>
      <w:r w:rsidR="006C6F09">
        <w:t xml:space="preserve"> </w:t>
      </w:r>
      <w:r>
        <w:t>copy</w:t>
      </w:r>
      <w:r w:rsidR="006C6F09">
        <w:t xml:space="preserve"> </w:t>
      </w:r>
      <w:r>
        <w:t>–</w:t>
      </w:r>
      <w:r w:rsidR="006C6F09">
        <w:t xml:space="preserve"> </w:t>
      </w:r>
      <w:r>
        <w:t>consult</w:t>
      </w:r>
      <w:r w:rsidR="006C6F09">
        <w:t xml:space="preserve"> </w:t>
      </w:r>
      <w:r>
        <w:t>with</w:t>
      </w:r>
      <w:r w:rsidR="006C6F09">
        <w:t xml:space="preserve"> </w:t>
      </w:r>
      <w:r>
        <w:t>ENV’s</w:t>
      </w:r>
      <w:r w:rsidR="006C6F09">
        <w:t xml:space="preserve"> </w:t>
      </w:r>
      <w:r>
        <w:t>Project</w:t>
      </w:r>
      <w:r w:rsidR="006C6F09">
        <w:t xml:space="preserve"> </w:t>
      </w:r>
      <w:r>
        <w:t>Delivery</w:t>
      </w:r>
      <w:r w:rsidR="006C6F09">
        <w:t xml:space="preserve"> </w:t>
      </w:r>
      <w:r>
        <w:t>Section</w:t>
      </w:r>
      <w:r w:rsidR="006C6F09">
        <w:t xml:space="preserve"> </w:t>
      </w:r>
      <w:r>
        <w:t>to</w:t>
      </w:r>
      <w:r w:rsidR="006C6F09">
        <w:t xml:space="preserve"> </w:t>
      </w:r>
      <w:r>
        <w:t>discuss</w:t>
      </w:r>
      <w:r w:rsidR="006C6F09">
        <w:t xml:space="preserve"> </w:t>
      </w:r>
      <w:r>
        <w:t>the</w:t>
      </w:r>
      <w:r w:rsidR="006C6F09">
        <w:t xml:space="preserve"> </w:t>
      </w:r>
      <w:r>
        <w:t>best</w:t>
      </w:r>
      <w:r w:rsidR="006C6F09">
        <w:t xml:space="preserve"> </w:t>
      </w:r>
      <w:r>
        <w:t>approach.</w:t>
      </w:r>
      <w:r w:rsidR="006C6F09">
        <w:t xml:space="preserve"> </w:t>
      </w:r>
      <w:r>
        <w:t>Redact</w:t>
      </w:r>
      <w:r w:rsidR="006C6F09">
        <w:t xml:space="preserve"> </w:t>
      </w:r>
      <w:r>
        <w:t>any</w:t>
      </w:r>
      <w:r w:rsidR="006C6F09">
        <w:t xml:space="preserve"> </w:t>
      </w:r>
      <w:r>
        <w:t>email</w:t>
      </w:r>
      <w:r w:rsidR="006C6F09">
        <w:t xml:space="preserve"> </w:t>
      </w:r>
      <w:r>
        <w:t>addresses</w:t>
      </w:r>
      <w:r w:rsidR="006C6F09">
        <w:t xml:space="preserve"> </w:t>
      </w:r>
      <w:r>
        <w:t>visible</w:t>
      </w:r>
      <w:r w:rsidR="006C6F09">
        <w:t xml:space="preserve"> </w:t>
      </w:r>
      <w:r>
        <w:t>on</w:t>
      </w:r>
      <w:r w:rsidR="006C6F09">
        <w:t xml:space="preserve"> </w:t>
      </w:r>
      <w:r>
        <w:t>comments</w:t>
      </w:r>
      <w:r w:rsidR="006C6F09">
        <w:t xml:space="preserve"> </w:t>
      </w:r>
      <w:r>
        <w:t>provided</w:t>
      </w:r>
      <w:r w:rsidR="006C6F09">
        <w:t xml:space="preserve"> </w:t>
      </w:r>
      <w:r>
        <w:t>by</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in</w:t>
      </w:r>
      <w:r w:rsidR="006C6F09">
        <w:t xml:space="preserve"> </w:t>
      </w:r>
      <w:r>
        <w:t>accordance</w:t>
      </w:r>
      <w:r w:rsidR="006C6F09">
        <w:t xml:space="preserve"> </w:t>
      </w:r>
      <w:r>
        <w:t>with</w:t>
      </w:r>
      <w:r w:rsidR="006C6F09">
        <w:t xml:space="preserve"> </w:t>
      </w:r>
      <w:r w:rsidRPr="008368E1">
        <w:t>Texas</w:t>
      </w:r>
      <w:r w:rsidR="006C6F09">
        <w:t xml:space="preserve"> </w:t>
      </w:r>
      <w:r w:rsidRPr="008368E1">
        <w:t>Government</w:t>
      </w:r>
      <w:r w:rsidR="006C6F09">
        <w:t xml:space="preserve"> </w:t>
      </w:r>
      <w:r w:rsidRPr="008368E1">
        <w:t>Code</w:t>
      </w:r>
      <w:r w:rsidR="006C6F09">
        <w:t xml:space="preserve"> </w:t>
      </w:r>
      <w:r>
        <w:t>552.137(a)</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t>Texas</w:t>
      </w:r>
      <w:r w:rsidR="006C6F09">
        <w:t xml:space="preserve"> </w:t>
      </w:r>
      <w:r>
        <w:t>Attorney</w:t>
      </w:r>
      <w:r w:rsidR="006C6F09">
        <w:t xml:space="preserve"> </w:t>
      </w:r>
      <w:r>
        <w:t>General’s</w:t>
      </w:r>
      <w:r w:rsidR="006C6F09">
        <w:t xml:space="preserve"> </w:t>
      </w:r>
      <w:r>
        <w:t>2020</w:t>
      </w:r>
      <w:r w:rsidR="006C6F09">
        <w:t xml:space="preserve"> </w:t>
      </w:r>
      <w:r w:rsidRPr="008368E1">
        <w:t>Public</w:t>
      </w:r>
      <w:r w:rsidR="006C6F09">
        <w:t xml:space="preserve"> </w:t>
      </w:r>
      <w:r w:rsidRPr="008368E1">
        <w:t>Information</w:t>
      </w:r>
      <w:r w:rsidR="006C6F09">
        <w:t xml:space="preserve"> </w:t>
      </w:r>
      <w:r w:rsidRPr="008368E1">
        <w:t>Act</w:t>
      </w:r>
      <w:r w:rsidR="006C6F09">
        <w:t xml:space="preserve"> </w:t>
      </w:r>
      <w:r>
        <w:t>Handbook</w:t>
      </w:r>
      <w:r w:rsidR="006C6F09">
        <w:t xml:space="preserve"> </w:t>
      </w:r>
      <w:r>
        <w:t>at</w:t>
      </w:r>
      <w:r w:rsidR="006C6F09">
        <w:t xml:space="preserve"> </w:t>
      </w:r>
      <w:r>
        <w:t>pages</w:t>
      </w:r>
      <w:r w:rsidR="006C6F09">
        <w:t xml:space="preserve"> </w:t>
      </w:r>
      <w:r>
        <w:t>161-162).</w:t>
      </w:r>
      <w:r w:rsidR="00135456">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t>to</w:t>
      </w:r>
      <w:r w:rsidR="006C6F09">
        <w:t xml:space="preserve"> </w:t>
      </w:r>
      <w:r>
        <w:t>redact</w:t>
      </w:r>
      <w:r w:rsidR="006C6F09">
        <w:t xml:space="preserve"> </w:t>
      </w:r>
      <w:r>
        <w:t>physical</w:t>
      </w:r>
      <w:r w:rsidR="006C6F09">
        <w:t xml:space="preserve"> </w:t>
      </w:r>
      <w:r>
        <w:t>addresses.</w:t>
      </w:r>
      <w:r w:rsidR="006C6F09">
        <w:t xml:space="preserve"> </w:t>
      </w:r>
      <w:proofErr w:type="gramStart"/>
      <w:r>
        <w:t>Redaction</w:t>
      </w:r>
      <w:proofErr w:type="gramEnd"/>
      <w:r w:rsidR="006C6F09">
        <w:t xml:space="preserve"> </w:t>
      </w:r>
      <w:r>
        <w:t>of</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done</w:t>
      </w:r>
      <w:r w:rsidR="006C6F09">
        <w:t xml:space="preserve"> </w:t>
      </w:r>
      <w:r>
        <w:t>on</w:t>
      </w:r>
      <w:r w:rsidR="006C6F09">
        <w:t xml:space="preserve"> </w:t>
      </w:r>
      <w:r>
        <w:t>a</w:t>
      </w:r>
      <w:r w:rsidR="006C6F09">
        <w:t xml:space="preserve"> </w:t>
      </w:r>
      <w:r>
        <w:t>discretionary</w:t>
      </w:r>
      <w:r w:rsidR="006C6F09">
        <w:t xml:space="preserve"> </w:t>
      </w:r>
      <w:r>
        <w:t>basis.</w:t>
      </w:r>
      <w:r w:rsidR="006C6F09">
        <w:t xml:space="preserve"> </w:t>
      </w:r>
    </w:p>
    <w:p w14:paraId="5C4EDF07" w14:textId="77777777" w:rsidR="00457754" w:rsidRDefault="00457754" w:rsidP="008A3A31">
      <w:pPr>
        <w:pStyle w:val="ListNumber"/>
        <w:tabs>
          <w:tab w:val="clear" w:pos="360"/>
        </w:tabs>
        <w:ind w:left="360" w:hanging="360"/>
      </w:pPr>
      <w:r>
        <w:t>Figures</w:t>
      </w:r>
    </w:p>
    <w:p w14:paraId="58CEF7D8" w14:textId="31662D97" w:rsidR="00457754" w:rsidRDefault="00457754" w:rsidP="00457754">
      <w:pPr>
        <w:pStyle w:val="ListNumber"/>
        <w:numPr>
          <w:ilvl w:val="0"/>
          <w:numId w:val="0"/>
        </w:numPr>
        <w:ind w:left="360"/>
      </w:pPr>
      <w:r>
        <w:t>Include</w:t>
      </w:r>
      <w:r w:rsidR="006C6F09">
        <w:t xml:space="preserve"> </w:t>
      </w:r>
      <w:r>
        <w:t>photographs</w:t>
      </w:r>
      <w:r w:rsidR="006C6F09">
        <w:t xml:space="preserve"> </w:t>
      </w:r>
      <w:r>
        <w:t>or</w:t>
      </w:r>
      <w:r w:rsidR="006C6F09">
        <w:t xml:space="preserve"> </w:t>
      </w:r>
      <w:r>
        <w:t>pdfs</w:t>
      </w:r>
      <w:r w:rsidR="006C6F09">
        <w:t xml:space="preserve"> </w:t>
      </w:r>
      <w:r>
        <w:t>of</w:t>
      </w:r>
      <w:r w:rsidR="006C6F09">
        <w:t xml:space="preserve"> </w:t>
      </w:r>
      <w:r>
        <w:t>all</w:t>
      </w:r>
      <w:r w:rsidR="006C6F09">
        <w:t xml:space="preserve"> </w:t>
      </w:r>
      <w:r>
        <w:t>boards</w:t>
      </w:r>
      <w:r w:rsidR="006C6F09">
        <w:t xml:space="preserve"> </w:t>
      </w:r>
      <w:r>
        <w:t>and</w:t>
      </w:r>
      <w:r w:rsidR="006C6F09">
        <w:t xml:space="preserve"> </w:t>
      </w:r>
      <w:r>
        <w:t>exhibits,</w:t>
      </w:r>
      <w:r w:rsidR="006C6F09">
        <w:t xml:space="preserve"> </w:t>
      </w:r>
      <w:r>
        <w:t>presentations,</w:t>
      </w:r>
      <w:r w:rsidR="006C6F09">
        <w:t xml:space="preserve"> </w:t>
      </w:r>
      <w:r>
        <w:t>general</w:t>
      </w:r>
      <w:r w:rsidR="006C6F09">
        <w:t xml:space="preserve"> </w:t>
      </w:r>
      <w:r>
        <w:t>photos</w:t>
      </w:r>
      <w:r w:rsidR="006C6F09">
        <w:t xml:space="preserve"> </w:t>
      </w:r>
      <w:r>
        <w:t>of</w:t>
      </w:r>
      <w:r w:rsidR="006C6F09">
        <w:t xml:space="preserve"> </w:t>
      </w:r>
      <w:r>
        <w:t>the</w:t>
      </w:r>
      <w:r w:rsidR="006C6F09">
        <w:t xml:space="preserve"> </w:t>
      </w:r>
      <w:r>
        <w:t>hearing</w:t>
      </w:r>
      <w:r w:rsidR="006C6F09">
        <w:t xml:space="preserve"> </w:t>
      </w:r>
      <w:r>
        <w:t>proceedings,</w:t>
      </w:r>
      <w:r w:rsidR="006C6F09">
        <w:t xml:space="preserve"> </w:t>
      </w:r>
      <w:r>
        <w:t>and</w:t>
      </w:r>
      <w:r w:rsidR="006C6F09">
        <w:t xml:space="preserve"> </w:t>
      </w:r>
      <w:r>
        <w:t>written</w:t>
      </w:r>
      <w:r w:rsidR="006C6F09">
        <w:t xml:space="preserve"> </w:t>
      </w:r>
      <w:r>
        <w:t>transcripts</w:t>
      </w:r>
      <w:r w:rsidR="006C6F09">
        <w:t xml:space="preserve"> </w:t>
      </w:r>
      <w:r>
        <w:t>for</w:t>
      </w:r>
      <w:r w:rsidR="006C6F09">
        <w:t xml:space="preserve"> </w:t>
      </w:r>
      <w:r>
        <w:t>any</w:t>
      </w:r>
      <w:r w:rsidR="006C6F09">
        <w:t xml:space="preserve"> </w:t>
      </w:r>
      <w:r>
        <w:t>video</w:t>
      </w:r>
      <w:r w:rsidR="006C6F09">
        <w:t xml:space="preserve"> </w:t>
      </w:r>
      <w:r>
        <w:t>presentations.</w:t>
      </w:r>
    </w:p>
    <w:p w14:paraId="1706ED51" w14:textId="4CCBA113" w:rsidR="00457754" w:rsidRPr="00C63A54" w:rsidRDefault="00457754" w:rsidP="00457754">
      <w:pPr>
        <w:pStyle w:val="Heading2"/>
      </w:pPr>
      <w:bookmarkStart w:id="118" w:name="_Toc224026245"/>
      <w:r w:rsidRPr="00C63A54">
        <w:lastRenderedPageBreak/>
        <w:t>15.0</w:t>
      </w:r>
      <w:r w:rsidR="006C6F09">
        <w:t xml:space="preserve"> </w:t>
      </w:r>
      <w:r w:rsidRPr="00C63A54">
        <w:t>Request</w:t>
      </w:r>
      <w:r w:rsidR="006C6F09">
        <w:t xml:space="preserve"> </w:t>
      </w:r>
      <w:r w:rsidRPr="00C63A54">
        <w:t>for</w:t>
      </w:r>
      <w:r w:rsidR="006C6F09">
        <w:t xml:space="preserve"> </w:t>
      </w:r>
      <w:r w:rsidRPr="00C63A54">
        <w:t>Regular</w:t>
      </w:r>
      <w:r w:rsidR="006C6F09">
        <w:t xml:space="preserve"> </w:t>
      </w:r>
      <w:r w:rsidRPr="00C63A54">
        <w:t>Notification</w:t>
      </w:r>
      <w:r w:rsidR="006C6F09">
        <w:t xml:space="preserve"> </w:t>
      </w:r>
      <w:r w:rsidRPr="00C63A54">
        <w:t>from</w:t>
      </w:r>
      <w:r w:rsidR="006C6F09">
        <w:t xml:space="preserve"> </w:t>
      </w:r>
      <w:r w:rsidRPr="00C63A54">
        <w:t>TxDOT</w:t>
      </w:r>
      <w:r w:rsidR="006C6F09">
        <w:t xml:space="preserve"> </w:t>
      </w:r>
      <w:r w:rsidRPr="00C63A54">
        <w:t>on</w:t>
      </w:r>
      <w:r w:rsidR="006C6F09">
        <w:t xml:space="preserve"> </w:t>
      </w:r>
      <w:r w:rsidRPr="00C63A54">
        <w:t>its</w:t>
      </w:r>
      <w:r w:rsidR="006C6F09">
        <w:t xml:space="preserve"> </w:t>
      </w:r>
      <w:r w:rsidRPr="00C63A54">
        <w:t>Actions</w:t>
      </w:r>
      <w:bookmarkEnd w:id="118"/>
      <w:r w:rsidR="006C6F09">
        <w:t xml:space="preserve"> </w:t>
      </w:r>
    </w:p>
    <w:p w14:paraId="2DCA3D7D" w14:textId="575AB6C5" w:rsidR="00C603F3" w:rsidRDefault="00457754" w:rsidP="00263E76">
      <w:r w:rsidRPr="00CD594F">
        <w:t>If</w:t>
      </w:r>
      <w:r w:rsidR="006C6F09">
        <w:t xml:space="preserve"> </w:t>
      </w:r>
      <w:r w:rsidRPr="00CD594F">
        <w:t>any</w:t>
      </w:r>
      <w:r w:rsidR="006C6F09">
        <w:t xml:space="preserve"> </w:t>
      </w:r>
      <w:r w:rsidRPr="00CD594F">
        <w:t>member</w:t>
      </w:r>
      <w:r w:rsidR="006C6F09">
        <w:t xml:space="preserve"> </w:t>
      </w:r>
      <w:r w:rsidRPr="00CD594F">
        <w:t>of</w:t>
      </w:r>
      <w:r w:rsidR="006C6F09">
        <w:t xml:space="preserve"> </w:t>
      </w:r>
      <w:r w:rsidRPr="00CD594F">
        <w:t>the</w:t>
      </w:r>
      <w:r w:rsidR="006C6F09">
        <w:t xml:space="preserve"> </w:t>
      </w:r>
      <w:r w:rsidRPr="00CD594F">
        <w:t>public</w:t>
      </w:r>
      <w:r w:rsidR="006C6F09">
        <w:t xml:space="preserve"> </w:t>
      </w:r>
      <w:proofErr w:type="gramStart"/>
      <w:r w:rsidRPr="00CD594F">
        <w:t>requests</w:t>
      </w:r>
      <w:proofErr w:type="gramEnd"/>
      <w:r w:rsidR="006C6F09">
        <w:t xml:space="preserve"> </w:t>
      </w:r>
      <w:r w:rsidRPr="00CD594F">
        <w:t>regular</w:t>
      </w:r>
      <w:r w:rsidR="006C6F09">
        <w:t xml:space="preserve"> </w:t>
      </w:r>
      <w:r w:rsidRPr="00CD594F">
        <w:t>notification</w:t>
      </w:r>
      <w:r w:rsidR="006C6F09">
        <w:t xml:space="preserve"> </w:t>
      </w:r>
      <w:r w:rsidRPr="00CD594F">
        <w:t>from</w:t>
      </w:r>
      <w:r w:rsidR="006C6F09">
        <w:t xml:space="preserve"> </w:t>
      </w:r>
      <w:r w:rsidRPr="00CD594F">
        <w:t>TxDOT</w:t>
      </w:r>
      <w:r w:rsidR="006C6F09">
        <w:t xml:space="preserve"> </w:t>
      </w:r>
      <w:r w:rsidRPr="00CD594F">
        <w:t>on</w:t>
      </w:r>
      <w:r w:rsidR="006C6F09">
        <w:t xml:space="preserve"> </w:t>
      </w:r>
      <w:r w:rsidRPr="00CD594F">
        <w:t>its</w:t>
      </w:r>
      <w:r w:rsidR="006C6F09">
        <w:t xml:space="preserve"> </w:t>
      </w:r>
      <w:r w:rsidRPr="00CD594F">
        <w:t>actions,</w:t>
      </w:r>
      <w:r w:rsidR="006C6F09">
        <w:t xml:space="preserve"> </w:t>
      </w:r>
      <w:r w:rsidRPr="00CD594F">
        <w:t>TxDOT</w:t>
      </w:r>
      <w:r w:rsidR="006C6F09">
        <w:t xml:space="preserve"> </w:t>
      </w:r>
      <w:r w:rsidRPr="00CD594F">
        <w:t>staff</w:t>
      </w:r>
      <w:r w:rsidR="006C6F09">
        <w:t xml:space="preserve"> </w:t>
      </w:r>
      <w:r w:rsidRPr="00CD594F">
        <w:t>should</w:t>
      </w:r>
      <w:r w:rsidR="006C6F09">
        <w:t xml:space="preserve"> </w:t>
      </w:r>
      <w:r w:rsidRPr="00CD594F">
        <w:t>refer</w:t>
      </w:r>
      <w:r w:rsidR="006C6F09">
        <w:t xml:space="preserve"> </w:t>
      </w:r>
      <w:r w:rsidRPr="00CD594F">
        <w:t>them</w:t>
      </w:r>
      <w:r w:rsidR="006C6F09">
        <w:t xml:space="preserve"> </w:t>
      </w:r>
      <w:r w:rsidRPr="00CD594F">
        <w:t>to</w:t>
      </w:r>
      <w:r w:rsidR="006C6F09">
        <w:t xml:space="preserve"> </w:t>
      </w:r>
      <w:r w:rsidRPr="00CD594F">
        <w:t>the</w:t>
      </w:r>
      <w:r w:rsidR="006C6F09">
        <w:t xml:space="preserve"> </w:t>
      </w:r>
      <w:r w:rsidRPr="00CD594F">
        <w:t>“Hearings,</w:t>
      </w:r>
      <w:r w:rsidR="006C6F09">
        <w:t xml:space="preserve"> </w:t>
      </w:r>
      <w:r w:rsidRPr="00CD594F">
        <w:t>meetings</w:t>
      </w:r>
      <w:r w:rsidR="006C6F09">
        <w:t xml:space="preserve"> </w:t>
      </w:r>
      <w:r w:rsidRPr="00CD594F">
        <w:t>and</w:t>
      </w:r>
      <w:r w:rsidR="006C6F09">
        <w:t xml:space="preserve"> </w:t>
      </w:r>
      <w:r w:rsidRPr="00CD594F">
        <w:t>notices</w:t>
      </w:r>
      <w:r w:rsidR="006C6F09">
        <w:t xml:space="preserve"> </w:t>
      </w:r>
      <w:r w:rsidRPr="00CD594F">
        <w:t>schedule”</w:t>
      </w:r>
      <w:r w:rsidR="006C6F09">
        <w:t xml:space="preserve"> </w:t>
      </w:r>
      <w:r w:rsidRPr="00586B16">
        <w:t>web</w:t>
      </w:r>
      <w:r w:rsidR="006C6F09">
        <w:t xml:space="preserve"> </w:t>
      </w:r>
      <w:r w:rsidRPr="00586B16">
        <w:t>page</w:t>
      </w:r>
      <w:r w:rsidR="006C6F09">
        <w:t xml:space="preserve"> </w:t>
      </w:r>
      <w:r w:rsidRPr="00586B16">
        <w:t>on</w:t>
      </w:r>
      <w:r w:rsidR="006C6F09">
        <w:t xml:space="preserve"> </w:t>
      </w:r>
      <w:r w:rsidRPr="00586B16">
        <w:t>txdot.gov.</w:t>
      </w:r>
      <w:r w:rsidR="00C603F3">
        <w:br w:type="page"/>
      </w:r>
    </w:p>
    <w:p w14:paraId="5A06C43E" w14:textId="08B39DAD" w:rsidR="00457754" w:rsidRPr="00C63A54" w:rsidRDefault="00457754" w:rsidP="00457754">
      <w:pPr>
        <w:pStyle w:val="Heading2"/>
      </w:pPr>
      <w:bookmarkStart w:id="119" w:name="_Toc224026246"/>
      <w:r w:rsidRPr="00C63A54">
        <w:lastRenderedPageBreak/>
        <w:t>16.0</w:t>
      </w:r>
      <w:r w:rsidR="006C6F09">
        <w:t xml:space="preserve"> </w:t>
      </w:r>
      <w:r w:rsidRPr="00C63A54">
        <w:t>Glossary</w:t>
      </w:r>
      <w:bookmarkEnd w:id="119"/>
      <w:r w:rsidR="006C6F09">
        <w:t xml:space="preserve"> </w:t>
      </w:r>
    </w:p>
    <w:p w14:paraId="50A35990" w14:textId="3D5806CC" w:rsidR="00457754" w:rsidRDefault="00457754" w:rsidP="00457754">
      <w:r w:rsidRPr="003B377C">
        <w:rPr>
          <w:b/>
          <w:bCs/>
        </w:rPr>
        <w:t>Department</w:t>
      </w:r>
      <w:r w:rsidR="006C6F09">
        <w:rPr>
          <w:b/>
          <w:bCs/>
        </w:rPr>
        <w:t xml:space="preserve"> </w:t>
      </w:r>
      <w:r w:rsidRPr="003B377C">
        <w:rPr>
          <w:b/>
          <w:bCs/>
        </w:rPr>
        <w:t>Delegate</w:t>
      </w:r>
      <w:r w:rsidR="006C6F09">
        <w:rPr>
          <w:b/>
          <w:bCs/>
        </w:rPr>
        <w:t xml:space="preserve"> </w:t>
      </w:r>
      <w:r>
        <w:t>–</w:t>
      </w:r>
      <w:r w:rsidR="006C6F09">
        <w:t xml:space="preserve"> </w:t>
      </w:r>
      <w:r>
        <w:t>The</w:t>
      </w:r>
      <w:r w:rsidR="006C6F09">
        <w:t xml:space="preserve"> </w:t>
      </w:r>
      <w:r>
        <w:t>district,</w:t>
      </w:r>
      <w:r w:rsidR="006C6F09">
        <w:t xml:space="preserve"> </w:t>
      </w:r>
      <w:r>
        <w:t>division,</w:t>
      </w:r>
      <w:r w:rsidR="006C6F09">
        <w:t xml:space="preserve"> </w:t>
      </w:r>
      <w:r>
        <w:t>or</w:t>
      </w:r>
      <w:r w:rsidR="006C6F09">
        <w:t xml:space="preserve"> </w:t>
      </w:r>
      <w:r>
        <w:t>other</w:t>
      </w:r>
      <w:r w:rsidR="006C6F09">
        <w:t xml:space="preserve"> </w:t>
      </w:r>
      <w:r>
        <w:t>operational</w:t>
      </w:r>
      <w:r w:rsidR="006C6F09">
        <w:t xml:space="preserve"> </w:t>
      </w:r>
      <w:r>
        <w:t>unit</w:t>
      </w:r>
      <w:r w:rsidR="006C6F09">
        <w:t xml:space="preserve"> </w:t>
      </w:r>
      <w:r>
        <w:t>of</w:t>
      </w:r>
      <w:r w:rsidR="006C6F09">
        <w:t xml:space="preserve"> </w:t>
      </w:r>
      <w:r>
        <w:t>TxDOT,</w:t>
      </w:r>
      <w:r w:rsidR="006C6F09">
        <w:t xml:space="preserve"> </w:t>
      </w:r>
      <w:r>
        <w:t>designated</w:t>
      </w:r>
      <w:r w:rsidR="006C6F09">
        <w:t xml:space="preserve"> </w:t>
      </w:r>
      <w:r>
        <w:t>by</w:t>
      </w:r>
      <w:r w:rsidR="006C6F09">
        <w:t xml:space="preserve"> </w:t>
      </w:r>
      <w:r>
        <w:t>the</w:t>
      </w:r>
      <w:r w:rsidR="006C6F09">
        <w:t xml:space="preserve"> </w:t>
      </w:r>
      <w:r>
        <w:t>executive</w:t>
      </w:r>
      <w:r w:rsidR="006C6F09">
        <w:t xml:space="preserve"> </w:t>
      </w:r>
      <w:r>
        <w:t>director,</w:t>
      </w:r>
      <w:r w:rsidR="006C6F09">
        <w:t xml:space="preserve"> </w:t>
      </w:r>
      <w:r>
        <w:t>that</w:t>
      </w:r>
      <w:r w:rsidR="006C6F09">
        <w:t xml:space="preserve"> </w:t>
      </w:r>
      <w:r>
        <w:t>has</w:t>
      </w:r>
      <w:r w:rsidR="006C6F09">
        <w:t xml:space="preserve"> </w:t>
      </w:r>
      <w:r>
        <w:t>the</w:t>
      </w:r>
      <w:r w:rsidR="006C6F09">
        <w:t xml:space="preserve"> </w:t>
      </w:r>
      <w:r>
        <w:t>authority</w:t>
      </w:r>
      <w:r w:rsidR="006C6F09">
        <w:t xml:space="preserve"> </w:t>
      </w:r>
      <w:r>
        <w:t>to</w:t>
      </w:r>
      <w:r w:rsidR="006C6F09">
        <w:t xml:space="preserve"> </w:t>
      </w:r>
      <w:r>
        <w:t>review</w:t>
      </w:r>
      <w:r w:rsidR="006C6F09">
        <w:t xml:space="preserve"> </w:t>
      </w:r>
      <w:r>
        <w:t>and</w:t>
      </w:r>
      <w:r w:rsidR="006C6F09">
        <w:t xml:space="preserve"> </w:t>
      </w:r>
      <w:r>
        <w:t>approve</w:t>
      </w:r>
      <w:r w:rsidR="006C6F09">
        <w:t xml:space="preserve"> </w:t>
      </w:r>
      <w:r>
        <w:t>on</w:t>
      </w:r>
      <w:r w:rsidR="006C6F09">
        <w:t xml:space="preserve"> </w:t>
      </w:r>
      <w:r>
        <w:t>TxDOT’s</w:t>
      </w:r>
      <w:r w:rsidR="006C6F09">
        <w:t xml:space="preserve"> </w:t>
      </w:r>
      <w:r>
        <w:t>behalf</w:t>
      </w:r>
      <w:r w:rsidR="006C6F09">
        <w:t xml:space="preserve"> </w:t>
      </w:r>
      <w:r>
        <w:t>work</w:t>
      </w:r>
      <w:r w:rsidR="006C6F09">
        <w:t xml:space="preserve"> </w:t>
      </w:r>
      <w:r>
        <w:t>conducte</w:t>
      </w:r>
      <w:r w:rsidRPr="001B611C">
        <w:t>d</w:t>
      </w:r>
      <w:r w:rsidR="006C6F09">
        <w:t xml:space="preserve"> </w:t>
      </w:r>
      <w:r w:rsidRPr="008368E1">
        <w:rPr>
          <w:szCs w:val="24"/>
        </w:rPr>
        <w:t>under</w:t>
      </w:r>
      <w:r w:rsidR="006C6F09">
        <w:rPr>
          <w:szCs w:val="24"/>
          <w:u w:val="single"/>
        </w:rPr>
        <w:t xml:space="preserve"> </w:t>
      </w:r>
      <w:hyperlink r:id="rId91" w:history="1">
        <w:r w:rsidRPr="00263E76">
          <w:rPr>
            <w:rStyle w:val="CHFigureTableChar"/>
            <w:rFonts w:asciiTheme="minorHAnsi" w:eastAsiaTheme="minorHAnsi" w:hAnsiTheme="minorHAnsi"/>
            <w:sz w:val="24"/>
            <w:szCs w:val="24"/>
            <w:u w:val="single"/>
          </w:rPr>
          <w:t>43</w:t>
        </w:r>
        <w:r w:rsidR="006C6F09">
          <w:rPr>
            <w:rStyle w:val="CHFigureTableChar"/>
            <w:rFonts w:asciiTheme="minorHAnsi" w:eastAsiaTheme="minorHAnsi" w:hAnsiTheme="minorHAnsi"/>
            <w:sz w:val="24"/>
            <w:szCs w:val="24"/>
            <w:u w:val="single"/>
          </w:rPr>
          <w:t xml:space="preserve"> </w:t>
        </w:r>
        <w:r w:rsidRPr="00263E76">
          <w:rPr>
            <w:rStyle w:val="CHFigureTableChar"/>
            <w:rFonts w:asciiTheme="minorHAnsi" w:eastAsiaTheme="minorHAnsi" w:hAnsiTheme="minorHAnsi"/>
            <w:sz w:val="24"/>
            <w:szCs w:val="24"/>
            <w:u w:val="single"/>
          </w:rPr>
          <w:t>TAC</w:t>
        </w:r>
        <w:r w:rsidR="006C6F09">
          <w:rPr>
            <w:rStyle w:val="CHFigureTableChar"/>
            <w:rFonts w:asciiTheme="minorHAnsi" w:eastAsiaTheme="minorHAnsi" w:hAnsiTheme="minorHAnsi"/>
            <w:sz w:val="24"/>
            <w:szCs w:val="24"/>
            <w:u w:val="single"/>
          </w:rPr>
          <w:t xml:space="preserve"> </w:t>
        </w:r>
        <w:r w:rsidRPr="00263E76">
          <w:rPr>
            <w:rStyle w:val="CHFigureTableChar"/>
            <w:rFonts w:asciiTheme="minorHAnsi" w:eastAsiaTheme="minorHAnsi" w:hAnsiTheme="minorHAnsi"/>
            <w:sz w:val="24"/>
            <w:szCs w:val="24"/>
            <w:u w:val="single"/>
          </w:rPr>
          <w:t>2.44</w:t>
        </w:r>
      </w:hyperlink>
      <w:r w:rsidRPr="008368E1">
        <w:rPr>
          <w:szCs w:val="24"/>
        </w:rPr>
        <w:t>,</w:t>
      </w:r>
      <w:r w:rsidR="006C6F09">
        <w:rPr>
          <w:szCs w:val="24"/>
        </w:rPr>
        <w:t xml:space="preserve"> </w:t>
      </w:r>
      <w:r w:rsidRPr="008368E1">
        <w:rPr>
          <w:szCs w:val="24"/>
        </w:rPr>
        <w:t>incl</w:t>
      </w:r>
      <w:r w:rsidRPr="00CF02CC">
        <w:t>u</w:t>
      </w:r>
      <w:r>
        <w:t>ding</w:t>
      </w:r>
      <w:r w:rsidR="006C6F09">
        <w:t xml:space="preserve"> </w:t>
      </w:r>
      <w:r>
        <w:t>an</w:t>
      </w:r>
      <w:r w:rsidR="006C6F09">
        <w:t xml:space="preserve"> </w:t>
      </w:r>
      <w:r>
        <w:t>environmental</w:t>
      </w:r>
      <w:r w:rsidR="006C6F09">
        <w:t xml:space="preserve"> </w:t>
      </w:r>
      <w:r>
        <w:t>review</w:t>
      </w:r>
      <w:r w:rsidR="006C6F09">
        <w:t xml:space="preserve"> </w:t>
      </w:r>
      <w:r>
        <w:t>document.</w:t>
      </w:r>
      <w:r w:rsidR="006C6F09">
        <w:t xml:space="preserve"> </w:t>
      </w:r>
    </w:p>
    <w:p w14:paraId="25AFB764" w14:textId="01D03440" w:rsidR="00457754" w:rsidRDefault="00457754" w:rsidP="00457754">
      <w:r w:rsidRPr="003B377C">
        <w:rPr>
          <w:b/>
          <w:bCs/>
        </w:rPr>
        <w:t>EIS</w:t>
      </w:r>
      <w:r w:rsidR="006C6F09">
        <w:rPr>
          <w:b/>
          <w:bCs/>
        </w:rPr>
        <w:t xml:space="preserve"> </w:t>
      </w:r>
      <w:r w:rsidRPr="003B377C">
        <w:rPr>
          <w:b/>
          <w:bCs/>
        </w:rPr>
        <w:t>Scoping</w:t>
      </w:r>
      <w:r w:rsidR="006C6F09">
        <w:t xml:space="preserve"> </w:t>
      </w:r>
      <w:r>
        <w:t>–</w:t>
      </w:r>
      <w:r w:rsidR="006C6F09">
        <w:t xml:space="preserve"> </w:t>
      </w:r>
      <w:r>
        <w:t>An</w:t>
      </w:r>
      <w:r w:rsidR="006C6F09">
        <w:t xml:space="preserve"> </w:t>
      </w:r>
      <w:r>
        <w:t>open</w:t>
      </w:r>
      <w:r w:rsidR="006C6F09">
        <w:t xml:space="preserve"> </w:t>
      </w:r>
      <w:r>
        <w:t>process,</w:t>
      </w:r>
      <w:r w:rsidR="006C6F09">
        <w:t xml:space="preserve"> </w:t>
      </w:r>
      <w:r>
        <w:t>involving</w:t>
      </w:r>
      <w:r w:rsidR="006C6F09">
        <w:t xml:space="preserve"> </w:t>
      </w:r>
      <w:r>
        <w:t>the</w:t>
      </w:r>
      <w:r w:rsidR="006C6F09">
        <w:t xml:space="preserve"> </w:t>
      </w:r>
      <w:r>
        <w:t>public</w:t>
      </w:r>
      <w:r w:rsidR="006C6F09">
        <w:t xml:space="preserve"> </w:t>
      </w:r>
      <w:r>
        <w:t>and</w:t>
      </w:r>
      <w:r w:rsidR="006C6F09">
        <w:t xml:space="preserve"> </w:t>
      </w:r>
      <w:r>
        <w:t>other</w:t>
      </w:r>
      <w:r w:rsidR="006C6F09">
        <w:t xml:space="preserve"> </w:t>
      </w:r>
      <w:r>
        <w:t>federal,</w:t>
      </w:r>
      <w:r w:rsidR="006C6F09">
        <w:t xml:space="preserve"> </w:t>
      </w:r>
      <w:r>
        <w:t>state,</w:t>
      </w:r>
      <w:r w:rsidR="006C6F09">
        <w:t xml:space="preserve"> </w:t>
      </w:r>
      <w:r>
        <w:t>and</w:t>
      </w:r>
      <w:r w:rsidR="006C6F09">
        <w:t xml:space="preserve"> </w:t>
      </w:r>
      <w:r>
        <w:t>local</w:t>
      </w:r>
      <w:r w:rsidR="006C6F09">
        <w:t xml:space="preserve"> </w:t>
      </w:r>
      <w:r>
        <w:t>agencies,</w:t>
      </w:r>
      <w:r w:rsidR="006C6F09">
        <w:t xml:space="preserve"> </w:t>
      </w:r>
      <w:r>
        <w:t>conducted</w:t>
      </w:r>
      <w:r w:rsidR="006C6F09">
        <w:t xml:space="preserve"> </w:t>
      </w:r>
      <w:r>
        <w:t>to</w:t>
      </w:r>
      <w:r w:rsidR="006C6F09">
        <w:t xml:space="preserve"> </w:t>
      </w:r>
      <w:r>
        <w:t>identify</w:t>
      </w:r>
      <w:r w:rsidR="006C6F09">
        <w:t xml:space="preserve"> </w:t>
      </w:r>
      <w:r>
        <w:t>the</w:t>
      </w:r>
      <w:r w:rsidR="006C6F09">
        <w:t xml:space="preserve"> </w:t>
      </w:r>
      <w:r>
        <w:t>major</w:t>
      </w:r>
      <w:r w:rsidR="006C6F09">
        <w:t xml:space="preserve"> </w:t>
      </w:r>
      <w:r>
        <w:t>and</w:t>
      </w:r>
      <w:r w:rsidR="006C6F09">
        <w:t xml:space="preserve"> </w:t>
      </w:r>
      <w:r>
        <w:t>important</w:t>
      </w:r>
      <w:r w:rsidR="006C6F09">
        <w:t xml:space="preserve"> </w:t>
      </w:r>
      <w:r>
        <w:t>issues</w:t>
      </w:r>
      <w:r w:rsidR="006C6F09">
        <w:t xml:space="preserve"> </w:t>
      </w:r>
      <w:r>
        <w:t>for</w:t>
      </w:r>
      <w:r w:rsidR="006C6F09">
        <w:t xml:space="preserve"> </w:t>
      </w:r>
      <w:r>
        <w:t>consideration</w:t>
      </w:r>
      <w:r w:rsidR="006C6F09">
        <w:t xml:space="preserve"> </w:t>
      </w:r>
      <w:r>
        <w:t>during</w:t>
      </w:r>
      <w:r w:rsidR="006C6F09">
        <w:t xml:space="preserve"> </w:t>
      </w:r>
      <w:r>
        <w:t>development</w:t>
      </w:r>
      <w:r w:rsidR="006C6F09">
        <w:t xml:space="preserve"> </w:t>
      </w:r>
      <w:r>
        <w:t>of</w:t>
      </w:r>
      <w:r w:rsidR="006C6F09">
        <w:t xml:space="preserve"> </w:t>
      </w:r>
      <w:r>
        <w:t>an</w:t>
      </w:r>
      <w:r w:rsidR="006C6F09">
        <w:t xml:space="preserve"> </w:t>
      </w:r>
      <w:r>
        <w:t>EIS.</w:t>
      </w:r>
    </w:p>
    <w:p w14:paraId="611B3524" w14:textId="7C797E34" w:rsidR="00457754" w:rsidRDefault="00457754" w:rsidP="00457754">
      <w:r w:rsidRPr="003B377C">
        <w:rPr>
          <w:b/>
          <w:bCs/>
        </w:rPr>
        <w:t>Project</w:t>
      </w:r>
      <w:r w:rsidR="006C6F09">
        <w:rPr>
          <w:b/>
          <w:bCs/>
        </w:rPr>
        <w:t xml:space="preserve"> </w:t>
      </w:r>
      <w:r w:rsidRPr="003B377C">
        <w:rPr>
          <w:b/>
          <w:bCs/>
        </w:rPr>
        <w:t>Sponsor</w:t>
      </w:r>
      <w:r w:rsidR="006C6F09">
        <w:t xml:space="preserve"> </w:t>
      </w:r>
      <w:r>
        <w:t>–</w:t>
      </w:r>
      <w:r w:rsidR="006C6F09">
        <w:t xml:space="preserve"> </w:t>
      </w:r>
      <w:r>
        <w:t>As</w:t>
      </w:r>
      <w:r w:rsidR="006C6F09">
        <w:t xml:space="preserve"> </w:t>
      </w:r>
      <w:r>
        <w:t>defined</w:t>
      </w:r>
      <w:r w:rsidR="006C6F09">
        <w:t xml:space="preserve"> </w:t>
      </w:r>
      <w:r>
        <w:t>by</w:t>
      </w:r>
      <w:r w:rsidR="006C6F09">
        <w:t xml:space="preserve"> </w:t>
      </w:r>
      <w:r>
        <w:t>the</w:t>
      </w:r>
      <w:r w:rsidR="006C6F09">
        <w:t xml:space="preserve"> </w:t>
      </w:r>
      <w:hyperlink r:id="rId92" w:history="1">
        <w:r w:rsidRPr="00D40FB8">
          <w:rPr>
            <w:rStyle w:val="Hyperlink"/>
          </w:rPr>
          <w:t>Title</w:t>
        </w:r>
        <w:r w:rsidR="006C6F09">
          <w:rPr>
            <w:rStyle w:val="Hyperlink"/>
          </w:rPr>
          <w:t xml:space="preserve"> </w:t>
        </w:r>
        <w:r w:rsidRPr="00D40FB8">
          <w:rPr>
            <w:rStyle w:val="Hyperlink"/>
          </w:rPr>
          <w:t>43</w:t>
        </w:r>
        <w:r w:rsidR="006C6F09">
          <w:rPr>
            <w:rStyle w:val="Hyperlink"/>
          </w:rPr>
          <w:t xml:space="preserve"> </w:t>
        </w:r>
        <w:r w:rsidRPr="00D40FB8">
          <w:rPr>
            <w:rStyle w:val="Hyperlink"/>
          </w:rPr>
          <w:t>Texas</w:t>
        </w:r>
        <w:r w:rsidR="006C6F09">
          <w:rPr>
            <w:rStyle w:val="Hyperlink"/>
          </w:rPr>
          <w:t xml:space="preserve"> </w:t>
        </w:r>
        <w:r w:rsidRPr="00D40FB8">
          <w:rPr>
            <w:rStyle w:val="Hyperlink"/>
          </w:rPr>
          <w:t>Administrative</w:t>
        </w:r>
        <w:r w:rsidR="006C6F09">
          <w:rPr>
            <w:rStyle w:val="Hyperlink"/>
          </w:rPr>
          <w:t xml:space="preserve"> </w:t>
        </w:r>
        <w:r w:rsidRPr="00D40FB8">
          <w:rPr>
            <w:rStyle w:val="Hyperlink"/>
          </w:rPr>
          <w:t>Code</w:t>
        </w:r>
        <w:r w:rsidR="006C6F09">
          <w:rPr>
            <w:rStyle w:val="Hyperlink"/>
          </w:rPr>
          <w:t xml:space="preserve"> </w:t>
        </w:r>
        <w:r w:rsidRPr="00D40FB8">
          <w:rPr>
            <w:rStyle w:val="Hyperlink"/>
          </w:rPr>
          <w:t>2.44:</w:t>
        </w:r>
        <w:r w:rsidR="006C6F09">
          <w:rPr>
            <w:rStyle w:val="Hyperlink"/>
          </w:rPr>
          <w:t xml:space="preserve"> </w:t>
        </w:r>
        <w:r w:rsidRPr="00D40FB8">
          <w:rPr>
            <w:rStyle w:val="Hyperlink"/>
          </w:rPr>
          <w:t>Project</w:t>
        </w:r>
        <w:r w:rsidR="006C6F09">
          <w:rPr>
            <w:rStyle w:val="Hyperlink"/>
          </w:rPr>
          <w:t xml:space="preserve"> </w:t>
        </w:r>
        <w:r w:rsidRPr="00D40FB8">
          <w:rPr>
            <w:rStyle w:val="Hyperlink"/>
          </w:rPr>
          <w:t>Scope</w:t>
        </w:r>
      </w:hyperlink>
      <w:r>
        <w:t>,</w:t>
      </w:r>
      <w:r w:rsidR="006C6F09">
        <w:t xml:space="preserve"> </w:t>
      </w:r>
      <w:r>
        <w:t>the</w:t>
      </w:r>
      <w:r w:rsidR="006C6F09">
        <w:t xml:space="preserve"> </w:t>
      </w:r>
      <w:r>
        <w:t>project</w:t>
      </w:r>
      <w:r w:rsidR="006C6F09">
        <w:t xml:space="preserve"> </w:t>
      </w:r>
      <w:r>
        <w:t>sponsor</w:t>
      </w:r>
      <w:r w:rsidR="006C6F09">
        <w:t xml:space="preserve"> </w:t>
      </w:r>
      <w:r>
        <w:t>accepts</w:t>
      </w:r>
      <w:r w:rsidR="006C6F09">
        <w:t xml:space="preserve"> </w:t>
      </w:r>
      <w:r>
        <w:t>the</w:t>
      </w:r>
      <w:r w:rsidR="006C6F09">
        <w:t xml:space="preserve"> </w:t>
      </w:r>
      <w:r>
        <w:t>responsibility</w:t>
      </w:r>
      <w:r w:rsidR="006C6F09">
        <w:t xml:space="preserve"> </w:t>
      </w:r>
      <w:r>
        <w:t>for</w:t>
      </w:r>
      <w:r w:rsidR="006C6F09">
        <w:t xml:space="preserve"> </w:t>
      </w:r>
      <w:r>
        <w:t>preparing</w:t>
      </w:r>
      <w:r w:rsidR="006C6F09">
        <w:t xml:space="preserve"> </w:t>
      </w:r>
      <w:r>
        <w:t>the</w:t>
      </w:r>
      <w:r w:rsidR="006C6F09">
        <w:t xml:space="preserve"> </w:t>
      </w:r>
      <w:r>
        <w:t>environmental</w:t>
      </w:r>
      <w:r w:rsidR="006C6F09">
        <w:t xml:space="preserve"> </w:t>
      </w:r>
      <w:r>
        <w:t>review</w:t>
      </w:r>
      <w:r w:rsidR="006C6F09">
        <w:t xml:space="preserve"> </w:t>
      </w:r>
      <w:r>
        <w:t>document</w:t>
      </w:r>
      <w:r w:rsidR="006C6F09">
        <w:t xml:space="preserve"> </w:t>
      </w:r>
      <w:r>
        <w:t>or</w:t>
      </w:r>
      <w:r w:rsidR="006C6F09">
        <w:t xml:space="preserve"> </w:t>
      </w:r>
      <w:r>
        <w:t>CE</w:t>
      </w:r>
      <w:r w:rsidR="006C6F09">
        <w:t xml:space="preserve"> </w:t>
      </w:r>
      <w:r>
        <w:t>documentation</w:t>
      </w:r>
      <w:r w:rsidR="006C6F09">
        <w:t xml:space="preserve"> </w:t>
      </w:r>
      <w:r>
        <w:t>and</w:t>
      </w:r>
      <w:r w:rsidR="006C6F09">
        <w:t xml:space="preserve"> </w:t>
      </w:r>
      <w:r>
        <w:t>performing</w:t>
      </w:r>
      <w:r w:rsidR="006C6F09">
        <w:t xml:space="preserve"> </w:t>
      </w:r>
      <w:r>
        <w:t>any</w:t>
      </w:r>
      <w:r w:rsidR="006C6F09">
        <w:t xml:space="preserve"> </w:t>
      </w:r>
      <w:r>
        <w:t>related</w:t>
      </w:r>
      <w:r w:rsidR="006C6F09">
        <w:t xml:space="preserve"> </w:t>
      </w:r>
      <w:r>
        <w:t>tasks</w:t>
      </w:r>
      <w:r w:rsidR="006C6F09">
        <w:t xml:space="preserve"> </w:t>
      </w:r>
      <w:r>
        <w:t>outlined</w:t>
      </w:r>
      <w:r w:rsidR="006C6F09">
        <w:t xml:space="preserve"> </w:t>
      </w:r>
      <w:r>
        <w:t>in</w:t>
      </w:r>
      <w:r w:rsidR="006C6F09">
        <w:t xml:space="preserve"> </w:t>
      </w:r>
      <w:r>
        <w:t>the</w:t>
      </w:r>
      <w:r w:rsidR="006C6F09">
        <w:t xml:space="preserve"> </w:t>
      </w:r>
      <w:r>
        <w:t>project</w:t>
      </w:r>
      <w:r w:rsidR="006C6F09">
        <w:t xml:space="preserve"> </w:t>
      </w:r>
      <w:r>
        <w:t>scope.</w:t>
      </w:r>
      <w:r w:rsidR="006C6F09">
        <w:t xml:space="preserve"> </w:t>
      </w:r>
      <w:r>
        <w:t>A</w:t>
      </w:r>
      <w:r w:rsidR="006C6F09">
        <w:t xml:space="preserve"> </w:t>
      </w:r>
      <w:r>
        <w:t>TxDOT</w:t>
      </w:r>
      <w:r w:rsidR="006C6F09">
        <w:t xml:space="preserve"> </w:t>
      </w:r>
      <w:r>
        <w:t>district,</w:t>
      </w:r>
      <w:r w:rsidR="006C6F09">
        <w:t xml:space="preserve"> </w:t>
      </w:r>
      <w:r>
        <w:t>division,</w:t>
      </w:r>
      <w:r w:rsidR="006C6F09">
        <w:t xml:space="preserve"> </w:t>
      </w:r>
      <w:r>
        <w:t>or</w:t>
      </w:r>
      <w:r w:rsidR="006C6F09">
        <w:t xml:space="preserve"> </w:t>
      </w:r>
      <w:r>
        <w:t>office</w:t>
      </w:r>
      <w:r w:rsidR="006C6F09">
        <w:t xml:space="preserve"> </w:t>
      </w:r>
      <w:r>
        <w:t>or</w:t>
      </w:r>
      <w:r w:rsidR="006C6F09">
        <w:t xml:space="preserve"> </w:t>
      </w:r>
      <w:proofErr w:type="gramStart"/>
      <w:r>
        <w:t>a</w:t>
      </w:r>
      <w:r w:rsidR="006C6F09">
        <w:t xml:space="preserve"> </w:t>
      </w:r>
      <w:r>
        <w:t>municipality</w:t>
      </w:r>
      <w:proofErr w:type="gramEnd"/>
      <w:r>
        <w:t>,</w:t>
      </w:r>
      <w:r w:rsidR="006C6F09">
        <w:t xml:space="preserve"> </w:t>
      </w:r>
      <w:r>
        <w:t>county,</w:t>
      </w:r>
      <w:r w:rsidR="006C6F09">
        <w:t xml:space="preserve"> </w:t>
      </w:r>
      <w:r>
        <w:t>group</w:t>
      </w:r>
      <w:r w:rsidR="006C6F09">
        <w:t xml:space="preserve"> </w:t>
      </w:r>
      <w:r>
        <w:t>of</w:t>
      </w:r>
      <w:r w:rsidR="006C6F09">
        <w:t xml:space="preserve"> </w:t>
      </w:r>
      <w:r>
        <w:t>adjoining</w:t>
      </w:r>
      <w:r w:rsidR="006C6F09">
        <w:t xml:space="preserve"> </w:t>
      </w:r>
      <w:r>
        <w:t>counties,</w:t>
      </w:r>
      <w:r w:rsidR="006C6F09">
        <w:t xml:space="preserve"> </w:t>
      </w:r>
      <w:r>
        <w:t>regional</w:t>
      </w:r>
      <w:r w:rsidR="006C6F09">
        <w:t xml:space="preserve"> </w:t>
      </w:r>
      <w:r>
        <w:t>mobility</w:t>
      </w:r>
      <w:r w:rsidR="006C6F09">
        <w:t xml:space="preserve"> </w:t>
      </w:r>
      <w:r>
        <w:t>authority,</w:t>
      </w:r>
      <w:r w:rsidR="006C6F09">
        <w:t xml:space="preserve"> </w:t>
      </w:r>
      <w:r>
        <w:t>local</w:t>
      </w:r>
      <w:r w:rsidR="006C6F09">
        <w:t xml:space="preserve"> </w:t>
      </w:r>
      <w:r>
        <w:t>government</w:t>
      </w:r>
      <w:r w:rsidR="006C6F09">
        <w:t xml:space="preserve"> </w:t>
      </w:r>
      <w:r>
        <w:t>corporation,</w:t>
      </w:r>
      <w:r w:rsidR="006C6F09">
        <w:t xml:space="preserve"> </w:t>
      </w:r>
      <w:r>
        <w:t>or</w:t>
      </w:r>
      <w:r w:rsidR="006C6F09">
        <w:t xml:space="preserve"> </w:t>
      </w:r>
      <w:r>
        <w:t>transportation</w:t>
      </w:r>
      <w:r w:rsidR="006C6F09">
        <w:t xml:space="preserve"> </w:t>
      </w:r>
      <w:r>
        <w:t>corporation</w:t>
      </w:r>
      <w:r w:rsidR="006C6F09">
        <w:t xml:space="preserve"> </w:t>
      </w:r>
      <w:r>
        <w:t>may</w:t>
      </w:r>
      <w:r w:rsidR="006C6F09">
        <w:t xml:space="preserve"> </w:t>
      </w:r>
      <w:r>
        <w:t>be</w:t>
      </w:r>
      <w:r w:rsidR="006C6F09">
        <w:t xml:space="preserve"> </w:t>
      </w:r>
      <w:r>
        <w:t>a</w:t>
      </w:r>
      <w:r w:rsidR="006C6F09">
        <w:t xml:space="preserve"> </w:t>
      </w:r>
      <w:r>
        <w:t>project</w:t>
      </w:r>
      <w:r w:rsidR="006C6F09">
        <w:t xml:space="preserve"> </w:t>
      </w:r>
      <w:r>
        <w:t>sponsor.</w:t>
      </w:r>
      <w:r w:rsidR="006C6F09">
        <w:t xml:space="preserve"> </w:t>
      </w:r>
      <w:r>
        <w:t>Private</w:t>
      </w:r>
      <w:r w:rsidR="006C6F09">
        <w:t xml:space="preserve"> </w:t>
      </w:r>
      <w:r>
        <w:t>entities</w:t>
      </w:r>
      <w:r w:rsidR="006C6F09">
        <w:t xml:space="preserve"> </w:t>
      </w:r>
      <w:r>
        <w:t>and</w:t>
      </w:r>
      <w:r w:rsidR="006C6F09">
        <w:t xml:space="preserve"> </w:t>
      </w:r>
      <w:r>
        <w:t>other</w:t>
      </w:r>
      <w:r w:rsidR="006C6F09">
        <w:t xml:space="preserve"> </w:t>
      </w:r>
      <w:r>
        <w:t>types</w:t>
      </w:r>
      <w:r w:rsidR="006C6F09">
        <w:t xml:space="preserve"> </w:t>
      </w:r>
      <w:r>
        <w:t>of</w:t>
      </w:r>
      <w:r w:rsidR="006C6F09">
        <w:t xml:space="preserve"> </w:t>
      </w:r>
      <w:r>
        <w:t>local</w:t>
      </w:r>
      <w:r w:rsidR="006C6F09">
        <w:t xml:space="preserve"> </w:t>
      </w:r>
      <w:r>
        <w:t>government</w:t>
      </w:r>
      <w:r w:rsidR="006C6F09">
        <w:t xml:space="preserve"> </w:t>
      </w:r>
      <w:r>
        <w:t>entities</w:t>
      </w:r>
      <w:r w:rsidR="006C6F09">
        <w:t xml:space="preserve"> </w:t>
      </w:r>
      <w:r>
        <w:t>may</w:t>
      </w:r>
      <w:r w:rsidR="006C6F09">
        <w:t xml:space="preserve"> </w:t>
      </w:r>
      <w:r>
        <w:t>not</w:t>
      </w:r>
      <w:r w:rsidR="006C6F09">
        <w:t xml:space="preserve"> </w:t>
      </w:r>
      <w:r>
        <w:t>serve</w:t>
      </w:r>
      <w:r w:rsidR="006C6F09">
        <w:t xml:space="preserve"> </w:t>
      </w:r>
      <w:r>
        <w:t>as</w:t>
      </w:r>
      <w:r w:rsidR="006C6F09">
        <w:t xml:space="preserve"> </w:t>
      </w:r>
      <w:r>
        <w:t>project</w:t>
      </w:r>
      <w:r w:rsidR="006C6F09">
        <w:t xml:space="preserve"> </w:t>
      </w:r>
      <w:r>
        <w:t>sponsors.</w:t>
      </w:r>
    </w:p>
    <w:p w14:paraId="2497D39F" w14:textId="65FB2868" w:rsidR="00C603F3" w:rsidRDefault="00C603F3">
      <w:pPr>
        <w:spacing w:after="0" w:line="240" w:lineRule="auto"/>
      </w:pPr>
      <w:r>
        <w:br w:type="page"/>
      </w:r>
    </w:p>
    <w:p w14:paraId="62041597" w14:textId="73C3A95B" w:rsidR="00481C57" w:rsidRDefault="00457754" w:rsidP="00457754">
      <w:pPr>
        <w:pStyle w:val="Heading2"/>
      </w:pPr>
      <w:bookmarkStart w:id="120" w:name="_Toc224026247"/>
      <w:r w:rsidRPr="00C63A54">
        <w:lastRenderedPageBreak/>
        <w:t>17.0</w:t>
      </w:r>
      <w:r w:rsidR="006C6F09">
        <w:t xml:space="preserve"> </w:t>
      </w:r>
      <w:r w:rsidRPr="00C63A54">
        <w:t>Abbreviations</w:t>
      </w:r>
      <w:r w:rsidR="006C6F09">
        <w:t xml:space="preserve"> </w:t>
      </w:r>
      <w:r w:rsidRPr="00C63A54">
        <w:t>and</w:t>
      </w:r>
      <w:r w:rsidR="006C6F09">
        <w:t xml:space="preserve"> </w:t>
      </w:r>
      <w:r w:rsidRPr="00C63A54">
        <w:t>Acronyms</w:t>
      </w:r>
      <w:bookmarkEnd w:id="120"/>
      <w:r w:rsidR="006C6F09">
        <w:rPr>
          <w:highlight w:val="yellow"/>
        </w:rPr>
        <w:t xml:space="preserve"> </w:t>
      </w:r>
    </w:p>
    <w:p w14:paraId="58A3FC18" w14:textId="0F827317" w:rsidR="00DE6542" w:rsidRPr="0042237E" w:rsidRDefault="00DE6542" w:rsidP="00DE6542">
      <w:pPr>
        <w:rPr>
          <w:b/>
          <w:bCs/>
          <w:i/>
          <w:iCs/>
        </w:rPr>
      </w:pPr>
      <w:bookmarkStart w:id="121" w:name="_Toc220672415"/>
      <w:r w:rsidRPr="0042237E">
        <w:rPr>
          <w:b/>
          <w:bCs/>
          <w:i/>
          <w:iCs/>
        </w:rPr>
        <w:t xml:space="preserve">Table </w:t>
      </w:r>
      <w:r w:rsidRPr="0042237E">
        <w:rPr>
          <w:b/>
          <w:bCs/>
          <w:i/>
          <w:iCs/>
        </w:rPr>
        <w:fldChar w:fldCharType="begin"/>
      </w:r>
      <w:r w:rsidRPr="0042237E">
        <w:rPr>
          <w:b/>
          <w:bCs/>
          <w:i/>
          <w:iCs/>
        </w:rPr>
        <w:instrText xml:space="preserve"> SEQ Table \* ARABIC </w:instrText>
      </w:r>
      <w:r w:rsidRPr="0042237E">
        <w:rPr>
          <w:b/>
          <w:bCs/>
          <w:i/>
          <w:iCs/>
        </w:rPr>
        <w:fldChar w:fldCharType="separate"/>
      </w:r>
      <w:r w:rsidR="00B010FC">
        <w:rPr>
          <w:b/>
          <w:bCs/>
          <w:i/>
          <w:iCs/>
          <w:noProof/>
        </w:rPr>
        <w:t>1</w:t>
      </w:r>
      <w:r w:rsidRPr="0042237E">
        <w:rPr>
          <w:b/>
          <w:bCs/>
          <w:i/>
          <w:iCs/>
        </w:rPr>
        <w:fldChar w:fldCharType="end"/>
      </w:r>
      <w:r w:rsidRPr="0042237E">
        <w:rPr>
          <w:b/>
          <w:bCs/>
          <w:i/>
          <w:iCs/>
        </w:rPr>
        <w:t xml:space="preserve"> Abbreviations and Acronyms Definitions</w:t>
      </w:r>
      <w:bookmarkEnd w:id="121"/>
    </w:p>
    <w:tbl>
      <w:tblPr>
        <w:tblStyle w:val="ATFTxDOTTable"/>
        <w:tblW w:w="0" w:type="auto"/>
        <w:tblLook w:val="04A0" w:firstRow="1" w:lastRow="0" w:firstColumn="1" w:lastColumn="0" w:noHBand="0" w:noVBand="1"/>
      </w:tblPr>
      <w:tblGrid>
        <w:gridCol w:w="3865"/>
        <w:gridCol w:w="5485"/>
      </w:tblGrid>
      <w:tr w:rsidR="001F4D9F" w14:paraId="533B07BF" w14:textId="77777777" w:rsidTr="0042237E">
        <w:trPr>
          <w:cnfStyle w:val="100000000000" w:firstRow="1" w:lastRow="0" w:firstColumn="0" w:lastColumn="0" w:oddVBand="0" w:evenVBand="0" w:oddHBand="0" w:evenHBand="0" w:firstRowFirstColumn="0" w:firstRowLastColumn="0" w:lastRowFirstColumn="0" w:lastRowLastColumn="0"/>
          <w:trHeight w:val="791"/>
        </w:trPr>
        <w:tc>
          <w:tcPr>
            <w:tcW w:w="3865" w:type="dxa"/>
          </w:tcPr>
          <w:p w14:paraId="34A157A2" w14:textId="37649DE5" w:rsidR="001F4D9F" w:rsidRPr="004B71F5" w:rsidRDefault="004B71F5" w:rsidP="00E033CD">
            <w:pPr>
              <w:spacing w:after="0"/>
              <w:rPr>
                <w:rFonts w:eastAsia="Times New Roman" w:cs="Segoe UI"/>
                <w:kern w:val="0"/>
                <w14:ligatures w14:val="none"/>
              </w:rPr>
            </w:pPr>
            <w:r w:rsidRPr="004B71F5">
              <w:rPr>
                <w:rFonts w:eastAsia="Times New Roman" w:cs="Segoe UI"/>
                <w:bCs/>
                <w:kern w:val="0"/>
                <w14:ligatures w14:val="none"/>
              </w:rPr>
              <w:t>Abbreviation</w:t>
            </w:r>
            <w:r w:rsidR="006C6F09">
              <w:rPr>
                <w:rFonts w:eastAsia="Times New Roman" w:cs="Segoe UI"/>
                <w:b w:val="0"/>
                <w:bCs/>
                <w:kern w:val="0"/>
                <w14:ligatures w14:val="none"/>
              </w:rPr>
              <w:t xml:space="preserve"> </w:t>
            </w:r>
            <w:r w:rsidR="00290662">
              <w:rPr>
                <w:rFonts w:eastAsia="Times New Roman" w:cs="Segoe UI"/>
                <w:b w:val="0"/>
                <w:bCs/>
                <w:kern w:val="0"/>
                <w14:ligatures w14:val="none"/>
              </w:rPr>
              <w:t xml:space="preserve">or </w:t>
            </w:r>
            <w:r w:rsidRPr="004B71F5">
              <w:rPr>
                <w:rFonts w:eastAsia="Times New Roman" w:cs="Segoe UI"/>
                <w:bCs/>
                <w:kern w:val="0"/>
                <w14:ligatures w14:val="none"/>
              </w:rPr>
              <w:t>Acronym</w:t>
            </w:r>
          </w:p>
        </w:tc>
        <w:tc>
          <w:tcPr>
            <w:tcW w:w="5485" w:type="dxa"/>
          </w:tcPr>
          <w:p w14:paraId="2CABBB3E" w14:textId="3D78D2EC" w:rsidR="001F4D9F" w:rsidRPr="004B71F5" w:rsidRDefault="006C6F09" w:rsidP="00DE6542">
            <w:pPr>
              <w:spacing w:after="0"/>
              <w:rPr>
                <w:rFonts w:eastAsia="Times New Roman" w:cs="Segoe UI"/>
                <w:b w:val="0"/>
                <w:bCs/>
                <w:kern w:val="0"/>
                <w14:ligatures w14:val="none"/>
              </w:rPr>
            </w:pPr>
            <w:r>
              <w:rPr>
                <w:rFonts w:eastAsia="Times New Roman" w:cs="Segoe UI"/>
                <w:b w:val="0"/>
                <w:bCs/>
                <w:kern w:val="0"/>
                <w14:ligatures w14:val="none"/>
              </w:rPr>
              <w:t xml:space="preserve"> </w:t>
            </w:r>
            <w:r w:rsidR="004B71F5" w:rsidRPr="004B71F5">
              <w:rPr>
                <w:rFonts w:eastAsia="Times New Roman" w:cs="Segoe UI"/>
                <w:bCs/>
                <w:kern w:val="0"/>
                <w14:ligatures w14:val="none"/>
              </w:rPr>
              <w:t>Definition</w:t>
            </w:r>
            <w:r>
              <w:rPr>
                <w:rFonts w:eastAsia="Times New Roman" w:cs="Segoe UI"/>
                <w:b w:val="0"/>
                <w:bCs/>
                <w:kern w:val="0"/>
                <w14:ligatures w14:val="none"/>
              </w:rPr>
              <w:t xml:space="preserve"> </w:t>
            </w:r>
          </w:p>
        </w:tc>
      </w:tr>
      <w:tr w:rsidR="001F4D9F" w14:paraId="6FE7B4FC"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1AA51C81" w14:textId="35D5FB50" w:rsidR="001F4D9F" w:rsidRDefault="004B71F5" w:rsidP="00263E76">
            <w:pPr>
              <w:spacing w:after="0"/>
              <w:rPr>
                <w:rFonts w:eastAsia="Times New Roman" w:cs="Segoe UI"/>
                <w:kern w:val="0"/>
                <w14:ligatures w14:val="none"/>
              </w:rPr>
            </w:pPr>
            <w:r>
              <w:rPr>
                <w:rFonts w:eastAsia="Times New Roman" w:cs="Segoe UI"/>
                <w:kern w:val="0"/>
                <w14:ligatures w14:val="none"/>
              </w:rPr>
              <w:t>ACHP</w:t>
            </w:r>
          </w:p>
        </w:tc>
        <w:tc>
          <w:tcPr>
            <w:tcW w:w="5485" w:type="dxa"/>
          </w:tcPr>
          <w:p w14:paraId="4B434CD7" w14:textId="004E720D" w:rsidR="001F4D9F" w:rsidRDefault="004B71F5" w:rsidP="00DE6542">
            <w:pPr>
              <w:spacing w:after="0"/>
              <w:rPr>
                <w:rFonts w:eastAsia="Times New Roman" w:cs="Segoe UI"/>
                <w:kern w:val="0"/>
                <w14:ligatures w14:val="none"/>
              </w:rPr>
            </w:pPr>
            <w:r w:rsidRPr="006667BF">
              <w:rPr>
                <w:rFonts w:eastAsia="Times New Roman" w:cs="Segoe UI"/>
                <w:kern w:val="0"/>
                <w14:ligatures w14:val="none"/>
              </w:rPr>
              <w:t>Advisory</w:t>
            </w:r>
            <w:r w:rsidR="006C6F09">
              <w:rPr>
                <w:rFonts w:eastAsia="Times New Roman" w:cs="Segoe UI"/>
                <w:kern w:val="0"/>
                <w14:ligatures w14:val="none"/>
              </w:rPr>
              <w:t xml:space="preserve"> </w:t>
            </w:r>
            <w:r w:rsidRPr="006667BF">
              <w:rPr>
                <w:rFonts w:eastAsia="Times New Roman" w:cs="Segoe UI"/>
                <w:kern w:val="0"/>
                <w14:ligatures w14:val="none"/>
              </w:rPr>
              <w:t>Council</w:t>
            </w:r>
            <w:r w:rsidR="006C6F09">
              <w:rPr>
                <w:rFonts w:eastAsia="Times New Roman" w:cs="Segoe UI"/>
                <w:kern w:val="0"/>
                <w14:ligatures w14:val="none"/>
              </w:rPr>
              <w:t xml:space="preserve"> </w:t>
            </w:r>
            <w:r w:rsidRPr="006667BF">
              <w:rPr>
                <w:rFonts w:eastAsia="Times New Roman" w:cs="Segoe UI"/>
                <w:kern w:val="0"/>
                <w14:ligatures w14:val="none"/>
              </w:rPr>
              <w:t>on</w:t>
            </w:r>
            <w:r w:rsidR="006C6F09">
              <w:rPr>
                <w:rFonts w:eastAsia="Times New Roman" w:cs="Segoe UI"/>
                <w:kern w:val="0"/>
                <w14:ligatures w14:val="none"/>
              </w:rPr>
              <w:t xml:space="preserve"> </w:t>
            </w:r>
            <w:r w:rsidRPr="006667BF">
              <w:rPr>
                <w:rFonts w:eastAsia="Times New Roman" w:cs="Segoe UI"/>
                <w:kern w:val="0"/>
                <w14:ligatures w14:val="none"/>
              </w:rPr>
              <w:t>Historic</w:t>
            </w:r>
            <w:r w:rsidR="006C6F09">
              <w:rPr>
                <w:rFonts w:eastAsia="Times New Roman" w:cs="Segoe UI"/>
                <w:kern w:val="0"/>
                <w14:ligatures w14:val="none"/>
              </w:rPr>
              <w:t xml:space="preserve"> </w:t>
            </w:r>
            <w:r w:rsidRPr="006667BF">
              <w:rPr>
                <w:rFonts w:eastAsia="Times New Roman" w:cs="Segoe UI"/>
                <w:kern w:val="0"/>
                <w14:ligatures w14:val="none"/>
              </w:rPr>
              <w:t>Preservation</w:t>
            </w:r>
          </w:p>
        </w:tc>
      </w:tr>
      <w:tr w:rsidR="001F4D9F" w14:paraId="72142462"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2717226E" w14:textId="5C7A1AFD" w:rsidR="001F4D9F" w:rsidRDefault="004B71F5" w:rsidP="00263E76">
            <w:pPr>
              <w:spacing w:after="0"/>
              <w:rPr>
                <w:rFonts w:eastAsia="Times New Roman" w:cs="Segoe UI"/>
                <w:kern w:val="0"/>
                <w14:ligatures w14:val="none"/>
              </w:rPr>
            </w:pPr>
            <w:r>
              <w:rPr>
                <w:rFonts w:eastAsia="Times New Roman" w:cs="Segoe UI"/>
                <w:kern w:val="0"/>
                <w14:ligatures w14:val="none"/>
              </w:rPr>
              <w:t>Assignment</w:t>
            </w:r>
            <w:r w:rsidR="006C6F09">
              <w:rPr>
                <w:rFonts w:eastAsia="Times New Roman" w:cs="Segoe UI"/>
                <w:kern w:val="0"/>
                <w14:ligatures w14:val="none"/>
              </w:rPr>
              <w:t xml:space="preserve"> </w:t>
            </w:r>
            <w:r>
              <w:rPr>
                <w:rFonts w:eastAsia="Times New Roman" w:cs="Segoe UI"/>
                <w:kern w:val="0"/>
                <w14:ligatures w14:val="none"/>
              </w:rPr>
              <w:t>MOU</w:t>
            </w:r>
          </w:p>
        </w:tc>
        <w:tc>
          <w:tcPr>
            <w:tcW w:w="5485" w:type="dxa"/>
          </w:tcPr>
          <w:p w14:paraId="3D90AB9B" w14:textId="2066FC49" w:rsidR="001F4D9F" w:rsidRDefault="004B71F5" w:rsidP="00DE6542">
            <w:pPr>
              <w:spacing w:after="0"/>
              <w:rPr>
                <w:rFonts w:eastAsia="Times New Roman" w:cs="Segoe UI"/>
                <w:kern w:val="0"/>
                <w14:ligatures w14:val="none"/>
              </w:rPr>
            </w:pPr>
            <w:r w:rsidRPr="006667BF">
              <w:rPr>
                <w:rFonts w:eastAsia="Times New Roman" w:cs="Segoe UI"/>
                <w:kern w:val="0"/>
                <w14:ligatures w14:val="none"/>
              </w:rPr>
              <w:t>Memorandum</w:t>
            </w:r>
            <w:r w:rsidR="006C6F09">
              <w:rPr>
                <w:rFonts w:eastAsia="Times New Roman" w:cs="Segoe UI"/>
                <w:kern w:val="0"/>
                <w14:ligatures w14:val="none"/>
              </w:rPr>
              <w:t xml:space="preserve"> </w:t>
            </w:r>
            <w:r w:rsidRPr="006667BF">
              <w:rPr>
                <w:rFonts w:eastAsia="Times New Roman" w:cs="Segoe UI"/>
                <w:kern w:val="0"/>
                <w14:ligatures w14:val="none"/>
              </w:rPr>
              <w:t>of</w:t>
            </w:r>
            <w:r w:rsidR="006C6F09">
              <w:rPr>
                <w:rFonts w:eastAsia="Times New Roman" w:cs="Segoe UI"/>
                <w:kern w:val="0"/>
                <w14:ligatures w14:val="none"/>
              </w:rPr>
              <w:t xml:space="preserve"> </w:t>
            </w:r>
            <w:r w:rsidRPr="006667BF">
              <w:rPr>
                <w:rFonts w:eastAsia="Times New Roman" w:cs="Segoe UI"/>
                <w:kern w:val="0"/>
                <w14:ligatures w14:val="none"/>
              </w:rPr>
              <w:t>Understanding</w:t>
            </w:r>
            <w:r w:rsidR="006C6F09">
              <w:rPr>
                <w:rFonts w:eastAsia="Times New Roman" w:cs="Segoe UI"/>
                <w:kern w:val="0"/>
                <w14:ligatures w14:val="none"/>
              </w:rPr>
              <w:t xml:space="preserve"> </w:t>
            </w:r>
            <w:r w:rsidRPr="006667BF">
              <w:rPr>
                <w:rFonts w:eastAsia="Times New Roman" w:cs="Segoe UI"/>
                <w:kern w:val="0"/>
                <w14:ligatures w14:val="none"/>
              </w:rPr>
              <w:t>between</w:t>
            </w:r>
            <w:r w:rsidR="006C6F09">
              <w:rPr>
                <w:rFonts w:eastAsia="Times New Roman" w:cs="Segoe UI"/>
                <w:kern w:val="0"/>
                <w14:ligatures w14:val="none"/>
              </w:rPr>
              <w:t xml:space="preserve"> </w:t>
            </w:r>
            <w:r w:rsidRPr="006667BF">
              <w:rPr>
                <w:rFonts w:eastAsia="Times New Roman" w:cs="Segoe UI"/>
                <w:kern w:val="0"/>
                <w14:ligatures w14:val="none"/>
              </w:rPr>
              <w:t>FHWA</w:t>
            </w:r>
            <w:r w:rsidR="006C6F09">
              <w:rPr>
                <w:rFonts w:eastAsia="Times New Roman" w:cs="Segoe UI"/>
                <w:kern w:val="0"/>
                <w14:ligatures w14:val="none"/>
              </w:rPr>
              <w:t xml:space="preserve"> </w:t>
            </w:r>
            <w:r w:rsidRPr="006667BF">
              <w:rPr>
                <w:rFonts w:eastAsia="Times New Roman" w:cs="Segoe UI"/>
                <w:kern w:val="0"/>
                <w14:ligatures w14:val="none"/>
              </w:rPr>
              <w:t>and</w:t>
            </w:r>
            <w:r w:rsidR="006C6F09">
              <w:rPr>
                <w:rFonts w:eastAsia="Times New Roman" w:cs="Segoe UI"/>
                <w:kern w:val="0"/>
                <w14:ligatures w14:val="none"/>
              </w:rPr>
              <w:t xml:space="preserve"> </w:t>
            </w:r>
            <w:r w:rsidRPr="006667BF">
              <w:rPr>
                <w:rFonts w:eastAsia="Times New Roman" w:cs="Segoe UI"/>
                <w:kern w:val="0"/>
                <w14:ligatures w14:val="none"/>
              </w:rPr>
              <w:t>TxDOT</w:t>
            </w:r>
            <w:r w:rsidR="006C6F09">
              <w:rPr>
                <w:rFonts w:eastAsia="Times New Roman" w:cs="Segoe UI"/>
                <w:kern w:val="0"/>
                <w14:ligatures w14:val="none"/>
              </w:rPr>
              <w:t xml:space="preserve"> </w:t>
            </w:r>
            <w:r w:rsidRPr="006667BF">
              <w:rPr>
                <w:rFonts w:eastAsia="Times New Roman" w:cs="Segoe UI"/>
                <w:kern w:val="0"/>
                <w14:ligatures w14:val="none"/>
              </w:rPr>
              <w:t>concerning</w:t>
            </w:r>
            <w:r w:rsidR="006C6F09">
              <w:rPr>
                <w:rFonts w:eastAsia="Times New Roman" w:cs="Segoe UI"/>
                <w:kern w:val="0"/>
                <w14:ligatures w14:val="none"/>
              </w:rPr>
              <w:t xml:space="preserve"> </w:t>
            </w:r>
            <w:r w:rsidRPr="006667BF">
              <w:rPr>
                <w:rFonts w:eastAsia="Times New Roman" w:cs="Segoe UI"/>
                <w:kern w:val="0"/>
                <w14:ligatures w14:val="none"/>
              </w:rPr>
              <w:t>State</w:t>
            </w:r>
            <w:r w:rsidR="006C6F09">
              <w:rPr>
                <w:rFonts w:eastAsia="Times New Roman" w:cs="Segoe UI"/>
                <w:kern w:val="0"/>
                <w14:ligatures w14:val="none"/>
              </w:rPr>
              <w:t xml:space="preserve"> </w:t>
            </w:r>
            <w:r w:rsidRPr="006667BF">
              <w:rPr>
                <w:rFonts w:eastAsia="Times New Roman" w:cs="Segoe UI"/>
                <w:kern w:val="0"/>
                <w14:ligatures w14:val="none"/>
              </w:rPr>
              <w:t>of</w:t>
            </w:r>
            <w:r w:rsidR="006C6F09">
              <w:rPr>
                <w:rFonts w:eastAsia="Times New Roman" w:cs="Segoe UI"/>
                <w:kern w:val="0"/>
                <w14:ligatures w14:val="none"/>
              </w:rPr>
              <w:t xml:space="preserve"> </w:t>
            </w:r>
            <w:r w:rsidRPr="006667BF">
              <w:rPr>
                <w:rFonts w:eastAsia="Times New Roman" w:cs="Segoe UI"/>
                <w:kern w:val="0"/>
                <w14:ligatures w14:val="none"/>
              </w:rPr>
              <w:t>Texas’</w:t>
            </w:r>
            <w:r w:rsidR="006C6F09">
              <w:rPr>
                <w:rFonts w:eastAsia="Times New Roman" w:cs="Segoe UI"/>
                <w:kern w:val="0"/>
                <w14:ligatures w14:val="none"/>
              </w:rPr>
              <w:t xml:space="preserve"> </w:t>
            </w:r>
            <w:r w:rsidRPr="006667BF">
              <w:rPr>
                <w:rFonts w:eastAsia="Times New Roman" w:cs="Segoe UI"/>
                <w:kern w:val="0"/>
                <w14:ligatures w14:val="none"/>
              </w:rPr>
              <w:t>Participation</w:t>
            </w:r>
            <w:r w:rsidR="006C6F09">
              <w:rPr>
                <w:rFonts w:eastAsia="Times New Roman" w:cs="Segoe UI"/>
                <w:kern w:val="0"/>
                <w14:ligatures w14:val="none"/>
              </w:rPr>
              <w:t xml:space="preserve"> </w:t>
            </w:r>
            <w:r w:rsidRPr="006667BF">
              <w:rPr>
                <w:rFonts w:eastAsia="Times New Roman" w:cs="Segoe UI"/>
                <w:kern w:val="0"/>
                <w14:ligatures w14:val="none"/>
              </w:rPr>
              <w:t>in</w:t>
            </w:r>
            <w:r w:rsidR="006C6F09">
              <w:rPr>
                <w:rFonts w:eastAsia="Times New Roman" w:cs="Segoe UI"/>
                <w:kern w:val="0"/>
                <w14:ligatures w14:val="none"/>
              </w:rPr>
              <w:t xml:space="preserve"> </w:t>
            </w:r>
            <w:r w:rsidRPr="006667BF">
              <w:rPr>
                <w:rFonts w:eastAsia="Times New Roman" w:cs="Segoe UI"/>
                <w:kern w:val="0"/>
                <w14:ligatures w14:val="none"/>
              </w:rPr>
              <w:t>the</w:t>
            </w:r>
            <w:r w:rsidR="006C6F09">
              <w:rPr>
                <w:rFonts w:eastAsia="Times New Roman" w:cs="Segoe UI"/>
                <w:kern w:val="0"/>
                <w14:ligatures w14:val="none"/>
              </w:rPr>
              <w:t xml:space="preserve"> </w:t>
            </w:r>
            <w:r w:rsidRPr="006667BF">
              <w:rPr>
                <w:rFonts w:eastAsia="Times New Roman" w:cs="Segoe UI"/>
                <w:kern w:val="0"/>
                <w14:ligatures w14:val="none"/>
              </w:rPr>
              <w:t>Project</w:t>
            </w:r>
            <w:r w:rsidR="006C6F09">
              <w:rPr>
                <w:rFonts w:eastAsia="Times New Roman" w:cs="Segoe UI"/>
                <w:kern w:val="0"/>
                <w14:ligatures w14:val="none"/>
              </w:rPr>
              <w:t xml:space="preserve"> </w:t>
            </w:r>
            <w:r w:rsidRPr="006667BF">
              <w:rPr>
                <w:rFonts w:eastAsia="Times New Roman" w:cs="Segoe UI"/>
                <w:kern w:val="0"/>
                <w14:ligatures w14:val="none"/>
              </w:rPr>
              <w:t>Delivery</w:t>
            </w:r>
            <w:r w:rsidR="006C6F09">
              <w:rPr>
                <w:rFonts w:eastAsia="Times New Roman" w:cs="Segoe UI"/>
                <w:kern w:val="0"/>
                <w14:ligatures w14:val="none"/>
              </w:rPr>
              <w:t xml:space="preserve"> </w:t>
            </w:r>
            <w:r w:rsidRPr="006667BF">
              <w:rPr>
                <w:rFonts w:eastAsia="Times New Roman" w:cs="Segoe UI"/>
                <w:kern w:val="0"/>
                <w14:ligatures w14:val="none"/>
              </w:rPr>
              <w:t>Program</w:t>
            </w:r>
            <w:r w:rsidR="006C6F09">
              <w:rPr>
                <w:rFonts w:eastAsia="Times New Roman" w:cs="Segoe UI"/>
                <w:kern w:val="0"/>
                <w14:ligatures w14:val="none"/>
              </w:rPr>
              <w:t xml:space="preserve"> </w:t>
            </w:r>
            <w:r w:rsidRPr="006667BF">
              <w:rPr>
                <w:rFonts w:eastAsia="Times New Roman" w:cs="Segoe UI"/>
                <w:kern w:val="0"/>
                <w14:ligatures w14:val="none"/>
              </w:rPr>
              <w:t>Pursuant</w:t>
            </w:r>
            <w:r w:rsidR="006C6F09">
              <w:rPr>
                <w:rFonts w:eastAsia="Times New Roman" w:cs="Segoe UI"/>
                <w:kern w:val="0"/>
                <w14:ligatures w14:val="none"/>
              </w:rPr>
              <w:t xml:space="preserve"> </w:t>
            </w:r>
            <w:r w:rsidRPr="006667BF">
              <w:rPr>
                <w:rFonts w:eastAsia="Times New Roman" w:cs="Segoe UI"/>
                <w:kern w:val="0"/>
                <w14:ligatures w14:val="none"/>
              </w:rPr>
              <w:t>to</w:t>
            </w:r>
            <w:r w:rsidR="006C6F09">
              <w:rPr>
                <w:rFonts w:eastAsia="Times New Roman" w:cs="Segoe UI"/>
                <w:kern w:val="0"/>
                <w14:ligatures w14:val="none"/>
              </w:rPr>
              <w:t xml:space="preserve"> </w:t>
            </w:r>
            <w:r w:rsidRPr="006667BF">
              <w:rPr>
                <w:rFonts w:eastAsia="Times New Roman" w:cs="Segoe UI"/>
                <w:kern w:val="0"/>
                <w14:ligatures w14:val="none"/>
              </w:rPr>
              <w:t>23</w:t>
            </w:r>
            <w:r w:rsidR="006C6F09">
              <w:rPr>
                <w:rFonts w:eastAsia="Times New Roman" w:cs="Segoe UI"/>
                <w:kern w:val="0"/>
                <w14:ligatures w14:val="none"/>
              </w:rPr>
              <w:t xml:space="preserve"> </w:t>
            </w:r>
            <w:r w:rsidRPr="006667BF">
              <w:rPr>
                <w:rFonts w:eastAsia="Times New Roman" w:cs="Segoe UI"/>
                <w:kern w:val="0"/>
                <w14:ligatures w14:val="none"/>
              </w:rPr>
              <w:t>U.S.C.</w:t>
            </w:r>
            <w:r w:rsidR="006C6F09">
              <w:rPr>
                <w:rFonts w:eastAsia="Times New Roman" w:cs="Segoe UI"/>
                <w:kern w:val="0"/>
                <w14:ligatures w14:val="none"/>
              </w:rPr>
              <w:t xml:space="preserve"> </w:t>
            </w:r>
            <w:r w:rsidRPr="006667BF">
              <w:rPr>
                <w:rFonts w:eastAsia="Times New Roman" w:cs="Segoe UI"/>
                <w:kern w:val="0"/>
                <w14:ligatures w14:val="none"/>
              </w:rPr>
              <w:t>327</w:t>
            </w:r>
          </w:p>
        </w:tc>
      </w:tr>
      <w:tr w:rsidR="001F4D9F" w14:paraId="3F231345"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09C4C3F5" w14:textId="7DE30B78" w:rsidR="001F4D9F" w:rsidRDefault="004B71F5" w:rsidP="00263E76">
            <w:pPr>
              <w:spacing w:after="0"/>
              <w:rPr>
                <w:rFonts w:eastAsia="Times New Roman" w:cs="Segoe UI"/>
                <w:kern w:val="0"/>
                <w14:ligatures w14:val="none"/>
              </w:rPr>
            </w:pPr>
            <w:r>
              <w:rPr>
                <w:rFonts w:eastAsia="Times New Roman" w:cs="Segoe UI"/>
                <w:kern w:val="0"/>
                <w14:ligatures w14:val="none"/>
              </w:rPr>
              <w:t>CE</w:t>
            </w:r>
          </w:p>
        </w:tc>
        <w:tc>
          <w:tcPr>
            <w:tcW w:w="5485" w:type="dxa"/>
          </w:tcPr>
          <w:p w14:paraId="5C9E4753" w14:textId="2A0A1C48" w:rsidR="001F4D9F" w:rsidRDefault="004B71F5" w:rsidP="00DE6542">
            <w:pPr>
              <w:spacing w:after="0"/>
              <w:rPr>
                <w:rFonts w:eastAsia="Times New Roman" w:cs="Segoe UI"/>
                <w:kern w:val="0"/>
                <w14:ligatures w14:val="none"/>
              </w:rPr>
            </w:pPr>
            <w:r w:rsidRPr="006667BF">
              <w:rPr>
                <w:rFonts w:eastAsia="Times New Roman" w:cs="Segoe UI"/>
                <w:kern w:val="0"/>
                <w14:ligatures w14:val="none"/>
              </w:rPr>
              <w:t>Categorical</w:t>
            </w:r>
            <w:r w:rsidR="006C6F09">
              <w:rPr>
                <w:rFonts w:eastAsia="Times New Roman" w:cs="Segoe UI"/>
                <w:kern w:val="0"/>
                <w14:ligatures w14:val="none"/>
              </w:rPr>
              <w:t xml:space="preserve"> </w:t>
            </w:r>
            <w:r w:rsidRPr="006667BF">
              <w:rPr>
                <w:rFonts w:eastAsia="Times New Roman" w:cs="Segoe UI"/>
                <w:kern w:val="0"/>
                <w14:ligatures w14:val="none"/>
              </w:rPr>
              <w:t>Exclusion</w:t>
            </w:r>
          </w:p>
        </w:tc>
      </w:tr>
      <w:tr w:rsidR="001F4D9F" w14:paraId="63C1DFE5"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3FA708EC" w14:textId="55F0C28A" w:rsidR="001F4D9F" w:rsidRDefault="004B71F5" w:rsidP="00263E76">
            <w:pPr>
              <w:spacing w:after="0"/>
              <w:rPr>
                <w:rFonts w:eastAsia="Times New Roman" w:cs="Segoe UI"/>
                <w:kern w:val="0"/>
                <w14:ligatures w14:val="none"/>
              </w:rPr>
            </w:pPr>
            <w:r>
              <w:rPr>
                <w:rFonts w:eastAsia="Times New Roman" w:cs="Segoe UI"/>
                <w:kern w:val="0"/>
                <w14:ligatures w14:val="none"/>
              </w:rPr>
              <w:t>CFR</w:t>
            </w:r>
          </w:p>
        </w:tc>
        <w:tc>
          <w:tcPr>
            <w:tcW w:w="5485" w:type="dxa"/>
          </w:tcPr>
          <w:p w14:paraId="060E0AD2" w14:textId="60EBB193" w:rsidR="001F4D9F" w:rsidRDefault="004B71F5" w:rsidP="00DE6542">
            <w:pPr>
              <w:spacing w:after="0"/>
              <w:rPr>
                <w:rFonts w:eastAsia="Times New Roman" w:cs="Segoe UI"/>
                <w:kern w:val="0"/>
                <w14:ligatures w14:val="none"/>
              </w:rPr>
            </w:pPr>
            <w:r w:rsidRPr="006667BF">
              <w:rPr>
                <w:rFonts w:eastAsia="Times New Roman" w:cs="Segoe UI"/>
                <w:kern w:val="0"/>
                <w14:ligatures w14:val="none"/>
              </w:rPr>
              <w:t>Code</w:t>
            </w:r>
            <w:r w:rsidR="006C6F09">
              <w:rPr>
                <w:rFonts w:eastAsia="Times New Roman" w:cs="Segoe UI"/>
                <w:kern w:val="0"/>
                <w14:ligatures w14:val="none"/>
              </w:rPr>
              <w:t xml:space="preserve"> </w:t>
            </w:r>
            <w:r w:rsidRPr="006667BF">
              <w:rPr>
                <w:rFonts w:eastAsia="Times New Roman" w:cs="Segoe UI"/>
                <w:kern w:val="0"/>
                <w14:ligatures w14:val="none"/>
              </w:rPr>
              <w:t>of</w:t>
            </w:r>
            <w:r w:rsidR="006C6F09">
              <w:rPr>
                <w:rFonts w:eastAsia="Times New Roman" w:cs="Segoe UI"/>
                <w:kern w:val="0"/>
                <w14:ligatures w14:val="none"/>
              </w:rPr>
              <w:t xml:space="preserve"> </w:t>
            </w:r>
            <w:r w:rsidRPr="006667BF">
              <w:rPr>
                <w:rFonts w:eastAsia="Times New Roman" w:cs="Segoe UI"/>
                <w:kern w:val="0"/>
                <w14:ligatures w14:val="none"/>
              </w:rPr>
              <w:t>Federal</w:t>
            </w:r>
            <w:r w:rsidR="006C6F09">
              <w:rPr>
                <w:rFonts w:eastAsia="Times New Roman" w:cs="Segoe UI"/>
                <w:kern w:val="0"/>
                <w14:ligatures w14:val="none"/>
              </w:rPr>
              <w:t xml:space="preserve"> </w:t>
            </w:r>
            <w:r w:rsidRPr="006667BF">
              <w:rPr>
                <w:rFonts w:eastAsia="Times New Roman" w:cs="Segoe UI"/>
                <w:kern w:val="0"/>
                <w14:ligatures w14:val="none"/>
              </w:rPr>
              <w:t>Regulations</w:t>
            </w:r>
          </w:p>
        </w:tc>
      </w:tr>
      <w:tr w:rsidR="004B71F5" w14:paraId="33B6DD7D"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3D3AD635" w14:textId="1BD4FB4F" w:rsidR="004B71F5" w:rsidRDefault="004B71F5" w:rsidP="00263E76">
            <w:pPr>
              <w:spacing w:after="0"/>
              <w:rPr>
                <w:rFonts w:eastAsia="Times New Roman" w:cs="Segoe UI"/>
                <w:kern w:val="0"/>
                <w14:ligatures w14:val="none"/>
              </w:rPr>
            </w:pPr>
            <w:r>
              <w:rPr>
                <w:rFonts w:eastAsia="Times New Roman" w:cs="Segoe UI"/>
                <w:kern w:val="0"/>
                <w14:ligatures w14:val="none"/>
              </w:rPr>
              <w:t>CRM</w:t>
            </w:r>
          </w:p>
        </w:tc>
        <w:tc>
          <w:tcPr>
            <w:tcW w:w="5485" w:type="dxa"/>
          </w:tcPr>
          <w:p w14:paraId="153880EE" w14:textId="33702585" w:rsidR="004B71F5" w:rsidRDefault="004B71F5" w:rsidP="00DE6542">
            <w:pPr>
              <w:spacing w:after="0"/>
              <w:rPr>
                <w:rFonts w:eastAsia="Times New Roman" w:cs="Segoe UI"/>
                <w:kern w:val="0"/>
                <w14:ligatures w14:val="none"/>
              </w:rPr>
            </w:pPr>
            <w:r w:rsidRPr="006667BF">
              <w:rPr>
                <w:rFonts w:eastAsia="Times New Roman" w:cs="Segoe UI"/>
                <w:kern w:val="0"/>
                <w14:ligatures w14:val="none"/>
              </w:rPr>
              <w:t>Cultural</w:t>
            </w:r>
            <w:r w:rsidR="006C6F09">
              <w:rPr>
                <w:rFonts w:eastAsia="Times New Roman" w:cs="Segoe UI"/>
                <w:kern w:val="0"/>
                <w14:ligatures w14:val="none"/>
              </w:rPr>
              <w:t xml:space="preserve"> </w:t>
            </w:r>
            <w:r w:rsidRPr="006667BF">
              <w:rPr>
                <w:rFonts w:eastAsia="Times New Roman" w:cs="Segoe UI"/>
                <w:kern w:val="0"/>
                <w14:ligatures w14:val="none"/>
              </w:rPr>
              <w:t>Resources</w:t>
            </w:r>
            <w:r w:rsidR="006C6F09">
              <w:rPr>
                <w:rFonts w:eastAsia="Times New Roman" w:cs="Segoe UI"/>
                <w:kern w:val="0"/>
                <w14:ligatures w14:val="none"/>
              </w:rPr>
              <w:t xml:space="preserve"> </w:t>
            </w:r>
            <w:r w:rsidRPr="006667BF">
              <w:rPr>
                <w:rFonts w:eastAsia="Times New Roman" w:cs="Segoe UI"/>
                <w:kern w:val="0"/>
                <w14:ligatures w14:val="none"/>
              </w:rPr>
              <w:t>Management</w:t>
            </w:r>
            <w:r w:rsidR="006C6F09">
              <w:rPr>
                <w:rFonts w:eastAsia="Times New Roman" w:cs="Segoe UI"/>
                <w:kern w:val="0"/>
                <w14:ligatures w14:val="none"/>
              </w:rPr>
              <w:t xml:space="preserve"> </w:t>
            </w:r>
            <w:r w:rsidRPr="006667BF">
              <w:rPr>
                <w:rFonts w:eastAsia="Times New Roman" w:cs="Segoe UI"/>
                <w:kern w:val="0"/>
                <w14:ligatures w14:val="none"/>
              </w:rPr>
              <w:t>Section</w:t>
            </w:r>
          </w:p>
        </w:tc>
      </w:tr>
      <w:tr w:rsidR="004B71F5" w14:paraId="1F5E1AC1"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4F293012" w14:textId="3F57B7D9" w:rsidR="004B71F5" w:rsidRDefault="004B71F5" w:rsidP="00263E76">
            <w:pPr>
              <w:spacing w:after="0"/>
              <w:rPr>
                <w:rFonts w:eastAsia="Times New Roman" w:cs="Segoe UI"/>
                <w:kern w:val="0"/>
                <w14:ligatures w14:val="none"/>
              </w:rPr>
            </w:pPr>
            <w:r>
              <w:rPr>
                <w:rFonts w:eastAsia="Times New Roman" w:cs="Segoe UI"/>
                <w:kern w:val="0"/>
                <w14:ligatures w14:val="none"/>
              </w:rPr>
              <w:t>CSJ</w:t>
            </w:r>
          </w:p>
        </w:tc>
        <w:tc>
          <w:tcPr>
            <w:tcW w:w="5485" w:type="dxa"/>
          </w:tcPr>
          <w:p w14:paraId="7A26036B" w14:textId="1A3AE58A" w:rsidR="004B71F5" w:rsidRDefault="004B71F5" w:rsidP="00DE6542">
            <w:pPr>
              <w:spacing w:after="0"/>
              <w:rPr>
                <w:rFonts w:eastAsia="Times New Roman" w:cs="Segoe UI"/>
                <w:kern w:val="0"/>
                <w14:ligatures w14:val="none"/>
              </w:rPr>
            </w:pPr>
            <w:r>
              <w:rPr>
                <w:rFonts w:eastAsia="Times New Roman" w:cs="Segoe UI"/>
                <w:kern w:val="0"/>
                <w14:ligatures w14:val="none"/>
              </w:rPr>
              <w:t>Control</w:t>
            </w:r>
            <w:r w:rsidR="006C6F09">
              <w:rPr>
                <w:rFonts w:eastAsia="Times New Roman" w:cs="Segoe UI"/>
                <w:kern w:val="0"/>
                <w14:ligatures w14:val="none"/>
              </w:rPr>
              <w:t xml:space="preserve"> </w:t>
            </w:r>
            <w:r>
              <w:rPr>
                <w:rFonts w:eastAsia="Times New Roman" w:cs="Segoe UI"/>
                <w:kern w:val="0"/>
                <w14:ligatures w14:val="none"/>
              </w:rPr>
              <w:t>Section</w:t>
            </w:r>
            <w:r w:rsidR="006C6F09">
              <w:rPr>
                <w:rFonts w:eastAsia="Times New Roman" w:cs="Segoe UI"/>
                <w:kern w:val="0"/>
                <w14:ligatures w14:val="none"/>
              </w:rPr>
              <w:t xml:space="preserve"> </w:t>
            </w:r>
            <w:r>
              <w:rPr>
                <w:rFonts w:eastAsia="Times New Roman" w:cs="Segoe UI"/>
                <w:kern w:val="0"/>
                <w14:ligatures w14:val="none"/>
              </w:rPr>
              <w:t>Job</w:t>
            </w:r>
          </w:p>
        </w:tc>
      </w:tr>
      <w:tr w:rsidR="004B71F5" w14:paraId="6F27E004"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659175B9" w14:textId="3B91E205" w:rsidR="004B71F5" w:rsidRDefault="004B71F5" w:rsidP="00263E76">
            <w:pPr>
              <w:spacing w:after="0"/>
              <w:rPr>
                <w:rFonts w:eastAsia="Times New Roman" w:cs="Segoe UI"/>
                <w:kern w:val="0"/>
                <w14:ligatures w14:val="none"/>
              </w:rPr>
            </w:pPr>
            <w:r>
              <w:rPr>
                <w:rFonts w:eastAsia="Times New Roman" w:cs="Segoe UI"/>
                <w:kern w:val="0"/>
                <w14:ligatures w14:val="none"/>
              </w:rPr>
              <w:t>DEIS</w:t>
            </w:r>
          </w:p>
        </w:tc>
        <w:tc>
          <w:tcPr>
            <w:tcW w:w="5485" w:type="dxa"/>
          </w:tcPr>
          <w:p w14:paraId="185E27C1" w14:textId="4D082FD0" w:rsidR="004B71F5" w:rsidRDefault="004B71F5" w:rsidP="00DE6542">
            <w:pPr>
              <w:spacing w:after="0"/>
              <w:rPr>
                <w:rFonts w:eastAsia="Times New Roman" w:cs="Segoe UI"/>
                <w:kern w:val="0"/>
                <w14:ligatures w14:val="none"/>
              </w:rPr>
            </w:pPr>
            <w:r w:rsidRPr="006667BF">
              <w:rPr>
                <w:rFonts w:eastAsia="Times New Roman" w:cs="Segoe UI"/>
                <w:kern w:val="0"/>
                <w14:ligatures w14:val="none"/>
              </w:rPr>
              <w:t>Draft</w:t>
            </w:r>
            <w:r w:rsidR="006C6F09">
              <w:rPr>
                <w:rFonts w:eastAsia="Times New Roman" w:cs="Segoe UI"/>
                <w:kern w:val="0"/>
                <w14:ligatures w14:val="none"/>
              </w:rPr>
              <w:t xml:space="preserve"> </w:t>
            </w:r>
            <w:r w:rsidRPr="006667BF">
              <w:rPr>
                <w:rFonts w:eastAsia="Times New Roman" w:cs="Segoe UI"/>
                <w:kern w:val="0"/>
                <w14:ligatures w14:val="none"/>
              </w:rPr>
              <w:t>Environmental</w:t>
            </w:r>
            <w:r w:rsidR="006C6F09">
              <w:rPr>
                <w:rFonts w:eastAsia="Times New Roman" w:cs="Segoe UI"/>
                <w:kern w:val="0"/>
                <w14:ligatures w14:val="none"/>
              </w:rPr>
              <w:t xml:space="preserve"> </w:t>
            </w:r>
            <w:r w:rsidRPr="006667BF">
              <w:rPr>
                <w:rFonts w:eastAsia="Times New Roman" w:cs="Segoe UI"/>
                <w:kern w:val="0"/>
                <w14:ligatures w14:val="none"/>
              </w:rPr>
              <w:t>Impact</w:t>
            </w:r>
            <w:r w:rsidR="006C6F09">
              <w:rPr>
                <w:rFonts w:eastAsia="Times New Roman" w:cs="Segoe UI"/>
                <w:kern w:val="0"/>
                <w14:ligatures w14:val="none"/>
              </w:rPr>
              <w:t xml:space="preserve"> </w:t>
            </w:r>
            <w:r w:rsidRPr="006667BF">
              <w:rPr>
                <w:rFonts w:eastAsia="Times New Roman" w:cs="Segoe UI"/>
                <w:kern w:val="0"/>
                <w14:ligatures w14:val="none"/>
              </w:rPr>
              <w:t>Statement</w:t>
            </w:r>
          </w:p>
        </w:tc>
      </w:tr>
      <w:tr w:rsidR="004B71F5" w14:paraId="15CF74B0"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43970B6D" w14:textId="7DE8537E" w:rsidR="004B71F5" w:rsidRDefault="004B71F5" w:rsidP="00263E76">
            <w:pPr>
              <w:spacing w:after="0"/>
              <w:rPr>
                <w:rFonts w:eastAsia="Times New Roman" w:cs="Segoe UI"/>
                <w:kern w:val="0"/>
                <w14:ligatures w14:val="none"/>
              </w:rPr>
            </w:pPr>
            <w:r>
              <w:rPr>
                <w:rFonts w:eastAsia="Times New Roman" w:cs="Segoe UI"/>
                <w:kern w:val="0"/>
                <w14:ligatures w14:val="none"/>
              </w:rPr>
              <w:t>EA</w:t>
            </w:r>
          </w:p>
        </w:tc>
        <w:tc>
          <w:tcPr>
            <w:tcW w:w="5485" w:type="dxa"/>
          </w:tcPr>
          <w:p w14:paraId="149E3E79" w14:textId="4E1F2F7B" w:rsidR="004B71F5" w:rsidRDefault="004B71F5" w:rsidP="00DE6542">
            <w:pPr>
              <w:spacing w:after="0"/>
              <w:rPr>
                <w:rFonts w:eastAsia="Times New Roman" w:cs="Segoe UI"/>
                <w:kern w:val="0"/>
                <w14:ligatures w14:val="none"/>
              </w:rPr>
            </w:pPr>
            <w:r w:rsidRPr="006667BF">
              <w:rPr>
                <w:rFonts w:eastAsia="Times New Roman" w:cs="Segoe UI"/>
                <w:kern w:val="0"/>
                <w14:ligatures w14:val="none"/>
              </w:rPr>
              <w:t>Environmental</w:t>
            </w:r>
            <w:r w:rsidR="006C6F09">
              <w:rPr>
                <w:rFonts w:eastAsia="Times New Roman" w:cs="Segoe UI"/>
                <w:kern w:val="0"/>
                <w14:ligatures w14:val="none"/>
              </w:rPr>
              <w:t xml:space="preserve"> </w:t>
            </w:r>
            <w:r w:rsidRPr="006667BF">
              <w:rPr>
                <w:rFonts w:eastAsia="Times New Roman" w:cs="Segoe UI"/>
                <w:kern w:val="0"/>
                <w14:ligatures w14:val="none"/>
              </w:rPr>
              <w:t>Assessment</w:t>
            </w:r>
          </w:p>
        </w:tc>
      </w:tr>
      <w:tr w:rsidR="004B71F5" w14:paraId="7889323C"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2A9B511A" w14:textId="180F88AA" w:rsidR="004B71F5" w:rsidRDefault="004B71F5" w:rsidP="00263E76">
            <w:pPr>
              <w:spacing w:after="0"/>
              <w:rPr>
                <w:rFonts w:eastAsia="Times New Roman" w:cs="Segoe UI"/>
                <w:kern w:val="0"/>
                <w14:ligatures w14:val="none"/>
              </w:rPr>
            </w:pPr>
            <w:r>
              <w:rPr>
                <w:rFonts w:eastAsia="Times New Roman" w:cs="Segoe UI"/>
                <w:kern w:val="0"/>
                <w14:ligatures w14:val="none"/>
              </w:rPr>
              <w:t>ECOS</w:t>
            </w:r>
          </w:p>
        </w:tc>
        <w:tc>
          <w:tcPr>
            <w:tcW w:w="5485" w:type="dxa"/>
          </w:tcPr>
          <w:p w14:paraId="238320AC" w14:textId="1D6D5143" w:rsidR="004B71F5" w:rsidRDefault="004B71F5" w:rsidP="00DE6542">
            <w:pPr>
              <w:spacing w:after="0"/>
              <w:rPr>
                <w:rFonts w:eastAsia="Times New Roman" w:cs="Segoe UI"/>
                <w:kern w:val="0"/>
                <w14:ligatures w14:val="none"/>
              </w:rPr>
            </w:pPr>
            <w:r w:rsidRPr="006667BF">
              <w:rPr>
                <w:rFonts w:eastAsia="Times New Roman" w:cs="Segoe UI"/>
                <w:kern w:val="0"/>
                <w14:ligatures w14:val="none"/>
              </w:rPr>
              <w:t>Environmental</w:t>
            </w:r>
            <w:r w:rsidR="006C6F09">
              <w:rPr>
                <w:rFonts w:eastAsia="Times New Roman" w:cs="Segoe UI"/>
                <w:kern w:val="0"/>
                <w14:ligatures w14:val="none"/>
              </w:rPr>
              <w:t xml:space="preserve"> </w:t>
            </w:r>
            <w:r w:rsidRPr="006667BF">
              <w:rPr>
                <w:rFonts w:eastAsia="Times New Roman" w:cs="Segoe UI"/>
                <w:kern w:val="0"/>
                <w14:ligatures w14:val="none"/>
              </w:rPr>
              <w:t>Compliance</w:t>
            </w:r>
            <w:r w:rsidR="006C6F09">
              <w:rPr>
                <w:rFonts w:eastAsia="Times New Roman" w:cs="Segoe UI"/>
                <w:kern w:val="0"/>
                <w14:ligatures w14:val="none"/>
              </w:rPr>
              <w:t xml:space="preserve"> </w:t>
            </w:r>
            <w:r w:rsidRPr="006667BF">
              <w:rPr>
                <w:rFonts w:eastAsia="Times New Roman" w:cs="Segoe UI"/>
                <w:kern w:val="0"/>
                <w14:ligatures w14:val="none"/>
              </w:rPr>
              <w:t>Oversight</w:t>
            </w:r>
            <w:r w:rsidR="006C6F09">
              <w:rPr>
                <w:rFonts w:eastAsia="Times New Roman" w:cs="Segoe UI"/>
                <w:kern w:val="0"/>
                <w14:ligatures w14:val="none"/>
              </w:rPr>
              <w:t xml:space="preserve"> </w:t>
            </w:r>
            <w:r w:rsidRPr="006667BF">
              <w:rPr>
                <w:rFonts w:eastAsia="Times New Roman" w:cs="Segoe UI"/>
                <w:kern w:val="0"/>
                <w14:ligatures w14:val="none"/>
              </w:rPr>
              <w:t>System</w:t>
            </w:r>
          </w:p>
        </w:tc>
      </w:tr>
      <w:tr w:rsidR="004B71F5" w14:paraId="7E6FFD6B"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1C70AB9F" w14:textId="4C6BC970" w:rsidR="004B71F5" w:rsidRDefault="004B71F5" w:rsidP="00DE6542">
            <w:pPr>
              <w:spacing w:after="0"/>
              <w:rPr>
                <w:rFonts w:eastAsia="Times New Roman" w:cs="Segoe UI"/>
                <w:kern w:val="0"/>
                <w14:ligatures w14:val="none"/>
              </w:rPr>
            </w:pPr>
            <w:r>
              <w:rPr>
                <w:rFonts w:eastAsia="Times New Roman" w:cs="Segoe UI"/>
                <w:kern w:val="0"/>
                <w14:ligatures w14:val="none"/>
              </w:rPr>
              <w:t>EIS</w:t>
            </w:r>
          </w:p>
        </w:tc>
        <w:tc>
          <w:tcPr>
            <w:tcW w:w="5485" w:type="dxa"/>
          </w:tcPr>
          <w:p w14:paraId="2974BC7E" w14:textId="5E1BAF8B" w:rsidR="004B71F5" w:rsidRPr="006667BF" w:rsidRDefault="004B71F5" w:rsidP="00DE6542">
            <w:pPr>
              <w:spacing w:after="0"/>
              <w:rPr>
                <w:rFonts w:eastAsia="Times New Roman" w:cs="Segoe UI"/>
                <w:kern w:val="0"/>
                <w14:ligatures w14:val="none"/>
              </w:rPr>
            </w:pPr>
            <w:r w:rsidRPr="006667BF">
              <w:rPr>
                <w:rFonts w:eastAsia="Times New Roman" w:cs="Segoe UI"/>
                <w:kern w:val="0"/>
                <w14:ligatures w14:val="none"/>
              </w:rPr>
              <w:t>Environmental</w:t>
            </w:r>
            <w:r w:rsidR="006C6F09">
              <w:rPr>
                <w:rFonts w:eastAsia="Times New Roman" w:cs="Segoe UI"/>
                <w:kern w:val="0"/>
                <w14:ligatures w14:val="none"/>
              </w:rPr>
              <w:t xml:space="preserve"> </w:t>
            </w:r>
            <w:r w:rsidRPr="006667BF">
              <w:rPr>
                <w:rFonts w:eastAsia="Times New Roman" w:cs="Segoe UI"/>
                <w:kern w:val="0"/>
                <w14:ligatures w14:val="none"/>
              </w:rPr>
              <w:t>Impact</w:t>
            </w:r>
            <w:r w:rsidR="006C6F09">
              <w:rPr>
                <w:rFonts w:eastAsia="Times New Roman" w:cs="Segoe UI"/>
                <w:kern w:val="0"/>
                <w14:ligatures w14:val="none"/>
              </w:rPr>
              <w:t xml:space="preserve"> </w:t>
            </w:r>
            <w:r w:rsidRPr="006667BF">
              <w:rPr>
                <w:rFonts w:eastAsia="Times New Roman" w:cs="Segoe UI"/>
                <w:kern w:val="0"/>
                <w14:ligatures w14:val="none"/>
              </w:rPr>
              <w:t>Statement</w:t>
            </w:r>
          </w:p>
        </w:tc>
      </w:tr>
      <w:tr w:rsidR="004B71F5" w14:paraId="6554ED94"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07FD836B" w14:textId="040B28B5" w:rsidR="004B71F5" w:rsidRDefault="004B71F5" w:rsidP="00263E76">
            <w:pPr>
              <w:spacing w:after="0"/>
              <w:rPr>
                <w:rFonts w:eastAsia="Times New Roman" w:cs="Segoe UI"/>
                <w:kern w:val="0"/>
                <w14:ligatures w14:val="none"/>
              </w:rPr>
            </w:pPr>
            <w:r>
              <w:rPr>
                <w:rFonts w:eastAsia="Times New Roman" w:cs="Segoe UI"/>
                <w:kern w:val="0"/>
                <w14:ligatures w14:val="none"/>
              </w:rPr>
              <w:t>ENV</w:t>
            </w:r>
          </w:p>
        </w:tc>
        <w:tc>
          <w:tcPr>
            <w:tcW w:w="5485" w:type="dxa"/>
          </w:tcPr>
          <w:p w14:paraId="23A7542C" w14:textId="28037613" w:rsidR="004B71F5" w:rsidRPr="006667BF" w:rsidRDefault="004B71F5" w:rsidP="00DE6542">
            <w:pPr>
              <w:spacing w:after="0"/>
              <w:rPr>
                <w:rFonts w:eastAsia="Times New Roman" w:cs="Segoe UI"/>
                <w:kern w:val="0"/>
                <w14:ligatures w14:val="none"/>
              </w:rPr>
            </w:pPr>
            <w:r w:rsidRPr="006667BF">
              <w:rPr>
                <w:rFonts w:eastAsia="Times New Roman" w:cs="Segoe UI"/>
                <w:kern w:val="0"/>
                <w14:ligatures w14:val="none"/>
              </w:rPr>
              <w:t>Environmental</w:t>
            </w:r>
            <w:r w:rsidR="006C6F09">
              <w:rPr>
                <w:rFonts w:eastAsia="Times New Roman" w:cs="Segoe UI"/>
                <w:kern w:val="0"/>
                <w14:ligatures w14:val="none"/>
              </w:rPr>
              <w:t xml:space="preserve"> </w:t>
            </w:r>
            <w:r w:rsidRPr="006667BF">
              <w:rPr>
                <w:rFonts w:eastAsia="Times New Roman" w:cs="Segoe UI"/>
                <w:kern w:val="0"/>
                <w14:ligatures w14:val="none"/>
              </w:rPr>
              <w:t>Affairs</w:t>
            </w:r>
            <w:r w:rsidR="006C6F09">
              <w:rPr>
                <w:rFonts w:eastAsia="Times New Roman" w:cs="Segoe UI"/>
                <w:kern w:val="0"/>
                <w14:ligatures w14:val="none"/>
              </w:rPr>
              <w:t xml:space="preserve"> </w:t>
            </w:r>
            <w:r w:rsidRPr="006667BF">
              <w:rPr>
                <w:rFonts w:eastAsia="Times New Roman" w:cs="Segoe UI"/>
                <w:kern w:val="0"/>
                <w14:ligatures w14:val="none"/>
              </w:rPr>
              <w:t>Division</w:t>
            </w:r>
          </w:p>
        </w:tc>
      </w:tr>
      <w:tr w:rsidR="004B71F5" w14:paraId="59538947"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29E27AAE" w14:textId="104298CA" w:rsidR="004B71F5" w:rsidRDefault="004B71F5" w:rsidP="00263E76">
            <w:pPr>
              <w:spacing w:after="0"/>
              <w:rPr>
                <w:rFonts w:eastAsia="Times New Roman" w:cs="Segoe UI"/>
                <w:kern w:val="0"/>
                <w14:ligatures w14:val="none"/>
              </w:rPr>
            </w:pPr>
            <w:r>
              <w:rPr>
                <w:rFonts w:eastAsia="Times New Roman" w:cs="Segoe UI"/>
                <w:kern w:val="0"/>
                <w14:ligatures w14:val="none"/>
              </w:rPr>
              <w:t>EPA</w:t>
            </w:r>
          </w:p>
        </w:tc>
        <w:tc>
          <w:tcPr>
            <w:tcW w:w="5485" w:type="dxa"/>
          </w:tcPr>
          <w:p w14:paraId="70892B6B" w14:textId="41B51908" w:rsidR="004B71F5" w:rsidRPr="006667BF" w:rsidRDefault="004B71F5" w:rsidP="00DE6542">
            <w:pPr>
              <w:spacing w:after="0"/>
              <w:rPr>
                <w:rFonts w:eastAsia="Times New Roman" w:cs="Segoe UI"/>
                <w:kern w:val="0"/>
                <w14:ligatures w14:val="none"/>
              </w:rPr>
            </w:pPr>
            <w:r w:rsidRPr="006667BF">
              <w:rPr>
                <w:rFonts w:eastAsia="Times New Roman" w:cs="Segoe UI"/>
                <w:kern w:val="0"/>
                <w14:ligatures w14:val="none"/>
              </w:rPr>
              <w:t>Environmental</w:t>
            </w:r>
            <w:r w:rsidR="006C6F09">
              <w:rPr>
                <w:rFonts w:eastAsia="Times New Roman" w:cs="Segoe UI"/>
                <w:kern w:val="0"/>
                <w14:ligatures w14:val="none"/>
              </w:rPr>
              <w:t xml:space="preserve"> </w:t>
            </w:r>
            <w:r w:rsidRPr="006667BF">
              <w:rPr>
                <w:rFonts w:eastAsia="Times New Roman" w:cs="Segoe UI"/>
                <w:kern w:val="0"/>
                <w14:ligatures w14:val="none"/>
              </w:rPr>
              <w:t>Protection</w:t>
            </w:r>
            <w:r w:rsidR="006C6F09">
              <w:rPr>
                <w:rFonts w:eastAsia="Times New Roman" w:cs="Segoe UI"/>
                <w:kern w:val="0"/>
                <w14:ligatures w14:val="none"/>
              </w:rPr>
              <w:t xml:space="preserve"> </w:t>
            </w:r>
            <w:r w:rsidRPr="006667BF">
              <w:rPr>
                <w:rFonts w:eastAsia="Times New Roman" w:cs="Segoe UI"/>
                <w:kern w:val="0"/>
                <w14:ligatures w14:val="none"/>
              </w:rPr>
              <w:t>Agency</w:t>
            </w:r>
          </w:p>
        </w:tc>
      </w:tr>
      <w:tr w:rsidR="004B71F5" w14:paraId="1E7D7317"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6A89781B" w14:textId="42C520FA" w:rsidR="004B71F5" w:rsidRDefault="004B71F5" w:rsidP="00263E76">
            <w:pPr>
              <w:spacing w:after="0"/>
              <w:rPr>
                <w:rFonts w:eastAsia="Times New Roman" w:cs="Segoe UI"/>
                <w:kern w:val="0"/>
                <w14:ligatures w14:val="none"/>
              </w:rPr>
            </w:pPr>
            <w:r>
              <w:rPr>
                <w:rFonts w:eastAsia="Times New Roman" w:cs="Segoe UI"/>
                <w:kern w:val="0"/>
                <w14:ligatures w14:val="none"/>
              </w:rPr>
              <w:t>FEIS</w:t>
            </w:r>
          </w:p>
        </w:tc>
        <w:tc>
          <w:tcPr>
            <w:tcW w:w="5485" w:type="dxa"/>
          </w:tcPr>
          <w:p w14:paraId="36D18238" w14:textId="672A49E0" w:rsidR="004B71F5" w:rsidRPr="006667BF" w:rsidRDefault="004B71F5" w:rsidP="00DE6542">
            <w:pPr>
              <w:spacing w:after="0"/>
              <w:rPr>
                <w:rFonts w:eastAsia="Times New Roman" w:cs="Segoe UI"/>
                <w:kern w:val="0"/>
                <w14:ligatures w14:val="none"/>
              </w:rPr>
            </w:pPr>
            <w:r w:rsidRPr="006667BF">
              <w:rPr>
                <w:rFonts w:eastAsia="Times New Roman" w:cs="Segoe UI"/>
                <w:kern w:val="0"/>
                <w14:ligatures w14:val="none"/>
              </w:rPr>
              <w:t>Final</w:t>
            </w:r>
            <w:r w:rsidR="006C6F09">
              <w:rPr>
                <w:rFonts w:eastAsia="Times New Roman" w:cs="Segoe UI"/>
                <w:kern w:val="0"/>
                <w14:ligatures w14:val="none"/>
              </w:rPr>
              <w:t xml:space="preserve"> </w:t>
            </w:r>
            <w:r w:rsidRPr="006667BF">
              <w:rPr>
                <w:rFonts w:eastAsia="Times New Roman" w:cs="Segoe UI"/>
                <w:kern w:val="0"/>
                <w14:ligatures w14:val="none"/>
              </w:rPr>
              <w:t>Environmental</w:t>
            </w:r>
            <w:r w:rsidR="006C6F09">
              <w:rPr>
                <w:rFonts w:eastAsia="Times New Roman" w:cs="Segoe UI"/>
                <w:kern w:val="0"/>
                <w14:ligatures w14:val="none"/>
              </w:rPr>
              <w:t xml:space="preserve"> </w:t>
            </w:r>
            <w:r w:rsidRPr="006667BF">
              <w:rPr>
                <w:rFonts w:eastAsia="Times New Roman" w:cs="Segoe UI"/>
                <w:kern w:val="0"/>
                <w14:ligatures w14:val="none"/>
              </w:rPr>
              <w:t>Impact</w:t>
            </w:r>
            <w:r w:rsidR="006C6F09">
              <w:rPr>
                <w:rFonts w:eastAsia="Times New Roman" w:cs="Segoe UI"/>
                <w:kern w:val="0"/>
                <w14:ligatures w14:val="none"/>
              </w:rPr>
              <w:t xml:space="preserve"> </w:t>
            </w:r>
            <w:r w:rsidRPr="006667BF">
              <w:rPr>
                <w:rFonts w:eastAsia="Times New Roman" w:cs="Segoe UI"/>
                <w:kern w:val="0"/>
                <w14:ligatures w14:val="none"/>
              </w:rPr>
              <w:t>Statement</w:t>
            </w:r>
          </w:p>
        </w:tc>
      </w:tr>
      <w:tr w:rsidR="004B71F5" w14:paraId="250FF6AC"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02728EDA" w14:textId="4468B709" w:rsidR="004B71F5" w:rsidRDefault="004B71F5" w:rsidP="00263E76">
            <w:pPr>
              <w:spacing w:after="0"/>
              <w:rPr>
                <w:rFonts w:eastAsia="Times New Roman" w:cs="Segoe UI"/>
                <w:kern w:val="0"/>
                <w14:ligatures w14:val="none"/>
              </w:rPr>
            </w:pPr>
            <w:r>
              <w:rPr>
                <w:rFonts w:eastAsia="Times New Roman" w:cs="Segoe UI"/>
                <w:kern w:val="0"/>
                <w14:ligatures w14:val="none"/>
              </w:rPr>
              <w:t>FONSI</w:t>
            </w:r>
          </w:p>
        </w:tc>
        <w:tc>
          <w:tcPr>
            <w:tcW w:w="5485" w:type="dxa"/>
          </w:tcPr>
          <w:p w14:paraId="7FDEE54F" w14:textId="337D27FA" w:rsidR="004B71F5" w:rsidRPr="006667BF" w:rsidRDefault="00E033CD" w:rsidP="00DE6542">
            <w:pPr>
              <w:spacing w:after="0"/>
              <w:rPr>
                <w:rFonts w:eastAsia="Times New Roman" w:cs="Segoe UI"/>
                <w:kern w:val="0"/>
                <w14:ligatures w14:val="none"/>
              </w:rPr>
            </w:pPr>
            <w:proofErr w:type="gramStart"/>
            <w:r w:rsidRPr="006667BF">
              <w:rPr>
                <w:rFonts w:eastAsia="Times New Roman" w:cs="Segoe UI"/>
                <w:kern w:val="0"/>
                <w14:ligatures w14:val="none"/>
              </w:rPr>
              <w:t>Finding</w:t>
            </w:r>
            <w:r w:rsidR="006C6F09">
              <w:rPr>
                <w:rFonts w:eastAsia="Times New Roman" w:cs="Segoe UI"/>
                <w:kern w:val="0"/>
                <w14:ligatures w14:val="none"/>
              </w:rPr>
              <w:t xml:space="preserve"> </w:t>
            </w:r>
            <w:r>
              <w:rPr>
                <w:rFonts w:eastAsia="Times New Roman" w:cs="Segoe UI"/>
                <w:kern w:val="0"/>
                <w14:ligatures w14:val="none"/>
              </w:rPr>
              <w:t>of</w:t>
            </w:r>
            <w:proofErr w:type="gramEnd"/>
            <w:r>
              <w:rPr>
                <w:rFonts w:eastAsia="Times New Roman" w:cs="Segoe UI"/>
                <w:kern w:val="0"/>
                <w14:ligatures w14:val="none"/>
              </w:rPr>
              <w:t xml:space="preserve"> </w:t>
            </w:r>
            <w:r w:rsidR="004B71F5" w:rsidRPr="006667BF">
              <w:rPr>
                <w:rFonts w:eastAsia="Times New Roman" w:cs="Segoe UI"/>
                <w:kern w:val="0"/>
                <w14:ligatures w14:val="none"/>
              </w:rPr>
              <w:t>No</w:t>
            </w:r>
            <w:r w:rsidR="006C6F09">
              <w:rPr>
                <w:rFonts w:eastAsia="Times New Roman" w:cs="Segoe UI"/>
                <w:kern w:val="0"/>
                <w14:ligatures w14:val="none"/>
              </w:rPr>
              <w:t xml:space="preserve"> </w:t>
            </w:r>
            <w:r w:rsidR="004B71F5" w:rsidRPr="006667BF">
              <w:rPr>
                <w:rFonts w:eastAsia="Times New Roman" w:cs="Segoe UI"/>
                <w:kern w:val="0"/>
                <w14:ligatures w14:val="none"/>
              </w:rPr>
              <w:t>Significant</w:t>
            </w:r>
            <w:r w:rsidR="006C6F09">
              <w:rPr>
                <w:rFonts w:eastAsia="Times New Roman" w:cs="Segoe UI"/>
                <w:kern w:val="0"/>
                <w14:ligatures w14:val="none"/>
              </w:rPr>
              <w:t xml:space="preserve"> </w:t>
            </w:r>
            <w:r w:rsidR="004B71F5" w:rsidRPr="006667BF">
              <w:rPr>
                <w:rFonts w:eastAsia="Times New Roman" w:cs="Segoe UI"/>
                <w:kern w:val="0"/>
                <w14:ligatures w14:val="none"/>
              </w:rPr>
              <w:t>Impact</w:t>
            </w:r>
          </w:p>
        </w:tc>
      </w:tr>
      <w:tr w:rsidR="004B71F5" w14:paraId="431D74D1"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62886CA7" w14:textId="5EC95F80" w:rsidR="004B71F5" w:rsidRDefault="004B71F5" w:rsidP="00263E76">
            <w:pPr>
              <w:spacing w:after="0"/>
              <w:rPr>
                <w:rFonts w:eastAsia="Times New Roman" w:cs="Segoe UI"/>
                <w:kern w:val="0"/>
                <w14:ligatures w14:val="none"/>
              </w:rPr>
            </w:pPr>
            <w:r>
              <w:rPr>
                <w:rFonts w:eastAsia="Times New Roman" w:cs="Segoe UI"/>
                <w:kern w:val="0"/>
                <w14:ligatures w14:val="none"/>
              </w:rPr>
              <w:t>FHWA</w:t>
            </w:r>
          </w:p>
        </w:tc>
        <w:tc>
          <w:tcPr>
            <w:tcW w:w="5485" w:type="dxa"/>
          </w:tcPr>
          <w:p w14:paraId="26BD316A" w14:textId="1671FA7A" w:rsidR="004B71F5" w:rsidRPr="006667BF" w:rsidRDefault="004B71F5" w:rsidP="00DE6542">
            <w:pPr>
              <w:spacing w:after="0"/>
              <w:rPr>
                <w:rFonts w:eastAsia="Times New Roman" w:cs="Segoe UI"/>
                <w:kern w:val="0"/>
                <w14:ligatures w14:val="none"/>
              </w:rPr>
            </w:pPr>
            <w:r w:rsidRPr="006667BF">
              <w:rPr>
                <w:rFonts w:eastAsia="Times New Roman" w:cs="Segoe UI"/>
                <w:kern w:val="0"/>
                <w14:ligatures w14:val="none"/>
              </w:rPr>
              <w:t>Federal</w:t>
            </w:r>
            <w:r w:rsidR="006C6F09">
              <w:rPr>
                <w:rFonts w:eastAsia="Times New Roman" w:cs="Segoe UI"/>
                <w:kern w:val="0"/>
                <w14:ligatures w14:val="none"/>
              </w:rPr>
              <w:t xml:space="preserve"> </w:t>
            </w:r>
            <w:r w:rsidRPr="006667BF">
              <w:rPr>
                <w:rFonts w:eastAsia="Times New Roman" w:cs="Segoe UI"/>
                <w:kern w:val="0"/>
                <w14:ligatures w14:val="none"/>
              </w:rPr>
              <w:t>Highway</w:t>
            </w:r>
            <w:r w:rsidR="006C6F09">
              <w:rPr>
                <w:rFonts w:eastAsia="Times New Roman" w:cs="Segoe UI"/>
                <w:kern w:val="0"/>
                <w14:ligatures w14:val="none"/>
              </w:rPr>
              <w:t xml:space="preserve"> </w:t>
            </w:r>
            <w:r w:rsidRPr="006667BF">
              <w:rPr>
                <w:rFonts w:eastAsia="Times New Roman" w:cs="Segoe UI"/>
                <w:kern w:val="0"/>
                <w14:ligatures w14:val="none"/>
              </w:rPr>
              <w:t>Administration</w:t>
            </w:r>
          </w:p>
        </w:tc>
      </w:tr>
      <w:tr w:rsidR="004B71F5" w14:paraId="269BDC09"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11BB9AC9" w14:textId="5024355A" w:rsidR="004B71F5" w:rsidRDefault="004B71F5" w:rsidP="00263E76">
            <w:pPr>
              <w:spacing w:after="0"/>
              <w:rPr>
                <w:rFonts w:eastAsia="Times New Roman" w:cs="Segoe UI"/>
                <w:kern w:val="0"/>
                <w14:ligatures w14:val="none"/>
              </w:rPr>
            </w:pPr>
            <w:r>
              <w:rPr>
                <w:rFonts w:eastAsia="Times New Roman" w:cs="Segoe UI"/>
                <w:kern w:val="0"/>
                <w14:ligatures w14:val="none"/>
              </w:rPr>
              <w:t>HS</w:t>
            </w:r>
          </w:p>
        </w:tc>
        <w:tc>
          <w:tcPr>
            <w:tcW w:w="5485" w:type="dxa"/>
          </w:tcPr>
          <w:p w14:paraId="652DBC40" w14:textId="2DA2D823" w:rsidR="004B71F5" w:rsidRPr="006667BF" w:rsidRDefault="004B71F5" w:rsidP="00DE6542">
            <w:pPr>
              <w:spacing w:after="0"/>
              <w:rPr>
                <w:rFonts w:eastAsia="Times New Roman" w:cs="Segoe UI"/>
                <w:kern w:val="0"/>
                <w14:ligatures w14:val="none"/>
              </w:rPr>
            </w:pPr>
            <w:r>
              <w:rPr>
                <w:rFonts w:eastAsia="Times New Roman" w:cs="Segoe UI"/>
                <w:kern w:val="0"/>
                <w14:ligatures w14:val="none"/>
              </w:rPr>
              <w:t>High</w:t>
            </w:r>
            <w:r w:rsidR="006C6F09">
              <w:rPr>
                <w:rFonts w:eastAsia="Times New Roman" w:cs="Segoe UI"/>
                <w:kern w:val="0"/>
                <w14:ligatures w14:val="none"/>
              </w:rPr>
              <w:t xml:space="preserve"> </w:t>
            </w:r>
            <w:r>
              <w:rPr>
                <w:rFonts w:eastAsia="Times New Roman" w:cs="Segoe UI"/>
                <w:kern w:val="0"/>
                <w14:ligatures w14:val="none"/>
              </w:rPr>
              <w:t>Sc</w:t>
            </w:r>
            <w:r w:rsidR="0057584F">
              <w:rPr>
                <w:rFonts w:eastAsia="Times New Roman" w:cs="Segoe UI"/>
                <w:kern w:val="0"/>
                <w14:ligatures w14:val="none"/>
              </w:rPr>
              <w:t>hool</w:t>
            </w:r>
          </w:p>
        </w:tc>
      </w:tr>
      <w:tr w:rsidR="004B71F5" w14:paraId="2402D7A9"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030448CC" w14:textId="6B6358F1" w:rsidR="004B71F5" w:rsidRDefault="0057584F" w:rsidP="00263E76">
            <w:pPr>
              <w:spacing w:after="0"/>
              <w:rPr>
                <w:rFonts w:eastAsia="Times New Roman" w:cs="Segoe UI"/>
                <w:kern w:val="0"/>
                <w14:ligatures w14:val="none"/>
              </w:rPr>
            </w:pPr>
            <w:r>
              <w:rPr>
                <w:rFonts w:eastAsia="Times New Roman" w:cs="Segoe UI"/>
                <w:kern w:val="0"/>
                <w14:ligatures w14:val="none"/>
              </w:rPr>
              <w:t>LEP</w:t>
            </w:r>
          </w:p>
        </w:tc>
        <w:tc>
          <w:tcPr>
            <w:tcW w:w="5485" w:type="dxa"/>
          </w:tcPr>
          <w:p w14:paraId="566962DF" w14:textId="55C0D2F5" w:rsidR="004B71F5" w:rsidRPr="006667BF" w:rsidRDefault="0057584F" w:rsidP="00DE6542">
            <w:pPr>
              <w:spacing w:after="0"/>
              <w:rPr>
                <w:rFonts w:eastAsia="Times New Roman" w:cs="Segoe UI"/>
                <w:kern w:val="0"/>
                <w14:ligatures w14:val="none"/>
              </w:rPr>
            </w:pPr>
            <w:r>
              <w:rPr>
                <w:rFonts w:eastAsia="Times New Roman" w:cs="Segoe UI"/>
                <w:kern w:val="0"/>
                <w14:ligatures w14:val="none"/>
              </w:rPr>
              <w:t>L</w:t>
            </w:r>
            <w:r w:rsidRPr="006667BF">
              <w:rPr>
                <w:rFonts w:eastAsia="Times New Roman" w:cs="Segoe UI"/>
                <w:kern w:val="0"/>
                <w14:ligatures w14:val="none"/>
              </w:rPr>
              <w:t>imited</w:t>
            </w:r>
            <w:r w:rsidR="006C6F09">
              <w:rPr>
                <w:rFonts w:eastAsia="Times New Roman" w:cs="Segoe UI"/>
                <w:kern w:val="0"/>
                <w14:ligatures w14:val="none"/>
              </w:rPr>
              <w:t xml:space="preserve"> </w:t>
            </w:r>
            <w:r w:rsidRPr="006667BF">
              <w:rPr>
                <w:rFonts w:eastAsia="Times New Roman" w:cs="Segoe UI"/>
                <w:kern w:val="0"/>
                <w14:ligatures w14:val="none"/>
              </w:rPr>
              <w:t>English</w:t>
            </w:r>
            <w:r w:rsidR="006C6F09">
              <w:rPr>
                <w:rFonts w:eastAsia="Times New Roman" w:cs="Segoe UI"/>
                <w:kern w:val="0"/>
                <w14:ligatures w14:val="none"/>
              </w:rPr>
              <w:t xml:space="preserve"> </w:t>
            </w:r>
            <w:r w:rsidRPr="006667BF">
              <w:rPr>
                <w:rFonts w:eastAsia="Times New Roman" w:cs="Segoe UI"/>
                <w:kern w:val="0"/>
                <w14:ligatures w14:val="none"/>
              </w:rPr>
              <w:t>Proficient</w:t>
            </w:r>
          </w:p>
        </w:tc>
      </w:tr>
      <w:tr w:rsidR="0057584F" w14:paraId="63DC7FD6"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7AB2B78F" w14:textId="0F4E4C08" w:rsidR="0057584F" w:rsidRDefault="0057584F" w:rsidP="00263E76">
            <w:pPr>
              <w:spacing w:after="0"/>
              <w:rPr>
                <w:rFonts w:eastAsia="Times New Roman" w:cs="Segoe UI"/>
                <w:kern w:val="0"/>
                <w14:ligatures w14:val="none"/>
              </w:rPr>
            </w:pPr>
            <w:r>
              <w:rPr>
                <w:rFonts w:eastAsia="Times New Roman" w:cs="Segoe UI"/>
                <w:kern w:val="0"/>
                <w14:ligatures w14:val="none"/>
              </w:rPr>
              <w:lastRenderedPageBreak/>
              <w:t>MOU</w:t>
            </w:r>
          </w:p>
        </w:tc>
        <w:tc>
          <w:tcPr>
            <w:tcW w:w="5485" w:type="dxa"/>
          </w:tcPr>
          <w:p w14:paraId="3538ECAD" w14:textId="637364F4" w:rsidR="0057584F" w:rsidRPr="006667BF" w:rsidRDefault="0057584F" w:rsidP="00DE6542">
            <w:pPr>
              <w:spacing w:after="0"/>
              <w:rPr>
                <w:rFonts w:eastAsia="Times New Roman" w:cs="Segoe UI"/>
                <w:kern w:val="0"/>
                <w14:ligatures w14:val="none"/>
              </w:rPr>
            </w:pPr>
            <w:r w:rsidRPr="006667BF">
              <w:rPr>
                <w:rFonts w:eastAsia="Times New Roman" w:cs="Segoe UI"/>
                <w:kern w:val="0"/>
                <w14:ligatures w14:val="none"/>
              </w:rPr>
              <w:t>Memorandum</w:t>
            </w:r>
            <w:r w:rsidR="006C6F09">
              <w:rPr>
                <w:rFonts w:eastAsia="Times New Roman" w:cs="Segoe UI"/>
                <w:kern w:val="0"/>
                <w14:ligatures w14:val="none"/>
              </w:rPr>
              <w:t xml:space="preserve"> </w:t>
            </w:r>
            <w:r w:rsidRPr="006667BF">
              <w:rPr>
                <w:rFonts w:eastAsia="Times New Roman" w:cs="Segoe UI"/>
                <w:kern w:val="0"/>
                <w14:ligatures w14:val="none"/>
              </w:rPr>
              <w:t>of</w:t>
            </w:r>
            <w:r w:rsidR="006C6F09">
              <w:rPr>
                <w:rFonts w:eastAsia="Times New Roman" w:cs="Segoe UI"/>
                <w:kern w:val="0"/>
                <w14:ligatures w14:val="none"/>
              </w:rPr>
              <w:t xml:space="preserve"> </w:t>
            </w:r>
            <w:r w:rsidRPr="006667BF">
              <w:rPr>
                <w:rFonts w:eastAsia="Times New Roman" w:cs="Segoe UI"/>
                <w:kern w:val="0"/>
                <w14:ligatures w14:val="none"/>
              </w:rPr>
              <w:t>Understanding</w:t>
            </w:r>
          </w:p>
        </w:tc>
      </w:tr>
      <w:tr w:rsidR="0057584F" w14:paraId="04EC4380"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09516156" w14:textId="38B568D0" w:rsidR="0057584F" w:rsidRDefault="0057584F" w:rsidP="00263E76">
            <w:pPr>
              <w:spacing w:after="0"/>
              <w:rPr>
                <w:rFonts w:eastAsia="Times New Roman" w:cs="Segoe UI"/>
                <w:kern w:val="0"/>
                <w14:ligatures w14:val="none"/>
              </w:rPr>
            </w:pPr>
            <w:r>
              <w:rPr>
                <w:rFonts w:eastAsia="Times New Roman" w:cs="Segoe UI"/>
                <w:kern w:val="0"/>
                <w14:ligatures w14:val="none"/>
              </w:rPr>
              <w:t>MPO</w:t>
            </w:r>
          </w:p>
        </w:tc>
        <w:tc>
          <w:tcPr>
            <w:tcW w:w="5485" w:type="dxa"/>
          </w:tcPr>
          <w:p w14:paraId="120FD85E" w14:textId="3C1A767C" w:rsidR="0057584F" w:rsidRPr="006667BF" w:rsidRDefault="0057584F" w:rsidP="00DE6542">
            <w:pPr>
              <w:spacing w:after="0"/>
              <w:rPr>
                <w:rFonts w:eastAsia="Times New Roman" w:cs="Segoe UI"/>
                <w:kern w:val="0"/>
                <w14:ligatures w14:val="none"/>
              </w:rPr>
            </w:pPr>
            <w:r w:rsidRPr="006667BF">
              <w:rPr>
                <w:rFonts w:eastAsia="Times New Roman" w:cs="Segoe UI"/>
                <w:kern w:val="0"/>
                <w14:ligatures w14:val="none"/>
              </w:rPr>
              <w:t>Metropolitan</w:t>
            </w:r>
            <w:r w:rsidR="006C6F09">
              <w:rPr>
                <w:rFonts w:eastAsia="Times New Roman" w:cs="Segoe UI"/>
                <w:kern w:val="0"/>
                <w14:ligatures w14:val="none"/>
              </w:rPr>
              <w:t xml:space="preserve"> </w:t>
            </w:r>
            <w:r w:rsidRPr="006667BF">
              <w:rPr>
                <w:rFonts w:eastAsia="Times New Roman" w:cs="Segoe UI"/>
                <w:kern w:val="0"/>
                <w14:ligatures w14:val="none"/>
              </w:rPr>
              <w:t>Planning</w:t>
            </w:r>
            <w:r w:rsidR="006C6F09">
              <w:rPr>
                <w:rFonts w:eastAsia="Times New Roman" w:cs="Segoe UI"/>
                <w:kern w:val="0"/>
                <w14:ligatures w14:val="none"/>
              </w:rPr>
              <w:t xml:space="preserve"> </w:t>
            </w:r>
            <w:r w:rsidRPr="006667BF">
              <w:rPr>
                <w:rFonts w:eastAsia="Times New Roman" w:cs="Segoe UI"/>
                <w:kern w:val="0"/>
                <w14:ligatures w14:val="none"/>
              </w:rPr>
              <w:t>Organization</w:t>
            </w:r>
          </w:p>
        </w:tc>
      </w:tr>
      <w:tr w:rsidR="0057584F" w14:paraId="0EA88EA8"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36709DBB" w14:textId="58CBD2EC" w:rsidR="0057584F" w:rsidRDefault="0057584F" w:rsidP="00263E76">
            <w:pPr>
              <w:spacing w:after="0"/>
              <w:rPr>
                <w:rFonts w:eastAsia="Times New Roman" w:cs="Segoe UI"/>
                <w:kern w:val="0"/>
                <w14:ligatures w14:val="none"/>
              </w:rPr>
            </w:pPr>
            <w:r>
              <w:rPr>
                <w:rFonts w:eastAsia="Times New Roman" w:cs="Segoe UI"/>
                <w:kern w:val="0"/>
                <w14:ligatures w14:val="none"/>
              </w:rPr>
              <w:t>NAOPH</w:t>
            </w:r>
          </w:p>
        </w:tc>
        <w:tc>
          <w:tcPr>
            <w:tcW w:w="5485" w:type="dxa"/>
          </w:tcPr>
          <w:p w14:paraId="195FE388" w14:textId="5CF4DB40" w:rsidR="0057584F" w:rsidRPr="006667BF" w:rsidRDefault="0057584F" w:rsidP="00DE6542">
            <w:pPr>
              <w:spacing w:after="0"/>
              <w:rPr>
                <w:rFonts w:eastAsia="Times New Roman" w:cs="Segoe UI"/>
                <w:kern w:val="0"/>
                <w14:ligatures w14:val="none"/>
              </w:rPr>
            </w:pPr>
            <w:r w:rsidRPr="006667BF">
              <w:rPr>
                <w:rFonts w:eastAsia="Times New Roman" w:cs="Segoe UI"/>
                <w:kern w:val="0"/>
                <w14:ligatures w14:val="none"/>
              </w:rPr>
              <w:t>Notice</w:t>
            </w:r>
            <w:r w:rsidR="006C6F09">
              <w:rPr>
                <w:rFonts w:eastAsia="Times New Roman" w:cs="Segoe UI"/>
                <w:kern w:val="0"/>
                <w14:ligatures w14:val="none"/>
              </w:rPr>
              <w:t xml:space="preserve"> </w:t>
            </w:r>
            <w:r w:rsidRPr="006667BF">
              <w:rPr>
                <w:rFonts w:eastAsia="Times New Roman" w:cs="Segoe UI"/>
                <w:kern w:val="0"/>
                <w14:ligatures w14:val="none"/>
              </w:rPr>
              <w:t>Affording</w:t>
            </w:r>
            <w:r w:rsidR="006C6F09">
              <w:rPr>
                <w:rFonts w:eastAsia="Times New Roman" w:cs="Segoe UI"/>
                <w:kern w:val="0"/>
                <w14:ligatures w14:val="none"/>
              </w:rPr>
              <w:t xml:space="preserve"> </w:t>
            </w:r>
            <w:r w:rsidRPr="006667BF">
              <w:rPr>
                <w:rFonts w:eastAsia="Times New Roman" w:cs="Segoe UI"/>
                <w:kern w:val="0"/>
                <w14:ligatures w14:val="none"/>
              </w:rPr>
              <w:t>an</w:t>
            </w:r>
            <w:r w:rsidR="006C6F09">
              <w:rPr>
                <w:rFonts w:eastAsia="Times New Roman" w:cs="Segoe UI"/>
                <w:kern w:val="0"/>
                <w14:ligatures w14:val="none"/>
              </w:rPr>
              <w:t xml:space="preserve"> </w:t>
            </w:r>
            <w:r w:rsidRPr="006667BF">
              <w:rPr>
                <w:rFonts w:eastAsia="Times New Roman" w:cs="Segoe UI"/>
                <w:kern w:val="0"/>
                <w14:ligatures w14:val="none"/>
              </w:rPr>
              <w:t>Opportunity</w:t>
            </w:r>
            <w:r w:rsidR="006C6F09">
              <w:rPr>
                <w:rFonts w:eastAsia="Times New Roman" w:cs="Segoe UI"/>
                <w:kern w:val="0"/>
                <w14:ligatures w14:val="none"/>
              </w:rPr>
              <w:t xml:space="preserve"> </w:t>
            </w:r>
            <w:r w:rsidRPr="006667BF">
              <w:rPr>
                <w:rFonts w:eastAsia="Times New Roman" w:cs="Segoe UI"/>
                <w:kern w:val="0"/>
                <w14:ligatures w14:val="none"/>
              </w:rPr>
              <w:t>for</w:t>
            </w:r>
            <w:r w:rsidR="006C6F09">
              <w:rPr>
                <w:rFonts w:eastAsia="Times New Roman" w:cs="Segoe UI"/>
                <w:kern w:val="0"/>
                <w14:ligatures w14:val="none"/>
              </w:rPr>
              <w:t xml:space="preserve"> </w:t>
            </w:r>
            <w:r w:rsidRPr="006667BF">
              <w:rPr>
                <w:rFonts w:eastAsia="Times New Roman" w:cs="Segoe UI"/>
                <w:kern w:val="0"/>
                <w14:ligatures w14:val="none"/>
              </w:rPr>
              <w:t>Public</w:t>
            </w:r>
            <w:r w:rsidR="006C6F09">
              <w:rPr>
                <w:rFonts w:eastAsia="Times New Roman" w:cs="Segoe UI"/>
                <w:kern w:val="0"/>
                <w14:ligatures w14:val="none"/>
              </w:rPr>
              <w:t xml:space="preserve"> </w:t>
            </w:r>
            <w:r w:rsidRPr="006667BF">
              <w:rPr>
                <w:rFonts w:eastAsia="Times New Roman" w:cs="Segoe UI"/>
                <w:kern w:val="0"/>
                <w14:ligatures w14:val="none"/>
              </w:rPr>
              <w:t>Hearing</w:t>
            </w:r>
          </w:p>
        </w:tc>
      </w:tr>
      <w:tr w:rsidR="0057584F" w14:paraId="7F12CC6B"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2A0E1EAB" w14:textId="4E09D102" w:rsidR="0057584F" w:rsidRDefault="0057584F" w:rsidP="00263E76">
            <w:pPr>
              <w:spacing w:after="0"/>
              <w:rPr>
                <w:rFonts w:eastAsia="Times New Roman" w:cs="Segoe UI"/>
                <w:kern w:val="0"/>
                <w14:ligatures w14:val="none"/>
              </w:rPr>
            </w:pPr>
            <w:r>
              <w:rPr>
                <w:rFonts w:eastAsia="Times New Roman" w:cs="Segoe UI"/>
                <w:kern w:val="0"/>
                <w14:ligatures w14:val="none"/>
              </w:rPr>
              <w:t>NEPA</w:t>
            </w:r>
          </w:p>
        </w:tc>
        <w:tc>
          <w:tcPr>
            <w:tcW w:w="5485" w:type="dxa"/>
          </w:tcPr>
          <w:p w14:paraId="7ABB50AC" w14:textId="388C14B2" w:rsidR="0057584F" w:rsidRPr="006667BF" w:rsidRDefault="0057584F" w:rsidP="00DE6542">
            <w:pPr>
              <w:spacing w:after="0"/>
              <w:rPr>
                <w:rFonts w:eastAsia="Times New Roman" w:cs="Segoe UI"/>
                <w:kern w:val="0"/>
                <w14:ligatures w14:val="none"/>
              </w:rPr>
            </w:pPr>
            <w:r w:rsidRPr="006667BF">
              <w:rPr>
                <w:rFonts w:eastAsia="Times New Roman" w:cs="Segoe UI"/>
                <w:kern w:val="0"/>
                <w14:ligatures w14:val="none"/>
              </w:rPr>
              <w:t>National</w:t>
            </w:r>
            <w:r w:rsidR="006C6F09">
              <w:rPr>
                <w:rFonts w:eastAsia="Times New Roman" w:cs="Segoe UI"/>
                <w:kern w:val="0"/>
                <w14:ligatures w14:val="none"/>
              </w:rPr>
              <w:t xml:space="preserve"> </w:t>
            </w:r>
            <w:r w:rsidRPr="006667BF">
              <w:rPr>
                <w:rFonts w:eastAsia="Times New Roman" w:cs="Segoe UI"/>
                <w:kern w:val="0"/>
                <w14:ligatures w14:val="none"/>
              </w:rPr>
              <w:t>Environmental</w:t>
            </w:r>
            <w:r w:rsidR="006C6F09">
              <w:rPr>
                <w:rFonts w:eastAsia="Times New Roman" w:cs="Segoe UI"/>
                <w:kern w:val="0"/>
                <w14:ligatures w14:val="none"/>
              </w:rPr>
              <w:t xml:space="preserve"> </w:t>
            </w:r>
            <w:r w:rsidRPr="006667BF">
              <w:rPr>
                <w:rFonts w:eastAsia="Times New Roman" w:cs="Segoe UI"/>
                <w:kern w:val="0"/>
                <w14:ligatures w14:val="none"/>
              </w:rPr>
              <w:t>Policy</w:t>
            </w:r>
            <w:r w:rsidR="006C6F09">
              <w:rPr>
                <w:rFonts w:eastAsia="Times New Roman" w:cs="Segoe UI"/>
                <w:kern w:val="0"/>
                <w14:ligatures w14:val="none"/>
              </w:rPr>
              <w:t xml:space="preserve"> </w:t>
            </w:r>
            <w:r w:rsidRPr="006667BF">
              <w:rPr>
                <w:rFonts w:eastAsia="Times New Roman" w:cs="Segoe UI"/>
                <w:kern w:val="0"/>
                <w14:ligatures w14:val="none"/>
              </w:rPr>
              <w:t>Act</w:t>
            </w:r>
          </w:p>
        </w:tc>
      </w:tr>
      <w:tr w:rsidR="0057584F" w14:paraId="44EA26B3"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550DB4E9" w14:textId="5A9C05EC" w:rsidR="0057584F" w:rsidRDefault="0057584F" w:rsidP="00263E76">
            <w:pPr>
              <w:spacing w:after="0"/>
              <w:rPr>
                <w:rFonts w:eastAsia="Times New Roman" w:cs="Segoe UI"/>
                <w:kern w:val="0"/>
                <w14:ligatures w14:val="none"/>
              </w:rPr>
            </w:pPr>
            <w:r>
              <w:rPr>
                <w:rFonts w:eastAsia="Times New Roman" w:cs="Segoe UI"/>
                <w:kern w:val="0"/>
                <w14:ligatures w14:val="none"/>
              </w:rPr>
              <w:t>NHPA</w:t>
            </w:r>
          </w:p>
        </w:tc>
        <w:tc>
          <w:tcPr>
            <w:tcW w:w="5485" w:type="dxa"/>
          </w:tcPr>
          <w:p w14:paraId="09E22D22" w14:textId="7102C076" w:rsidR="0057584F" w:rsidRPr="006667BF" w:rsidRDefault="0057584F" w:rsidP="00DE6542">
            <w:pPr>
              <w:spacing w:after="0"/>
              <w:rPr>
                <w:rFonts w:eastAsia="Times New Roman" w:cs="Segoe UI"/>
                <w:kern w:val="0"/>
                <w14:ligatures w14:val="none"/>
              </w:rPr>
            </w:pPr>
            <w:r w:rsidRPr="006667BF">
              <w:rPr>
                <w:rFonts w:eastAsia="Times New Roman" w:cs="Segoe UI"/>
                <w:kern w:val="0"/>
                <w14:ligatures w14:val="none"/>
              </w:rPr>
              <w:t>National</w:t>
            </w:r>
            <w:r w:rsidR="006C6F09">
              <w:rPr>
                <w:rFonts w:eastAsia="Times New Roman" w:cs="Segoe UI"/>
                <w:kern w:val="0"/>
                <w14:ligatures w14:val="none"/>
              </w:rPr>
              <w:t xml:space="preserve"> </w:t>
            </w:r>
            <w:r w:rsidRPr="006667BF">
              <w:rPr>
                <w:rFonts w:eastAsia="Times New Roman" w:cs="Segoe UI"/>
                <w:kern w:val="0"/>
                <w14:ligatures w14:val="none"/>
              </w:rPr>
              <w:t>Historic</w:t>
            </w:r>
            <w:r w:rsidR="006C6F09">
              <w:rPr>
                <w:rFonts w:eastAsia="Times New Roman" w:cs="Segoe UI"/>
                <w:kern w:val="0"/>
                <w14:ligatures w14:val="none"/>
              </w:rPr>
              <w:t xml:space="preserve"> </w:t>
            </w:r>
            <w:r w:rsidRPr="006667BF">
              <w:rPr>
                <w:rFonts w:eastAsia="Times New Roman" w:cs="Segoe UI"/>
                <w:kern w:val="0"/>
                <w14:ligatures w14:val="none"/>
              </w:rPr>
              <w:t>Preservation</w:t>
            </w:r>
            <w:r w:rsidR="006C6F09">
              <w:rPr>
                <w:rFonts w:eastAsia="Times New Roman" w:cs="Segoe UI"/>
                <w:kern w:val="0"/>
                <w14:ligatures w14:val="none"/>
              </w:rPr>
              <w:t xml:space="preserve"> </w:t>
            </w:r>
            <w:r w:rsidRPr="006667BF">
              <w:rPr>
                <w:rFonts w:eastAsia="Times New Roman" w:cs="Segoe UI"/>
                <w:kern w:val="0"/>
                <w14:ligatures w14:val="none"/>
              </w:rPr>
              <w:t>Act</w:t>
            </w:r>
          </w:p>
        </w:tc>
      </w:tr>
      <w:tr w:rsidR="0057584F" w14:paraId="3EEA0A60"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39DA5180" w14:textId="0AEEBF42" w:rsidR="0057584F" w:rsidRDefault="0057584F" w:rsidP="00263E76">
            <w:pPr>
              <w:spacing w:after="0"/>
              <w:rPr>
                <w:rFonts w:eastAsia="Times New Roman" w:cs="Segoe UI"/>
                <w:kern w:val="0"/>
                <w14:ligatures w14:val="none"/>
              </w:rPr>
            </w:pPr>
            <w:r>
              <w:rPr>
                <w:rFonts w:eastAsia="Times New Roman" w:cs="Segoe UI"/>
                <w:kern w:val="0"/>
                <w14:ligatures w14:val="none"/>
              </w:rPr>
              <w:t>NOA</w:t>
            </w:r>
          </w:p>
        </w:tc>
        <w:tc>
          <w:tcPr>
            <w:tcW w:w="5485" w:type="dxa"/>
          </w:tcPr>
          <w:p w14:paraId="07756D2D" w14:textId="119E59DE" w:rsidR="0057584F" w:rsidRPr="006667BF" w:rsidRDefault="0057584F" w:rsidP="00DE6542">
            <w:pPr>
              <w:spacing w:after="0"/>
              <w:rPr>
                <w:rFonts w:eastAsia="Times New Roman" w:cs="Segoe UI"/>
                <w:kern w:val="0"/>
                <w14:ligatures w14:val="none"/>
              </w:rPr>
            </w:pPr>
            <w:r w:rsidRPr="006667BF">
              <w:rPr>
                <w:rFonts w:eastAsia="Times New Roman" w:cs="Segoe UI"/>
                <w:kern w:val="0"/>
                <w14:ligatures w14:val="none"/>
              </w:rPr>
              <w:t>Notice</w:t>
            </w:r>
            <w:r w:rsidR="006C6F09">
              <w:rPr>
                <w:rFonts w:eastAsia="Times New Roman" w:cs="Segoe UI"/>
                <w:kern w:val="0"/>
                <w14:ligatures w14:val="none"/>
              </w:rPr>
              <w:t xml:space="preserve"> </w:t>
            </w:r>
            <w:r w:rsidRPr="006667BF">
              <w:rPr>
                <w:rFonts w:eastAsia="Times New Roman" w:cs="Segoe UI"/>
                <w:kern w:val="0"/>
                <w14:ligatures w14:val="none"/>
              </w:rPr>
              <w:t>of</w:t>
            </w:r>
            <w:r w:rsidR="006C6F09">
              <w:rPr>
                <w:rFonts w:eastAsia="Times New Roman" w:cs="Segoe UI"/>
                <w:kern w:val="0"/>
                <w14:ligatures w14:val="none"/>
              </w:rPr>
              <w:t xml:space="preserve"> </w:t>
            </w:r>
            <w:r w:rsidRPr="006667BF">
              <w:rPr>
                <w:rFonts w:eastAsia="Times New Roman" w:cs="Segoe UI"/>
                <w:kern w:val="0"/>
                <w14:ligatures w14:val="none"/>
              </w:rPr>
              <w:t>Availability</w:t>
            </w:r>
          </w:p>
        </w:tc>
      </w:tr>
      <w:tr w:rsidR="0057584F" w14:paraId="7EEC7A35"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198FB3B0" w14:textId="2F9CCF69" w:rsidR="0057584F" w:rsidRDefault="0057584F" w:rsidP="00263E76">
            <w:pPr>
              <w:spacing w:after="0"/>
              <w:rPr>
                <w:rFonts w:eastAsia="Times New Roman" w:cs="Segoe UI"/>
                <w:kern w:val="0"/>
                <w14:ligatures w14:val="none"/>
              </w:rPr>
            </w:pPr>
            <w:r>
              <w:rPr>
                <w:rFonts w:eastAsia="Times New Roman" w:cs="Segoe UI"/>
                <w:kern w:val="0"/>
                <w14:ligatures w14:val="none"/>
              </w:rPr>
              <w:t>NOI</w:t>
            </w:r>
          </w:p>
        </w:tc>
        <w:tc>
          <w:tcPr>
            <w:tcW w:w="5485" w:type="dxa"/>
          </w:tcPr>
          <w:p w14:paraId="38ED33E4" w14:textId="02EA5BD0" w:rsidR="0057584F" w:rsidRPr="006667BF" w:rsidRDefault="0057584F" w:rsidP="00DE6542">
            <w:pPr>
              <w:spacing w:after="0"/>
              <w:rPr>
                <w:rFonts w:eastAsia="Times New Roman" w:cs="Segoe UI"/>
                <w:kern w:val="0"/>
                <w14:ligatures w14:val="none"/>
              </w:rPr>
            </w:pPr>
            <w:r w:rsidRPr="006667BF">
              <w:rPr>
                <w:rFonts w:eastAsia="Times New Roman" w:cs="Segoe UI"/>
                <w:kern w:val="0"/>
                <w14:ligatures w14:val="none"/>
              </w:rPr>
              <w:t>Notice</w:t>
            </w:r>
            <w:r w:rsidR="006C6F09">
              <w:rPr>
                <w:rFonts w:eastAsia="Times New Roman" w:cs="Segoe UI"/>
                <w:kern w:val="0"/>
                <w14:ligatures w14:val="none"/>
              </w:rPr>
              <w:t xml:space="preserve"> </w:t>
            </w:r>
            <w:r w:rsidRPr="006667BF">
              <w:rPr>
                <w:rFonts w:eastAsia="Times New Roman" w:cs="Segoe UI"/>
                <w:kern w:val="0"/>
                <w14:ligatures w14:val="none"/>
              </w:rPr>
              <w:t>of</w:t>
            </w:r>
            <w:r w:rsidR="006C6F09">
              <w:rPr>
                <w:rFonts w:eastAsia="Times New Roman" w:cs="Segoe UI"/>
                <w:kern w:val="0"/>
                <w14:ligatures w14:val="none"/>
              </w:rPr>
              <w:t xml:space="preserve"> </w:t>
            </w:r>
            <w:r w:rsidRPr="006667BF">
              <w:rPr>
                <w:rFonts w:eastAsia="Times New Roman" w:cs="Segoe UI"/>
                <w:kern w:val="0"/>
                <w14:ligatures w14:val="none"/>
              </w:rPr>
              <w:t>Intent</w:t>
            </w:r>
          </w:p>
        </w:tc>
      </w:tr>
      <w:tr w:rsidR="0057584F" w14:paraId="0C5E4152"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3F686E91" w14:textId="2FB043C9" w:rsidR="0057584F" w:rsidRDefault="0057584F" w:rsidP="00263E76">
            <w:pPr>
              <w:spacing w:after="0"/>
              <w:rPr>
                <w:rFonts w:eastAsia="Times New Roman" w:cs="Segoe UI"/>
                <w:kern w:val="0"/>
                <w14:ligatures w14:val="none"/>
              </w:rPr>
            </w:pPr>
            <w:r>
              <w:rPr>
                <w:rFonts w:eastAsia="Times New Roman" w:cs="Segoe UI"/>
                <w:kern w:val="0"/>
                <w14:ligatures w14:val="none"/>
              </w:rPr>
              <w:t>NRC</w:t>
            </w:r>
          </w:p>
        </w:tc>
        <w:tc>
          <w:tcPr>
            <w:tcW w:w="5485" w:type="dxa"/>
          </w:tcPr>
          <w:p w14:paraId="24668738" w14:textId="6DA93655" w:rsidR="0057584F" w:rsidRPr="006667BF" w:rsidRDefault="0057584F" w:rsidP="00DE6542">
            <w:pPr>
              <w:spacing w:after="0"/>
              <w:rPr>
                <w:rFonts w:eastAsia="Times New Roman" w:cs="Segoe UI"/>
                <w:kern w:val="0"/>
                <w14:ligatures w14:val="none"/>
              </w:rPr>
            </w:pPr>
            <w:r>
              <w:rPr>
                <w:rFonts w:eastAsia="Times New Roman" w:cs="Segoe UI"/>
                <w:kern w:val="0"/>
                <w14:ligatures w14:val="none"/>
              </w:rPr>
              <w:t>Natural</w:t>
            </w:r>
            <w:r w:rsidR="006C6F09">
              <w:rPr>
                <w:rFonts w:eastAsia="Times New Roman" w:cs="Segoe UI"/>
                <w:kern w:val="0"/>
                <w14:ligatures w14:val="none"/>
              </w:rPr>
              <w:t xml:space="preserve"> </w:t>
            </w:r>
            <w:r>
              <w:rPr>
                <w:rFonts w:eastAsia="Times New Roman" w:cs="Segoe UI"/>
                <w:kern w:val="0"/>
                <w14:ligatures w14:val="none"/>
              </w:rPr>
              <w:t>Resources</w:t>
            </w:r>
            <w:r w:rsidR="006C6F09">
              <w:rPr>
                <w:rFonts w:eastAsia="Times New Roman" w:cs="Segoe UI"/>
                <w:kern w:val="0"/>
                <w14:ligatures w14:val="none"/>
              </w:rPr>
              <w:t xml:space="preserve"> </w:t>
            </w:r>
            <w:r>
              <w:rPr>
                <w:rFonts w:eastAsia="Times New Roman" w:cs="Segoe UI"/>
                <w:kern w:val="0"/>
                <w14:ligatures w14:val="none"/>
              </w:rPr>
              <w:t>Code</w:t>
            </w:r>
          </w:p>
        </w:tc>
      </w:tr>
      <w:tr w:rsidR="0057584F" w14:paraId="0967A837"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68A17C3A" w14:textId="42AF2A27" w:rsidR="0057584F" w:rsidRDefault="0057584F" w:rsidP="00263E76">
            <w:pPr>
              <w:spacing w:after="0"/>
              <w:rPr>
                <w:rFonts w:eastAsia="Times New Roman" w:cs="Segoe UI"/>
                <w:kern w:val="0"/>
                <w14:ligatures w14:val="none"/>
              </w:rPr>
            </w:pPr>
            <w:r>
              <w:rPr>
                <w:rFonts w:eastAsia="Times New Roman" w:cs="Segoe UI"/>
                <w:kern w:val="0"/>
                <w14:ligatures w14:val="none"/>
              </w:rPr>
              <w:t>PIO</w:t>
            </w:r>
          </w:p>
        </w:tc>
        <w:tc>
          <w:tcPr>
            <w:tcW w:w="5485" w:type="dxa"/>
          </w:tcPr>
          <w:p w14:paraId="1627A167" w14:textId="13A1A3DD" w:rsidR="0057584F" w:rsidRPr="006667BF" w:rsidRDefault="0057584F" w:rsidP="00DE6542">
            <w:pPr>
              <w:spacing w:after="0"/>
              <w:rPr>
                <w:rFonts w:eastAsia="Times New Roman" w:cs="Segoe UI"/>
                <w:kern w:val="0"/>
                <w14:ligatures w14:val="none"/>
              </w:rPr>
            </w:pPr>
            <w:r>
              <w:rPr>
                <w:rFonts w:eastAsia="Times New Roman" w:cs="Segoe UI"/>
                <w:kern w:val="0"/>
                <w14:ligatures w14:val="none"/>
              </w:rPr>
              <w:t>Public</w:t>
            </w:r>
            <w:r w:rsidR="006C6F09">
              <w:rPr>
                <w:rFonts w:eastAsia="Times New Roman" w:cs="Segoe UI"/>
                <w:kern w:val="0"/>
                <w14:ligatures w14:val="none"/>
              </w:rPr>
              <w:t xml:space="preserve"> </w:t>
            </w:r>
            <w:r>
              <w:rPr>
                <w:rFonts w:eastAsia="Times New Roman" w:cs="Segoe UI"/>
                <w:kern w:val="0"/>
                <w14:ligatures w14:val="none"/>
              </w:rPr>
              <w:t>Information</w:t>
            </w:r>
            <w:r w:rsidR="006C6F09">
              <w:rPr>
                <w:rFonts w:eastAsia="Times New Roman" w:cs="Segoe UI"/>
                <w:kern w:val="0"/>
                <w14:ligatures w14:val="none"/>
              </w:rPr>
              <w:t xml:space="preserve"> </w:t>
            </w:r>
            <w:r>
              <w:rPr>
                <w:rFonts w:eastAsia="Times New Roman" w:cs="Segoe UI"/>
                <w:kern w:val="0"/>
                <w14:ligatures w14:val="none"/>
              </w:rPr>
              <w:t>Office</w:t>
            </w:r>
          </w:p>
        </w:tc>
      </w:tr>
      <w:tr w:rsidR="0057584F" w14:paraId="62B42AC6"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6DF40994" w14:textId="3B18222A" w:rsidR="0057584F" w:rsidRDefault="0057584F" w:rsidP="00263E76">
            <w:pPr>
              <w:spacing w:after="0"/>
              <w:rPr>
                <w:rFonts w:eastAsia="Times New Roman" w:cs="Segoe UI"/>
                <w:kern w:val="0"/>
                <w14:ligatures w14:val="none"/>
              </w:rPr>
            </w:pPr>
            <w:r>
              <w:rPr>
                <w:rFonts w:eastAsia="Times New Roman" w:cs="Segoe UI"/>
                <w:kern w:val="0"/>
                <w14:ligatures w14:val="none"/>
              </w:rPr>
              <w:t>PI</w:t>
            </w:r>
            <w:r w:rsidR="006C6F09">
              <w:rPr>
                <w:rFonts w:eastAsia="Times New Roman" w:cs="Segoe UI"/>
                <w:kern w:val="0"/>
                <w14:ligatures w14:val="none"/>
              </w:rPr>
              <w:t xml:space="preserve"> </w:t>
            </w:r>
            <w:r>
              <w:rPr>
                <w:rFonts w:eastAsia="Times New Roman" w:cs="Segoe UI"/>
                <w:kern w:val="0"/>
                <w14:ligatures w14:val="none"/>
              </w:rPr>
              <w:t>Section</w:t>
            </w:r>
          </w:p>
        </w:tc>
        <w:tc>
          <w:tcPr>
            <w:tcW w:w="5485" w:type="dxa"/>
          </w:tcPr>
          <w:p w14:paraId="46205D9D" w14:textId="73D0FCF2" w:rsidR="0057584F" w:rsidRPr="006667BF" w:rsidRDefault="0057584F" w:rsidP="00DE6542">
            <w:pPr>
              <w:spacing w:after="0"/>
              <w:rPr>
                <w:rFonts w:eastAsia="Times New Roman" w:cs="Segoe UI"/>
                <w:kern w:val="0"/>
                <w14:ligatures w14:val="none"/>
              </w:rPr>
            </w:pPr>
            <w:r w:rsidRPr="006667BF">
              <w:rPr>
                <w:rFonts w:eastAsia="Times New Roman" w:cs="Segoe UI"/>
                <w:kern w:val="0"/>
                <w14:ligatures w14:val="none"/>
              </w:rPr>
              <w:t>Public</w:t>
            </w:r>
            <w:r w:rsidR="006C6F09">
              <w:rPr>
                <w:rFonts w:eastAsia="Times New Roman" w:cs="Segoe UI"/>
                <w:kern w:val="0"/>
                <w14:ligatures w14:val="none"/>
              </w:rPr>
              <w:t xml:space="preserve"> </w:t>
            </w:r>
            <w:r w:rsidRPr="006667BF">
              <w:rPr>
                <w:rFonts w:eastAsia="Times New Roman" w:cs="Segoe UI"/>
                <w:kern w:val="0"/>
                <w14:ligatures w14:val="none"/>
              </w:rPr>
              <w:t>Involvement</w:t>
            </w:r>
            <w:r w:rsidR="006C6F09">
              <w:rPr>
                <w:rFonts w:eastAsia="Times New Roman" w:cs="Segoe UI"/>
                <w:kern w:val="0"/>
                <w14:ligatures w14:val="none"/>
              </w:rPr>
              <w:t xml:space="preserve"> </w:t>
            </w:r>
            <w:r w:rsidRPr="006667BF">
              <w:rPr>
                <w:rFonts w:eastAsia="Times New Roman" w:cs="Segoe UI"/>
                <w:kern w:val="0"/>
                <w14:ligatures w14:val="none"/>
              </w:rPr>
              <w:t>Section,</w:t>
            </w:r>
            <w:r w:rsidR="006C6F09">
              <w:rPr>
                <w:rFonts w:eastAsia="Times New Roman" w:cs="Segoe UI"/>
                <w:kern w:val="0"/>
                <w14:ligatures w14:val="none"/>
              </w:rPr>
              <w:t xml:space="preserve"> </w:t>
            </w:r>
            <w:r w:rsidRPr="006667BF">
              <w:rPr>
                <w:rFonts w:eastAsia="Times New Roman" w:cs="Segoe UI"/>
                <w:kern w:val="0"/>
                <w14:ligatures w14:val="none"/>
              </w:rPr>
              <w:t>Transportation</w:t>
            </w:r>
            <w:r w:rsidR="006C6F09">
              <w:rPr>
                <w:rFonts w:eastAsia="Times New Roman" w:cs="Segoe UI"/>
                <w:kern w:val="0"/>
                <w14:ligatures w14:val="none"/>
              </w:rPr>
              <w:t xml:space="preserve"> </w:t>
            </w:r>
            <w:r w:rsidRPr="006667BF">
              <w:rPr>
                <w:rFonts w:eastAsia="Times New Roman" w:cs="Segoe UI"/>
                <w:kern w:val="0"/>
                <w14:ligatures w14:val="none"/>
              </w:rPr>
              <w:t>Planning</w:t>
            </w:r>
            <w:r w:rsidR="006C6F09">
              <w:rPr>
                <w:rFonts w:eastAsia="Times New Roman" w:cs="Segoe UI"/>
                <w:kern w:val="0"/>
                <w14:ligatures w14:val="none"/>
              </w:rPr>
              <w:t xml:space="preserve"> </w:t>
            </w:r>
            <w:r w:rsidRPr="006667BF">
              <w:rPr>
                <w:rFonts w:eastAsia="Times New Roman" w:cs="Segoe UI"/>
                <w:kern w:val="0"/>
                <w14:ligatures w14:val="none"/>
              </w:rPr>
              <w:t>and</w:t>
            </w:r>
            <w:r w:rsidR="006C6F09">
              <w:rPr>
                <w:rFonts w:eastAsia="Times New Roman" w:cs="Segoe UI"/>
                <w:kern w:val="0"/>
                <w14:ligatures w14:val="none"/>
              </w:rPr>
              <w:t xml:space="preserve"> </w:t>
            </w:r>
            <w:r w:rsidRPr="006667BF">
              <w:rPr>
                <w:rFonts w:eastAsia="Times New Roman" w:cs="Segoe UI"/>
                <w:kern w:val="0"/>
                <w14:ligatures w14:val="none"/>
              </w:rPr>
              <w:t>Programming</w:t>
            </w:r>
            <w:r w:rsidR="006C6F09">
              <w:rPr>
                <w:rFonts w:eastAsia="Times New Roman" w:cs="Segoe UI"/>
                <w:kern w:val="0"/>
                <w14:ligatures w14:val="none"/>
              </w:rPr>
              <w:t xml:space="preserve"> </w:t>
            </w:r>
            <w:r w:rsidRPr="006667BF">
              <w:rPr>
                <w:rFonts w:eastAsia="Times New Roman" w:cs="Segoe UI"/>
                <w:kern w:val="0"/>
                <w14:ligatures w14:val="none"/>
              </w:rPr>
              <w:t>Division</w:t>
            </w:r>
          </w:p>
        </w:tc>
      </w:tr>
      <w:tr w:rsidR="0057584F" w14:paraId="00D07204"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7ECBD58E" w14:textId="27675B75" w:rsidR="0057584F" w:rsidRDefault="0057584F" w:rsidP="00263E76">
            <w:pPr>
              <w:spacing w:after="0"/>
              <w:rPr>
                <w:rFonts w:eastAsia="Times New Roman" w:cs="Segoe UI"/>
                <w:kern w:val="0"/>
                <w14:ligatures w14:val="none"/>
              </w:rPr>
            </w:pPr>
            <w:r>
              <w:rPr>
                <w:rFonts w:eastAsia="Times New Roman" w:cs="Segoe UI"/>
                <w:kern w:val="0"/>
                <w14:ligatures w14:val="none"/>
              </w:rPr>
              <w:t>PWC</w:t>
            </w:r>
          </w:p>
        </w:tc>
        <w:tc>
          <w:tcPr>
            <w:tcW w:w="5485" w:type="dxa"/>
          </w:tcPr>
          <w:p w14:paraId="6CCC9DD9" w14:textId="7C635EB5" w:rsidR="0057584F" w:rsidRPr="006667BF" w:rsidRDefault="0057584F" w:rsidP="00DE6542">
            <w:pPr>
              <w:spacing w:after="0"/>
              <w:rPr>
                <w:rFonts w:eastAsia="Times New Roman" w:cs="Segoe UI"/>
                <w:kern w:val="0"/>
                <w14:ligatures w14:val="none"/>
              </w:rPr>
            </w:pPr>
            <w:r>
              <w:rPr>
                <w:rFonts w:eastAsia="Times New Roman" w:cs="Segoe UI"/>
                <w:kern w:val="0"/>
                <w14:ligatures w14:val="none"/>
              </w:rPr>
              <w:t>Parks</w:t>
            </w:r>
            <w:r w:rsidR="006C6F09">
              <w:rPr>
                <w:rFonts w:eastAsia="Times New Roman" w:cs="Segoe UI"/>
                <w:kern w:val="0"/>
                <w14:ligatures w14:val="none"/>
              </w:rPr>
              <w:t xml:space="preserve"> </w:t>
            </w:r>
            <w:r>
              <w:rPr>
                <w:rFonts w:eastAsia="Times New Roman" w:cs="Segoe UI"/>
                <w:kern w:val="0"/>
                <w14:ligatures w14:val="none"/>
              </w:rPr>
              <w:t>and</w:t>
            </w:r>
            <w:r w:rsidR="006C6F09">
              <w:rPr>
                <w:rFonts w:eastAsia="Times New Roman" w:cs="Segoe UI"/>
                <w:kern w:val="0"/>
                <w14:ligatures w14:val="none"/>
              </w:rPr>
              <w:t xml:space="preserve"> </w:t>
            </w:r>
            <w:r>
              <w:rPr>
                <w:rFonts w:eastAsia="Times New Roman" w:cs="Segoe UI"/>
                <w:kern w:val="0"/>
                <w14:ligatures w14:val="none"/>
              </w:rPr>
              <w:t>Wildlife</w:t>
            </w:r>
            <w:r w:rsidR="006C6F09">
              <w:rPr>
                <w:rFonts w:eastAsia="Times New Roman" w:cs="Segoe UI"/>
                <w:kern w:val="0"/>
                <w14:ligatures w14:val="none"/>
              </w:rPr>
              <w:t xml:space="preserve"> </w:t>
            </w:r>
            <w:r>
              <w:rPr>
                <w:rFonts w:eastAsia="Times New Roman" w:cs="Segoe UI"/>
                <w:kern w:val="0"/>
                <w14:ligatures w14:val="none"/>
              </w:rPr>
              <w:t>Code</w:t>
            </w:r>
          </w:p>
        </w:tc>
      </w:tr>
      <w:tr w:rsidR="0057584F" w14:paraId="78CEBF19"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29C7B8E3" w14:textId="737DB3B8" w:rsidR="0057584F" w:rsidRDefault="0057584F" w:rsidP="00263E76">
            <w:pPr>
              <w:spacing w:after="0"/>
              <w:rPr>
                <w:rFonts w:eastAsia="Times New Roman" w:cs="Segoe UI"/>
                <w:kern w:val="0"/>
                <w14:ligatures w14:val="none"/>
              </w:rPr>
            </w:pPr>
            <w:r>
              <w:rPr>
                <w:rFonts w:eastAsia="Times New Roman" w:cs="Segoe UI"/>
                <w:kern w:val="0"/>
                <w14:ligatures w14:val="none"/>
              </w:rPr>
              <w:t>ROD</w:t>
            </w:r>
          </w:p>
        </w:tc>
        <w:tc>
          <w:tcPr>
            <w:tcW w:w="5485" w:type="dxa"/>
          </w:tcPr>
          <w:p w14:paraId="6E0CB6D3" w14:textId="1733C975" w:rsidR="0057584F" w:rsidRDefault="0057584F" w:rsidP="00DE6542">
            <w:pPr>
              <w:spacing w:after="0"/>
              <w:rPr>
                <w:rFonts w:eastAsia="Times New Roman" w:cs="Segoe UI"/>
                <w:kern w:val="0"/>
                <w14:ligatures w14:val="none"/>
              </w:rPr>
            </w:pPr>
            <w:r>
              <w:rPr>
                <w:rFonts w:eastAsia="Times New Roman" w:cs="Segoe UI"/>
                <w:kern w:val="0"/>
                <w14:ligatures w14:val="none"/>
              </w:rPr>
              <w:t>Record</w:t>
            </w:r>
            <w:r w:rsidR="006C6F09">
              <w:rPr>
                <w:rFonts w:eastAsia="Times New Roman" w:cs="Segoe UI"/>
                <w:kern w:val="0"/>
                <w14:ligatures w14:val="none"/>
              </w:rPr>
              <w:t xml:space="preserve"> </w:t>
            </w:r>
            <w:r>
              <w:rPr>
                <w:rFonts w:eastAsia="Times New Roman" w:cs="Segoe UI"/>
                <w:kern w:val="0"/>
                <w14:ligatures w14:val="none"/>
              </w:rPr>
              <w:t>of</w:t>
            </w:r>
            <w:r w:rsidR="006C6F09">
              <w:rPr>
                <w:rFonts w:eastAsia="Times New Roman" w:cs="Segoe UI"/>
                <w:kern w:val="0"/>
                <w14:ligatures w14:val="none"/>
              </w:rPr>
              <w:t xml:space="preserve"> </w:t>
            </w:r>
            <w:r>
              <w:rPr>
                <w:rFonts w:eastAsia="Times New Roman" w:cs="Segoe UI"/>
                <w:kern w:val="0"/>
                <w14:ligatures w14:val="none"/>
              </w:rPr>
              <w:t>Dec</w:t>
            </w:r>
            <w:r w:rsidR="00481C57">
              <w:rPr>
                <w:rFonts w:eastAsia="Times New Roman" w:cs="Segoe UI"/>
                <w:kern w:val="0"/>
                <w14:ligatures w14:val="none"/>
              </w:rPr>
              <w:t>ision</w:t>
            </w:r>
          </w:p>
        </w:tc>
      </w:tr>
      <w:tr w:rsidR="00481C57" w14:paraId="3C29FD19"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554BC159" w14:textId="6945F3B7" w:rsidR="00481C57" w:rsidRDefault="00481C57" w:rsidP="00263E76">
            <w:pPr>
              <w:spacing w:after="0"/>
              <w:rPr>
                <w:rFonts w:eastAsia="Times New Roman" w:cs="Segoe UI"/>
                <w:kern w:val="0"/>
                <w14:ligatures w14:val="none"/>
              </w:rPr>
            </w:pPr>
            <w:r>
              <w:rPr>
                <w:rFonts w:eastAsia="Times New Roman" w:cs="Segoe UI"/>
                <w:kern w:val="0"/>
                <w14:ligatures w14:val="none"/>
              </w:rPr>
              <w:t>ROW</w:t>
            </w:r>
          </w:p>
        </w:tc>
        <w:tc>
          <w:tcPr>
            <w:tcW w:w="5485" w:type="dxa"/>
          </w:tcPr>
          <w:p w14:paraId="56455064" w14:textId="11498536" w:rsidR="00481C57" w:rsidRDefault="00481C57" w:rsidP="00DE6542">
            <w:pPr>
              <w:spacing w:after="0"/>
              <w:rPr>
                <w:rFonts w:eastAsia="Times New Roman" w:cs="Segoe UI"/>
                <w:kern w:val="0"/>
                <w14:ligatures w14:val="none"/>
              </w:rPr>
            </w:pPr>
            <w:r>
              <w:rPr>
                <w:rFonts w:eastAsia="Times New Roman" w:cs="Segoe UI"/>
                <w:kern w:val="0"/>
                <w14:ligatures w14:val="none"/>
              </w:rPr>
              <w:t>Right-of-Way</w:t>
            </w:r>
          </w:p>
        </w:tc>
      </w:tr>
      <w:tr w:rsidR="00481C57" w14:paraId="338026DC"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4DB6C24A" w14:textId="02944BD0" w:rsidR="00481C57" w:rsidRDefault="00481C57" w:rsidP="00263E76">
            <w:pPr>
              <w:spacing w:after="0"/>
              <w:rPr>
                <w:rFonts w:eastAsia="Times New Roman" w:cs="Segoe UI"/>
                <w:kern w:val="0"/>
                <w14:ligatures w14:val="none"/>
              </w:rPr>
            </w:pPr>
            <w:r>
              <w:rPr>
                <w:rFonts w:eastAsia="Times New Roman" w:cs="Segoe UI"/>
                <w:kern w:val="0"/>
                <w14:ligatures w14:val="none"/>
              </w:rPr>
              <w:t>TAC</w:t>
            </w:r>
          </w:p>
        </w:tc>
        <w:tc>
          <w:tcPr>
            <w:tcW w:w="5485" w:type="dxa"/>
          </w:tcPr>
          <w:p w14:paraId="774880BF" w14:textId="5FA3E4D3" w:rsidR="00481C57" w:rsidRDefault="00481C57" w:rsidP="00DE6542">
            <w:pPr>
              <w:spacing w:after="0"/>
              <w:rPr>
                <w:rFonts w:eastAsia="Times New Roman" w:cs="Segoe UI"/>
                <w:kern w:val="0"/>
                <w14:ligatures w14:val="none"/>
              </w:rPr>
            </w:pPr>
            <w:r>
              <w:rPr>
                <w:rFonts w:eastAsia="Times New Roman" w:cs="Segoe UI"/>
                <w:kern w:val="0"/>
                <w14:ligatures w14:val="none"/>
              </w:rPr>
              <w:t>Texas</w:t>
            </w:r>
            <w:r w:rsidR="006C6F09">
              <w:rPr>
                <w:rFonts w:eastAsia="Times New Roman" w:cs="Segoe UI"/>
                <w:kern w:val="0"/>
                <w14:ligatures w14:val="none"/>
              </w:rPr>
              <w:t xml:space="preserve"> </w:t>
            </w:r>
            <w:r>
              <w:rPr>
                <w:rFonts w:eastAsia="Times New Roman" w:cs="Segoe UI"/>
                <w:kern w:val="0"/>
                <w14:ligatures w14:val="none"/>
              </w:rPr>
              <w:t>Administrative</w:t>
            </w:r>
            <w:r w:rsidR="006C6F09">
              <w:rPr>
                <w:rFonts w:eastAsia="Times New Roman" w:cs="Segoe UI"/>
                <w:kern w:val="0"/>
                <w14:ligatures w14:val="none"/>
              </w:rPr>
              <w:t xml:space="preserve"> </w:t>
            </w:r>
            <w:r>
              <w:rPr>
                <w:rFonts w:eastAsia="Times New Roman" w:cs="Segoe UI"/>
                <w:kern w:val="0"/>
                <w14:ligatures w14:val="none"/>
              </w:rPr>
              <w:t>Code</w:t>
            </w:r>
          </w:p>
        </w:tc>
      </w:tr>
      <w:tr w:rsidR="00481C57" w14:paraId="608D71B8"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4DBB3538" w14:textId="30D6E05F" w:rsidR="00481C57" w:rsidRDefault="00481C57" w:rsidP="00263E76">
            <w:pPr>
              <w:spacing w:after="0"/>
              <w:rPr>
                <w:rFonts w:eastAsia="Times New Roman" w:cs="Segoe UI"/>
                <w:kern w:val="0"/>
                <w14:ligatures w14:val="none"/>
              </w:rPr>
            </w:pPr>
            <w:r>
              <w:rPr>
                <w:rFonts w:eastAsia="Times New Roman" w:cs="Segoe UI"/>
                <w:kern w:val="0"/>
                <w14:ligatures w14:val="none"/>
              </w:rPr>
              <w:t>TPWD</w:t>
            </w:r>
          </w:p>
        </w:tc>
        <w:tc>
          <w:tcPr>
            <w:tcW w:w="5485" w:type="dxa"/>
          </w:tcPr>
          <w:p w14:paraId="21F574C5" w14:textId="5A3161F8" w:rsidR="00481C57" w:rsidRDefault="00481C57" w:rsidP="00DE6542">
            <w:pPr>
              <w:spacing w:after="0"/>
              <w:rPr>
                <w:rFonts w:eastAsia="Times New Roman" w:cs="Segoe UI"/>
                <w:kern w:val="0"/>
                <w14:ligatures w14:val="none"/>
              </w:rPr>
            </w:pPr>
            <w:r>
              <w:rPr>
                <w:rFonts w:eastAsia="Times New Roman" w:cs="Segoe UI"/>
                <w:kern w:val="0"/>
                <w14:ligatures w14:val="none"/>
              </w:rPr>
              <w:t>Texas</w:t>
            </w:r>
            <w:r w:rsidR="006C6F09">
              <w:rPr>
                <w:rFonts w:eastAsia="Times New Roman" w:cs="Segoe UI"/>
                <w:kern w:val="0"/>
                <w14:ligatures w14:val="none"/>
              </w:rPr>
              <w:t xml:space="preserve"> </w:t>
            </w:r>
            <w:r>
              <w:rPr>
                <w:rFonts w:eastAsia="Times New Roman" w:cs="Segoe UI"/>
                <w:kern w:val="0"/>
                <w14:ligatures w14:val="none"/>
              </w:rPr>
              <w:t>Parks</w:t>
            </w:r>
            <w:r w:rsidR="006C6F09">
              <w:rPr>
                <w:rFonts w:eastAsia="Times New Roman" w:cs="Segoe UI"/>
                <w:kern w:val="0"/>
                <w14:ligatures w14:val="none"/>
              </w:rPr>
              <w:t xml:space="preserve"> </w:t>
            </w:r>
            <w:r>
              <w:rPr>
                <w:rFonts w:eastAsia="Times New Roman" w:cs="Segoe UI"/>
                <w:kern w:val="0"/>
                <w14:ligatures w14:val="none"/>
              </w:rPr>
              <w:t>and</w:t>
            </w:r>
            <w:r w:rsidR="006C6F09">
              <w:rPr>
                <w:rFonts w:eastAsia="Times New Roman" w:cs="Segoe UI"/>
                <w:kern w:val="0"/>
                <w14:ligatures w14:val="none"/>
              </w:rPr>
              <w:t xml:space="preserve"> </w:t>
            </w:r>
            <w:r>
              <w:rPr>
                <w:rFonts w:eastAsia="Times New Roman" w:cs="Segoe UI"/>
                <w:kern w:val="0"/>
                <w14:ligatures w14:val="none"/>
              </w:rPr>
              <w:t>Wildlife</w:t>
            </w:r>
            <w:r w:rsidR="006C6F09">
              <w:rPr>
                <w:rFonts w:eastAsia="Times New Roman" w:cs="Segoe UI"/>
                <w:kern w:val="0"/>
                <w14:ligatures w14:val="none"/>
              </w:rPr>
              <w:t xml:space="preserve"> </w:t>
            </w:r>
            <w:r>
              <w:rPr>
                <w:rFonts w:eastAsia="Times New Roman" w:cs="Segoe UI"/>
                <w:kern w:val="0"/>
                <w14:ligatures w14:val="none"/>
              </w:rPr>
              <w:t>Department</w:t>
            </w:r>
          </w:p>
        </w:tc>
      </w:tr>
      <w:tr w:rsidR="00481C57" w14:paraId="27494E71" w14:textId="77777777" w:rsidTr="0042237E">
        <w:trPr>
          <w:cnfStyle w:val="000000100000" w:firstRow="0" w:lastRow="0" w:firstColumn="0" w:lastColumn="0" w:oddVBand="0" w:evenVBand="0" w:oddHBand="1" w:evenHBand="0" w:firstRowFirstColumn="0" w:firstRowLastColumn="0" w:lastRowFirstColumn="0" w:lastRowLastColumn="0"/>
        </w:trPr>
        <w:tc>
          <w:tcPr>
            <w:tcW w:w="3865" w:type="dxa"/>
          </w:tcPr>
          <w:p w14:paraId="6BF81CC7" w14:textId="00FFBAB7" w:rsidR="00481C57" w:rsidRDefault="00481C57" w:rsidP="00263E76">
            <w:pPr>
              <w:spacing w:after="0"/>
              <w:rPr>
                <w:rFonts w:eastAsia="Times New Roman" w:cs="Segoe UI"/>
                <w:kern w:val="0"/>
                <w14:ligatures w14:val="none"/>
              </w:rPr>
            </w:pPr>
            <w:r>
              <w:rPr>
                <w:rFonts w:eastAsia="Times New Roman" w:cs="Segoe UI"/>
                <w:kern w:val="0"/>
                <w14:ligatures w14:val="none"/>
              </w:rPr>
              <w:t>TxDOT</w:t>
            </w:r>
          </w:p>
        </w:tc>
        <w:tc>
          <w:tcPr>
            <w:tcW w:w="5485" w:type="dxa"/>
          </w:tcPr>
          <w:p w14:paraId="2874E386" w14:textId="10C49078" w:rsidR="00481C57" w:rsidRDefault="00481C57" w:rsidP="00DE6542">
            <w:pPr>
              <w:spacing w:after="0"/>
              <w:rPr>
                <w:rFonts w:eastAsia="Times New Roman" w:cs="Segoe UI"/>
                <w:kern w:val="0"/>
                <w14:ligatures w14:val="none"/>
              </w:rPr>
            </w:pPr>
            <w:r>
              <w:rPr>
                <w:rFonts w:eastAsia="Times New Roman" w:cs="Segoe UI"/>
                <w:kern w:val="0"/>
                <w14:ligatures w14:val="none"/>
              </w:rPr>
              <w:t>Texas</w:t>
            </w:r>
            <w:r w:rsidR="006C6F09">
              <w:rPr>
                <w:rFonts w:eastAsia="Times New Roman" w:cs="Segoe UI"/>
                <w:kern w:val="0"/>
                <w14:ligatures w14:val="none"/>
              </w:rPr>
              <w:t xml:space="preserve"> </w:t>
            </w:r>
            <w:r>
              <w:rPr>
                <w:rFonts w:eastAsia="Times New Roman" w:cs="Segoe UI"/>
                <w:kern w:val="0"/>
                <w14:ligatures w14:val="none"/>
              </w:rPr>
              <w:t>Department</w:t>
            </w:r>
            <w:r w:rsidR="006C6F09">
              <w:rPr>
                <w:rFonts w:eastAsia="Times New Roman" w:cs="Segoe UI"/>
                <w:kern w:val="0"/>
                <w14:ligatures w14:val="none"/>
              </w:rPr>
              <w:t xml:space="preserve"> </w:t>
            </w:r>
            <w:r>
              <w:rPr>
                <w:rFonts w:eastAsia="Times New Roman" w:cs="Segoe UI"/>
                <w:kern w:val="0"/>
                <w14:ligatures w14:val="none"/>
              </w:rPr>
              <w:t>of</w:t>
            </w:r>
            <w:r w:rsidR="006C6F09">
              <w:rPr>
                <w:rFonts w:eastAsia="Times New Roman" w:cs="Segoe UI"/>
                <w:kern w:val="0"/>
                <w14:ligatures w14:val="none"/>
              </w:rPr>
              <w:t xml:space="preserve"> </w:t>
            </w:r>
            <w:r>
              <w:rPr>
                <w:rFonts w:eastAsia="Times New Roman" w:cs="Segoe UI"/>
                <w:kern w:val="0"/>
                <w14:ligatures w14:val="none"/>
              </w:rPr>
              <w:t>Transportation</w:t>
            </w:r>
          </w:p>
        </w:tc>
      </w:tr>
      <w:tr w:rsidR="00481C57" w14:paraId="4D3A1DF3" w14:textId="77777777" w:rsidTr="0042237E">
        <w:trPr>
          <w:cnfStyle w:val="000000010000" w:firstRow="0" w:lastRow="0" w:firstColumn="0" w:lastColumn="0" w:oddVBand="0" w:evenVBand="0" w:oddHBand="0" w:evenHBand="1" w:firstRowFirstColumn="0" w:firstRowLastColumn="0" w:lastRowFirstColumn="0" w:lastRowLastColumn="0"/>
        </w:trPr>
        <w:tc>
          <w:tcPr>
            <w:tcW w:w="3865" w:type="dxa"/>
          </w:tcPr>
          <w:p w14:paraId="62BAA0BE" w14:textId="3B7F94C9" w:rsidR="00481C57" w:rsidRDefault="00481C57" w:rsidP="00263E76">
            <w:pPr>
              <w:spacing w:after="0"/>
              <w:rPr>
                <w:rFonts w:eastAsia="Times New Roman" w:cs="Segoe UI"/>
                <w:kern w:val="0"/>
                <w14:ligatures w14:val="none"/>
              </w:rPr>
            </w:pPr>
            <w:r>
              <w:rPr>
                <w:rFonts w:eastAsia="Times New Roman" w:cs="Segoe UI"/>
                <w:kern w:val="0"/>
                <w14:ligatures w14:val="none"/>
              </w:rPr>
              <w:t>USC</w:t>
            </w:r>
          </w:p>
        </w:tc>
        <w:tc>
          <w:tcPr>
            <w:tcW w:w="5485" w:type="dxa"/>
          </w:tcPr>
          <w:p w14:paraId="2CB595A1" w14:textId="3BA90927" w:rsidR="00481C57" w:rsidRDefault="00481C57" w:rsidP="00DE6542">
            <w:pPr>
              <w:spacing w:after="0"/>
              <w:rPr>
                <w:rFonts w:eastAsia="Times New Roman" w:cs="Segoe UI"/>
                <w:kern w:val="0"/>
                <w14:ligatures w14:val="none"/>
              </w:rPr>
            </w:pPr>
            <w:r>
              <w:rPr>
                <w:rFonts w:eastAsia="Times New Roman" w:cs="Segoe UI"/>
                <w:kern w:val="0"/>
                <w14:ligatures w14:val="none"/>
              </w:rPr>
              <w:t>United</w:t>
            </w:r>
            <w:r w:rsidR="006C6F09">
              <w:rPr>
                <w:rFonts w:eastAsia="Times New Roman" w:cs="Segoe UI"/>
                <w:kern w:val="0"/>
                <w14:ligatures w14:val="none"/>
              </w:rPr>
              <w:t xml:space="preserve"> </w:t>
            </w:r>
            <w:r>
              <w:rPr>
                <w:rFonts w:eastAsia="Times New Roman" w:cs="Segoe UI"/>
                <w:kern w:val="0"/>
                <w14:ligatures w14:val="none"/>
              </w:rPr>
              <w:t>States</w:t>
            </w:r>
            <w:r w:rsidR="006C6F09">
              <w:rPr>
                <w:rFonts w:eastAsia="Times New Roman" w:cs="Segoe UI"/>
                <w:kern w:val="0"/>
                <w14:ligatures w14:val="none"/>
              </w:rPr>
              <w:t xml:space="preserve"> </w:t>
            </w:r>
            <w:r>
              <w:rPr>
                <w:rFonts w:eastAsia="Times New Roman" w:cs="Segoe UI"/>
                <w:kern w:val="0"/>
                <w14:ligatures w14:val="none"/>
              </w:rPr>
              <w:t>Code</w:t>
            </w:r>
          </w:p>
        </w:tc>
      </w:tr>
    </w:tbl>
    <w:p w14:paraId="3C48F86C" w14:textId="690A397C" w:rsidR="00967F2F" w:rsidRDefault="00967F2F">
      <w:pPr>
        <w:spacing w:after="0" w:line="240" w:lineRule="auto"/>
      </w:pPr>
      <w:r>
        <w:br w:type="page"/>
      </w:r>
    </w:p>
    <w:p w14:paraId="3880ED90" w14:textId="2B837018" w:rsidR="00457754" w:rsidRDefault="00457754" w:rsidP="00457754">
      <w:pPr>
        <w:pStyle w:val="Heading2"/>
      </w:pPr>
      <w:bookmarkStart w:id="122" w:name="_Toc224026248"/>
      <w:r>
        <w:lastRenderedPageBreak/>
        <w:t>Revision</w:t>
      </w:r>
      <w:r w:rsidR="006C6F09">
        <w:t xml:space="preserve"> </w:t>
      </w:r>
      <w:r>
        <w:t>History</w:t>
      </w:r>
      <w:bookmarkEnd w:id="83"/>
      <w:bookmarkEnd w:id="122"/>
    </w:p>
    <w:p w14:paraId="09D71B90" w14:textId="0F9C8774" w:rsidR="00B010FC" w:rsidRPr="00C713F1" w:rsidRDefault="00B010FC" w:rsidP="00B010FC">
      <w:pPr>
        <w:pStyle w:val="Caption"/>
        <w:keepNext/>
        <w:rPr>
          <w:b/>
          <w:bCs/>
          <w:i w:val="0"/>
          <w:iCs w:val="0"/>
        </w:rPr>
      </w:pPr>
      <w:bookmarkStart w:id="123" w:name="_Toc220672416"/>
      <w:r w:rsidRPr="00C713F1">
        <w:rPr>
          <w:b/>
          <w:bCs/>
          <w:i w:val="0"/>
          <w:iCs w:val="0"/>
        </w:rPr>
        <w:t xml:space="preserve">Table </w:t>
      </w:r>
      <w:r w:rsidRPr="00C713F1">
        <w:rPr>
          <w:b/>
          <w:bCs/>
          <w:i w:val="0"/>
          <w:iCs w:val="0"/>
        </w:rPr>
        <w:fldChar w:fldCharType="begin"/>
      </w:r>
      <w:r w:rsidRPr="00C713F1">
        <w:rPr>
          <w:b/>
          <w:bCs/>
          <w:i w:val="0"/>
          <w:iCs w:val="0"/>
        </w:rPr>
        <w:instrText xml:space="preserve"> SEQ Table \* ARABIC </w:instrText>
      </w:r>
      <w:r w:rsidRPr="00C713F1">
        <w:rPr>
          <w:b/>
          <w:bCs/>
          <w:i w:val="0"/>
          <w:iCs w:val="0"/>
        </w:rPr>
        <w:fldChar w:fldCharType="separate"/>
      </w:r>
      <w:r w:rsidRPr="00C713F1">
        <w:rPr>
          <w:b/>
          <w:bCs/>
          <w:i w:val="0"/>
          <w:iCs w:val="0"/>
          <w:noProof/>
        </w:rPr>
        <w:t>2</w:t>
      </w:r>
      <w:r w:rsidRPr="00C713F1">
        <w:rPr>
          <w:b/>
          <w:bCs/>
          <w:i w:val="0"/>
          <w:iCs w:val="0"/>
        </w:rPr>
        <w:fldChar w:fldCharType="end"/>
      </w:r>
      <w:r w:rsidRPr="00C713F1">
        <w:rPr>
          <w:b/>
          <w:bCs/>
          <w:i w:val="0"/>
          <w:iCs w:val="0"/>
        </w:rPr>
        <w:t xml:space="preserve"> Document </w:t>
      </w:r>
      <w:r w:rsidR="003C2C54" w:rsidRPr="00C713F1">
        <w:rPr>
          <w:b/>
          <w:bCs/>
          <w:i w:val="0"/>
          <w:iCs w:val="0"/>
        </w:rPr>
        <w:t>r</w:t>
      </w:r>
      <w:r w:rsidRPr="00C713F1">
        <w:rPr>
          <w:b/>
          <w:bCs/>
          <w:i w:val="0"/>
          <w:iCs w:val="0"/>
        </w:rPr>
        <w:t xml:space="preserve">evision </w:t>
      </w:r>
      <w:r w:rsidR="003C2C54" w:rsidRPr="00C713F1">
        <w:rPr>
          <w:b/>
          <w:bCs/>
          <w:i w:val="0"/>
          <w:iCs w:val="0"/>
        </w:rPr>
        <w:t>h</w:t>
      </w:r>
      <w:r w:rsidRPr="00C713F1">
        <w:rPr>
          <w:b/>
          <w:bCs/>
          <w:i w:val="0"/>
          <w:iCs w:val="0"/>
        </w:rPr>
        <w:t>istory</w:t>
      </w:r>
      <w:bookmarkEnd w:id="123"/>
    </w:p>
    <w:tbl>
      <w:tblPr>
        <w:tblStyle w:val="ListTable3-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6244"/>
      </w:tblGrid>
      <w:tr w:rsidR="00457754" w14:paraId="781E969B" w14:textId="77777777" w:rsidTr="00263E7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61" w:type="pct"/>
            <w:tcBorders>
              <w:bottom w:val="none" w:sz="0" w:space="0" w:color="auto"/>
              <w:right w:val="none" w:sz="0" w:space="0" w:color="auto"/>
            </w:tcBorders>
          </w:tcPr>
          <w:p w14:paraId="5BABC5D8" w14:textId="76EE082D" w:rsidR="00457754" w:rsidRPr="00A07348" w:rsidRDefault="00457754" w:rsidP="004D6950">
            <w:r w:rsidRPr="00A07348">
              <w:t>Effective</w:t>
            </w:r>
            <w:r w:rsidR="006C6F09">
              <w:t xml:space="preserve"> </w:t>
            </w:r>
            <w:r w:rsidRPr="00A07348">
              <w:t>date</w:t>
            </w:r>
            <w:r w:rsidR="006C6F09">
              <w:t xml:space="preserve"> </w:t>
            </w:r>
            <w:r w:rsidRPr="00A07348">
              <w:t>(month</w:t>
            </w:r>
            <w:r w:rsidR="006C6F09">
              <w:t xml:space="preserve"> </w:t>
            </w:r>
            <w:r w:rsidRPr="00A07348">
              <w:t>year)</w:t>
            </w:r>
          </w:p>
        </w:tc>
        <w:tc>
          <w:tcPr>
            <w:tcW w:w="3339" w:type="pct"/>
          </w:tcPr>
          <w:p w14:paraId="67D1D67E" w14:textId="34B9CA95" w:rsidR="00457754" w:rsidRPr="00A07348" w:rsidRDefault="00457754" w:rsidP="004D6950">
            <w:pPr>
              <w:cnfStyle w:val="100000000000" w:firstRow="1" w:lastRow="0" w:firstColumn="0" w:lastColumn="0" w:oddVBand="0" w:evenVBand="0" w:oddHBand="0" w:evenHBand="0" w:firstRowFirstColumn="0" w:firstRowLastColumn="0" w:lastRowFirstColumn="0" w:lastRowLastColumn="0"/>
            </w:pPr>
            <w:r w:rsidRPr="00A07348">
              <w:t>Reason</w:t>
            </w:r>
            <w:r w:rsidR="006C6F09">
              <w:t xml:space="preserve"> </w:t>
            </w:r>
            <w:r w:rsidRPr="00A07348">
              <w:t>for</w:t>
            </w:r>
            <w:r w:rsidR="006C6F09">
              <w:t xml:space="preserve"> </w:t>
            </w:r>
            <w:r w:rsidRPr="00A07348">
              <w:t>and</w:t>
            </w:r>
            <w:r w:rsidR="006C6F09">
              <w:t xml:space="preserve"> </w:t>
            </w:r>
            <w:r w:rsidRPr="00A07348">
              <w:t>description</w:t>
            </w:r>
            <w:r w:rsidR="006C6F09">
              <w:t xml:space="preserve"> </w:t>
            </w:r>
            <w:r w:rsidRPr="00A07348">
              <w:t>of</w:t>
            </w:r>
            <w:r w:rsidR="006C6F09">
              <w:t xml:space="preserve"> </w:t>
            </w:r>
            <w:r w:rsidRPr="00A07348">
              <w:t>change</w:t>
            </w:r>
          </w:p>
        </w:tc>
      </w:tr>
      <w:tr w:rsidR="00457754" w14:paraId="21AFC091"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4884BBA8" w14:textId="569D80D5" w:rsidR="00457754" w:rsidRPr="00B75E30" w:rsidRDefault="00457754" w:rsidP="00263E76">
            <w:pPr>
              <w:rPr>
                <w:b w:val="0"/>
                <w:bCs w:val="0"/>
              </w:rPr>
            </w:pPr>
            <w:r w:rsidRPr="00B75E30">
              <w:rPr>
                <w:b w:val="0"/>
                <w:bCs w:val="0"/>
              </w:rPr>
              <w:t>April</w:t>
            </w:r>
            <w:r w:rsidR="006C6F09">
              <w:rPr>
                <w:b w:val="0"/>
                <w:bCs w:val="0"/>
              </w:rPr>
              <w:t xml:space="preserve"> </w:t>
            </w:r>
            <w:r w:rsidRPr="00B75E30">
              <w:rPr>
                <w:b w:val="0"/>
                <w:bCs w:val="0"/>
              </w:rPr>
              <w:t>2026</w:t>
            </w:r>
          </w:p>
        </w:tc>
        <w:tc>
          <w:tcPr>
            <w:tcW w:w="3339" w:type="pct"/>
            <w:shd w:val="clear" w:color="auto" w:fill="DADEE5"/>
          </w:tcPr>
          <w:p w14:paraId="272005E8" w14:textId="736448E3" w:rsidR="00457754" w:rsidRDefault="00457754" w:rsidP="004D6950">
            <w:pPr>
              <w:cnfStyle w:val="000000100000" w:firstRow="0" w:lastRow="0" w:firstColumn="0" w:lastColumn="0" w:oddVBand="0" w:evenVBand="0" w:oddHBand="1" w:evenHBand="0" w:firstRowFirstColumn="0" w:firstRowLastColumn="0" w:lastRowFirstColumn="0" w:lastRowLastColumn="0"/>
            </w:pPr>
            <w:r>
              <w:t>Version</w:t>
            </w:r>
            <w:r w:rsidR="006C6F09">
              <w:t xml:space="preserve"> </w:t>
            </w:r>
            <w:r>
              <w:t>24</w:t>
            </w:r>
          </w:p>
          <w:p w14:paraId="128F6203" w14:textId="7CEC7F36"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Updated</w:t>
            </w:r>
            <w:r w:rsidR="006C6F09">
              <w:t xml:space="preserve"> </w:t>
            </w:r>
            <w:r>
              <w:t>to</w:t>
            </w:r>
            <w:r w:rsidR="006C6F09">
              <w:t xml:space="preserve"> </w:t>
            </w:r>
            <w:r>
              <w:t>comply</w:t>
            </w:r>
            <w:r w:rsidR="006C6F09">
              <w:t xml:space="preserve"> </w:t>
            </w:r>
            <w:r>
              <w:t>with</w:t>
            </w:r>
            <w:r w:rsidR="006C6F09">
              <w:t xml:space="preserve"> </w:t>
            </w:r>
            <w:r>
              <w:t>accessibility</w:t>
            </w:r>
            <w:r w:rsidR="006C6F09">
              <w:t xml:space="preserve"> </w:t>
            </w:r>
            <w:r>
              <w:t>and</w:t>
            </w:r>
            <w:r w:rsidR="006C6F09">
              <w:t xml:space="preserve"> </w:t>
            </w:r>
            <w:r>
              <w:t>TxDOT</w:t>
            </w:r>
            <w:r w:rsidR="006C6F09">
              <w:t xml:space="preserve"> </w:t>
            </w:r>
            <w:r>
              <w:t>branding.</w:t>
            </w:r>
          </w:p>
        </w:tc>
      </w:tr>
      <w:tr w:rsidR="00457754" w14:paraId="49EDBBF2" w14:textId="77777777" w:rsidTr="00263E76">
        <w:trPr>
          <w:cantSplit/>
        </w:trPr>
        <w:tc>
          <w:tcPr>
            <w:cnfStyle w:val="001000000000" w:firstRow="0" w:lastRow="0" w:firstColumn="1" w:lastColumn="0" w:oddVBand="0" w:evenVBand="0" w:oddHBand="0" w:evenHBand="0" w:firstRowFirstColumn="0" w:firstRowLastColumn="0" w:lastRowFirstColumn="0" w:lastRowLastColumn="0"/>
            <w:tcW w:w="1661" w:type="pct"/>
            <w:tcBorders>
              <w:right w:val="none" w:sz="0" w:space="0" w:color="auto"/>
            </w:tcBorders>
            <w:vAlign w:val="center"/>
          </w:tcPr>
          <w:p w14:paraId="6E7B4C58" w14:textId="17D928C4" w:rsidR="00457754" w:rsidRPr="009D4C4D" w:rsidRDefault="00457754" w:rsidP="00263E76">
            <w:pPr>
              <w:rPr>
                <w:b w:val="0"/>
                <w:bCs w:val="0"/>
              </w:rPr>
            </w:pPr>
            <w:r>
              <w:rPr>
                <w:b w:val="0"/>
                <w:bCs w:val="0"/>
              </w:rPr>
              <w:t>August</w:t>
            </w:r>
            <w:r w:rsidR="006C6F09">
              <w:rPr>
                <w:b w:val="0"/>
                <w:bCs w:val="0"/>
              </w:rPr>
              <w:t xml:space="preserve"> </w:t>
            </w:r>
            <w:r w:rsidRPr="009D4C4D">
              <w:rPr>
                <w:b w:val="0"/>
                <w:bCs w:val="0"/>
              </w:rPr>
              <w:t>2025</w:t>
            </w:r>
          </w:p>
        </w:tc>
        <w:tc>
          <w:tcPr>
            <w:tcW w:w="3339" w:type="pct"/>
          </w:tcPr>
          <w:p w14:paraId="0B2CCBBA" w14:textId="00FD9B48" w:rsidR="00457754" w:rsidRDefault="00457754" w:rsidP="004D6950">
            <w:pPr>
              <w:cnfStyle w:val="000000000000" w:firstRow="0" w:lastRow="0" w:firstColumn="0" w:lastColumn="0" w:oddVBand="0" w:evenVBand="0" w:oddHBand="0" w:evenHBand="0" w:firstRowFirstColumn="0" w:firstRowLastColumn="0" w:lastRowFirstColumn="0" w:lastRowLastColumn="0"/>
            </w:pPr>
            <w:r>
              <w:t>Version</w:t>
            </w:r>
            <w:r w:rsidR="006C6F09">
              <w:t xml:space="preserve"> </w:t>
            </w:r>
            <w:r>
              <w:t>23</w:t>
            </w:r>
          </w:p>
          <w:p w14:paraId="50904682" w14:textId="663FB300"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Updated</w:t>
            </w:r>
            <w:r w:rsidR="006C6F09">
              <w:t xml:space="preserve"> </w:t>
            </w:r>
            <w:r>
              <w:t>NEPA</w:t>
            </w:r>
            <w:r w:rsidR="006C6F09">
              <w:t xml:space="preserve"> </w:t>
            </w:r>
            <w:r>
              <w:t>assignment</w:t>
            </w:r>
            <w:r w:rsidR="006C6F09">
              <w:t xml:space="preserve"> </w:t>
            </w:r>
            <w:r>
              <w:t>disclaimer</w:t>
            </w:r>
            <w:r w:rsidR="006C6F09">
              <w:t xml:space="preserve"> </w:t>
            </w:r>
            <w:r>
              <w:t>language</w:t>
            </w:r>
            <w:r w:rsidR="006C6F09">
              <w:t xml:space="preserve"> </w:t>
            </w:r>
            <w:r>
              <w:t>to</w:t>
            </w:r>
            <w:r w:rsidR="006C6F09">
              <w:t xml:space="preserve"> </w:t>
            </w:r>
            <w:r>
              <w:t>reflect</w:t>
            </w:r>
            <w:r w:rsidR="006C6F09">
              <w:t xml:space="preserve"> </w:t>
            </w:r>
            <w:r>
              <w:t>second</w:t>
            </w:r>
            <w:r w:rsidR="006C6F09">
              <w:t xml:space="preserve"> </w:t>
            </w:r>
            <w:r>
              <w:t>renewed</w:t>
            </w:r>
            <w:r w:rsidR="006C6F09">
              <w:t xml:space="preserve"> </w:t>
            </w:r>
            <w:r>
              <w:t>NEPA</w:t>
            </w:r>
            <w:r w:rsidR="006C6F09">
              <w:t xml:space="preserve"> </w:t>
            </w:r>
            <w:r>
              <w:t>assignment</w:t>
            </w:r>
            <w:r w:rsidR="006C6F09">
              <w:t xml:space="preserve"> </w:t>
            </w:r>
            <w:r>
              <w:t>MOU</w:t>
            </w:r>
            <w:r w:rsidR="006C6F09">
              <w:t xml:space="preserve"> </w:t>
            </w:r>
            <w:r>
              <w:t>date</w:t>
            </w:r>
            <w:r w:rsidR="006C6F09">
              <w:t xml:space="preserve"> </w:t>
            </w:r>
            <w:r>
              <w:t>of</w:t>
            </w:r>
            <w:r w:rsidR="006C6F09">
              <w:t xml:space="preserve"> </w:t>
            </w:r>
            <w:r>
              <w:t>July</w:t>
            </w:r>
            <w:r w:rsidR="006C6F09">
              <w:t xml:space="preserve"> </w:t>
            </w:r>
            <w:r>
              <w:t>17,</w:t>
            </w:r>
            <w:r w:rsidR="006C6F09">
              <w:t xml:space="preserve"> </w:t>
            </w:r>
            <w:r>
              <w:t>2025.</w:t>
            </w:r>
          </w:p>
        </w:tc>
      </w:tr>
      <w:tr w:rsidR="00457754" w14:paraId="5E9E4310"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40502122" w14:textId="34C2E257" w:rsidR="00457754" w:rsidRPr="009D4C4D" w:rsidRDefault="00457754" w:rsidP="00263E76">
            <w:pPr>
              <w:rPr>
                <w:b w:val="0"/>
                <w:bCs w:val="0"/>
              </w:rPr>
            </w:pPr>
            <w:r>
              <w:rPr>
                <w:b w:val="0"/>
                <w:bCs w:val="0"/>
              </w:rPr>
              <w:lastRenderedPageBreak/>
              <w:t>July</w:t>
            </w:r>
            <w:r w:rsidR="006C6F09">
              <w:rPr>
                <w:b w:val="0"/>
                <w:bCs w:val="0"/>
              </w:rPr>
              <w:t xml:space="preserve"> </w:t>
            </w:r>
            <w:r w:rsidRPr="009D4C4D">
              <w:rPr>
                <w:b w:val="0"/>
                <w:bCs w:val="0"/>
              </w:rPr>
              <w:t>2025</w:t>
            </w:r>
          </w:p>
        </w:tc>
        <w:tc>
          <w:tcPr>
            <w:tcW w:w="3339" w:type="pct"/>
            <w:shd w:val="clear" w:color="auto" w:fill="DADEE5"/>
          </w:tcPr>
          <w:p w14:paraId="5D13F69B" w14:textId="3371E731" w:rsidR="00457754" w:rsidRDefault="00457754" w:rsidP="004D6950">
            <w:pPr>
              <w:cnfStyle w:val="000000100000" w:firstRow="0" w:lastRow="0" w:firstColumn="0" w:lastColumn="0" w:oddVBand="0" w:evenVBand="0" w:oddHBand="1" w:evenHBand="0" w:firstRowFirstColumn="0" w:firstRowLastColumn="0" w:lastRowFirstColumn="0" w:lastRowLastColumn="0"/>
            </w:pPr>
            <w:r>
              <w:t>Version</w:t>
            </w:r>
            <w:r w:rsidR="006C6F09">
              <w:t xml:space="preserve"> </w:t>
            </w:r>
            <w:r>
              <w:t>22</w:t>
            </w:r>
          </w:p>
          <w:p w14:paraId="61E88FAB" w14:textId="3891884E" w:rsidR="00457754" w:rsidRPr="00E1426A"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rsidRPr="00E1426A">
              <w:t>Added</w:t>
            </w:r>
            <w:r w:rsidR="006C6F09">
              <w:t xml:space="preserve"> </w:t>
            </w:r>
            <w:r w:rsidRPr="00E1426A">
              <w:t>instructions</w:t>
            </w:r>
            <w:r w:rsidR="006C6F09">
              <w:t xml:space="preserve"> </w:t>
            </w:r>
            <w:r w:rsidRPr="00E1426A">
              <w:t>regarding</w:t>
            </w:r>
            <w:r w:rsidR="006C6F09">
              <w:t xml:space="preserve"> </w:t>
            </w:r>
            <w:r w:rsidRPr="00E1426A">
              <w:t>the</w:t>
            </w:r>
            <w:r w:rsidR="006C6F09">
              <w:t xml:space="preserve"> </w:t>
            </w:r>
            <w:r w:rsidRPr="00E1426A">
              <w:t>ability</w:t>
            </w:r>
            <w:r w:rsidR="006C6F09">
              <w:t xml:space="preserve"> </w:t>
            </w:r>
            <w:r w:rsidRPr="00E1426A">
              <w:t>to</w:t>
            </w:r>
            <w:r w:rsidR="006C6F09">
              <w:t xml:space="preserve"> </w:t>
            </w:r>
            <w:r w:rsidRPr="00E1426A">
              <w:t>publish</w:t>
            </w:r>
            <w:r w:rsidR="006C6F09">
              <w:t xml:space="preserve"> </w:t>
            </w:r>
            <w:r w:rsidRPr="00E1426A">
              <w:t>in</w:t>
            </w:r>
            <w:r w:rsidR="006C6F09">
              <w:t xml:space="preserve"> </w:t>
            </w:r>
            <w:r w:rsidRPr="00E1426A">
              <w:t>digital</w:t>
            </w:r>
            <w:r w:rsidR="006C6F09">
              <w:t xml:space="preserve"> </w:t>
            </w:r>
            <w:r w:rsidRPr="00E1426A">
              <w:t>newspapers</w:t>
            </w:r>
            <w:r w:rsidR="006C6F09">
              <w:t xml:space="preserve"> </w:t>
            </w:r>
            <w:r w:rsidRPr="00E1426A">
              <w:t>in</w:t>
            </w:r>
            <w:r w:rsidR="006C6F09">
              <w:t xml:space="preserve"> </w:t>
            </w:r>
            <w:r w:rsidRPr="00E1426A">
              <w:t>certain</w:t>
            </w:r>
            <w:r w:rsidR="006C6F09">
              <w:t xml:space="preserve"> </w:t>
            </w:r>
            <w:r w:rsidRPr="00E1426A">
              <w:t>circumstances</w:t>
            </w:r>
            <w:r w:rsidR="006C6F09">
              <w:t xml:space="preserve"> </w:t>
            </w:r>
            <w:r w:rsidRPr="00E1426A">
              <w:t>to</w:t>
            </w:r>
            <w:r w:rsidR="006C6F09">
              <w:t xml:space="preserve"> </w:t>
            </w:r>
            <w:r w:rsidRPr="00E1426A">
              <w:t>implement</w:t>
            </w:r>
            <w:r w:rsidR="006C6F09">
              <w:t xml:space="preserve"> </w:t>
            </w:r>
            <w:r w:rsidRPr="00E1426A">
              <w:t>SB</w:t>
            </w:r>
            <w:r w:rsidR="006C6F09">
              <w:t xml:space="preserve"> </w:t>
            </w:r>
            <w:r w:rsidRPr="00E1426A">
              <w:t>1062.</w:t>
            </w:r>
          </w:p>
          <w:p w14:paraId="31DC7A86" w14:textId="60D064FD" w:rsidR="00457754" w:rsidRPr="00E1426A"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rsidRPr="00E1426A">
              <w:t>Removed</w:t>
            </w:r>
            <w:r w:rsidR="006C6F09">
              <w:t xml:space="preserve"> </w:t>
            </w:r>
            <w:r w:rsidRPr="00E1426A">
              <w:t>instructions</w:t>
            </w:r>
            <w:r w:rsidR="006C6F09">
              <w:t xml:space="preserve"> </w:t>
            </w:r>
            <w:r w:rsidRPr="00E1426A">
              <w:t>about</w:t>
            </w:r>
            <w:r w:rsidR="006C6F09">
              <w:t xml:space="preserve"> </w:t>
            </w:r>
            <w:r w:rsidRPr="00E1426A">
              <w:t>the</w:t>
            </w:r>
            <w:r w:rsidR="006C6F09">
              <w:t xml:space="preserve"> </w:t>
            </w:r>
            <w:r w:rsidRPr="00E1426A">
              <w:t>need</w:t>
            </w:r>
            <w:r w:rsidR="006C6F09">
              <w:t xml:space="preserve"> </w:t>
            </w:r>
            <w:r w:rsidRPr="00E1426A">
              <w:t>to</w:t>
            </w:r>
            <w:r w:rsidR="006C6F09">
              <w:t xml:space="preserve"> </w:t>
            </w:r>
            <w:r w:rsidRPr="00E1426A">
              <w:t>prepare</w:t>
            </w:r>
            <w:r w:rsidR="006C6F09">
              <w:t xml:space="preserve"> </w:t>
            </w:r>
            <w:r w:rsidRPr="00E1426A">
              <w:t>a</w:t>
            </w:r>
            <w:r w:rsidR="006C6F09">
              <w:t xml:space="preserve"> </w:t>
            </w:r>
            <w:r w:rsidRPr="00E1426A">
              <w:t>certification</w:t>
            </w:r>
            <w:r w:rsidR="006C6F09">
              <w:t xml:space="preserve"> </w:t>
            </w:r>
            <w:r w:rsidRPr="00E1426A">
              <w:t>of</w:t>
            </w:r>
            <w:r w:rsidR="006C6F09">
              <w:t xml:space="preserve"> </w:t>
            </w:r>
            <w:r w:rsidRPr="00E1426A">
              <w:t>public</w:t>
            </w:r>
            <w:r w:rsidR="006C6F09">
              <w:t xml:space="preserve"> </w:t>
            </w:r>
            <w:r w:rsidRPr="00E1426A">
              <w:t>hearing.</w:t>
            </w:r>
            <w:r w:rsidR="006C6F09">
              <w:t xml:space="preserve"> </w:t>
            </w:r>
            <w:r w:rsidRPr="00E1426A">
              <w:t>District</w:t>
            </w:r>
            <w:r w:rsidR="006C6F09">
              <w:t xml:space="preserve"> </w:t>
            </w:r>
            <w:r w:rsidRPr="00E1426A">
              <w:t>environmental</w:t>
            </w:r>
            <w:r w:rsidR="006C6F09">
              <w:t xml:space="preserve"> </w:t>
            </w:r>
            <w:r w:rsidRPr="00E1426A">
              <w:t>staff’s</w:t>
            </w:r>
            <w:r w:rsidR="006C6F09">
              <w:t xml:space="preserve"> </w:t>
            </w:r>
            <w:r w:rsidRPr="00E1426A">
              <w:t>finalization</w:t>
            </w:r>
            <w:r w:rsidR="006C6F09">
              <w:t xml:space="preserve"> </w:t>
            </w:r>
            <w:r w:rsidRPr="00E1426A">
              <w:t>of</w:t>
            </w:r>
            <w:r w:rsidR="006C6F09">
              <w:t xml:space="preserve"> </w:t>
            </w:r>
            <w:r w:rsidRPr="00E1426A">
              <w:t>the</w:t>
            </w:r>
            <w:r w:rsidR="006C6F09">
              <w:t xml:space="preserve"> </w:t>
            </w:r>
            <w:r w:rsidRPr="00E1426A">
              <w:t>“Perform</w:t>
            </w:r>
            <w:r w:rsidR="006C6F09">
              <w:t xml:space="preserve"> </w:t>
            </w:r>
            <w:r w:rsidRPr="00E1426A">
              <w:t>Opportunity</w:t>
            </w:r>
            <w:r w:rsidR="006C6F09">
              <w:t xml:space="preserve"> </w:t>
            </w:r>
            <w:r w:rsidRPr="00E1426A">
              <w:t>for</w:t>
            </w:r>
            <w:r w:rsidR="006C6F09">
              <w:t xml:space="preserve"> </w:t>
            </w:r>
            <w:r w:rsidRPr="00E1426A">
              <w:t>Public</w:t>
            </w:r>
            <w:r w:rsidR="006C6F09">
              <w:t xml:space="preserve"> </w:t>
            </w:r>
            <w:r w:rsidRPr="00E1426A">
              <w:t>Hearing</w:t>
            </w:r>
            <w:r w:rsidR="006C6F09">
              <w:t xml:space="preserve"> </w:t>
            </w:r>
            <w:r w:rsidRPr="00E1426A">
              <w:t>(OPH)</w:t>
            </w:r>
            <w:r w:rsidR="006C6F09">
              <w:t xml:space="preserve"> </w:t>
            </w:r>
            <w:r>
              <w:t>or</w:t>
            </w:r>
            <w:r w:rsidR="006C6F09">
              <w:t xml:space="preserve"> </w:t>
            </w:r>
            <w:r w:rsidRPr="00E1426A">
              <w:t>Public</w:t>
            </w:r>
            <w:r w:rsidR="006C6F09">
              <w:t xml:space="preserve"> </w:t>
            </w:r>
            <w:r w:rsidRPr="00E1426A">
              <w:t>Hearing</w:t>
            </w:r>
            <w:r w:rsidR="006C6F09">
              <w:t xml:space="preserve"> </w:t>
            </w:r>
            <w:r w:rsidRPr="00E1426A">
              <w:t>(PH)”</w:t>
            </w:r>
            <w:r w:rsidR="006C6F09">
              <w:t xml:space="preserve"> </w:t>
            </w:r>
            <w:r w:rsidRPr="00E1426A">
              <w:t>Activity</w:t>
            </w:r>
            <w:r w:rsidR="006C6F09">
              <w:t xml:space="preserve"> </w:t>
            </w:r>
            <w:r w:rsidRPr="00E1426A">
              <w:t>serves</w:t>
            </w:r>
            <w:r w:rsidR="006C6F09">
              <w:t xml:space="preserve"> </w:t>
            </w:r>
            <w:r w:rsidRPr="00E1426A">
              <w:t>as</w:t>
            </w:r>
            <w:r w:rsidR="006C6F09">
              <w:t xml:space="preserve"> </w:t>
            </w:r>
            <w:r w:rsidRPr="00E1426A">
              <w:t>the</w:t>
            </w:r>
            <w:r w:rsidR="006C6F09">
              <w:t xml:space="preserve"> </w:t>
            </w:r>
            <w:r w:rsidRPr="00E1426A">
              <w:t>“certification”</w:t>
            </w:r>
            <w:r w:rsidR="006C6F09">
              <w:t xml:space="preserve"> </w:t>
            </w:r>
            <w:r w:rsidRPr="00E1426A">
              <w:t>that</w:t>
            </w:r>
            <w:r w:rsidR="006C6F09">
              <w:t xml:space="preserve"> </w:t>
            </w:r>
            <w:r w:rsidRPr="00E1426A">
              <w:t>the</w:t>
            </w:r>
            <w:r w:rsidR="006C6F09">
              <w:t xml:space="preserve"> </w:t>
            </w:r>
            <w:r w:rsidRPr="00E1426A">
              <w:t>public</w:t>
            </w:r>
            <w:r w:rsidR="006C6F09">
              <w:t xml:space="preserve"> </w:t>
            </w:r>
            <w:r w:rsidRPr="00E1426A">
              <w:t>hearing</w:t>
            </w:r>
            <w:r w:rsidR="006C6F09">
              <w:t xml:space="preserve"> </w:t>
            </w:r>
            <w:r w:rsidRPr="00E1426A">
              <w:t>has</w:t>
            </w:r>
            <w:r w:rsidR="006C6F09">
              <w:t xml:space="preserve"> </w:t>
            </w:r>
            <w:r w:rsidRPr="00E1426A">
              <w:t>been</w:t>
            </w:r>
            <w:r w:rsidR="006C6F09">
              <w:t xml:space="preserve"> </w:t>
            </w:r>
            <w:r w:rsidRPr="00E1426A">
              <w:t>held</w:t>
            </w:r>
            <w:r w:rsidR="006C6F09">
              <w:t xml:space="preserve"> </w:t>
            </w:r>
            <w:r w:rsidRPr="00E1426A">
              <w:t>as</w:t>
            </w:r>
            <w:r w:rsidR="006C6F09">
              <w:t xml:space="preserve"> </w:t>
            </w:r>
            <w:r w:rsidRPr="00E1426A">
              <w:t>required</w:t>
            </w:r>
            <w:r w:rsidR="006C6F09">
              <w:t xml:space="preserve"> </w:t>
            </w:r>
            <w:r w:rsidRPr="00E1426A">
              <w:t>by</w:t>
            </w:r>
            <w:r w:rsidR="006C6F09">
              <w:t xml:space="preserve"> </w:t>
            </w:r>
            <w:r w:rsidRPr="00E1426A">
              <w:t>23</w:t>
            </w:r>
            <w:r w:rsidR="006C6F09">
              <w:t xml:space="preserve"> </w:t>
            </w:r>
            <w:r w:rsidRPr="00E1426A">
              <w:t>CFR</w:t>
            </w:r>
            <w:r w:rsidR="006C6F09">
              <w:t xml:space="preserve"> </w:t>
            </w:r>
            <w:r w:rsidRPr="00E1426A">
              <w:t>771.111(h)(2)(vi).</w:t>
            </w:r>
          </w:p>
          <w:p w14:paraId="725533A1" w14:textId="303559BA" w:rsidR="00457754" w:rsidRPr="00E1426A"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rsidRPr="00E1426A">
              <w:t>Revised</w:t>
            </w:r>
            <w:r w:rsidR="006C6F09">
              <w:t xml:space="preserve"> </w:t>
            </w:r>
            <w:r w:rsidRPr="00E1426A">
              <w:t>to</w:t>
            </w:r>
            <w:r w:rsidR="006C6F09">
              <w:t xml:space="preserve"> </w:t>
            </w:r>
            <w:r w:rsidRPr="00E1426A">
              <w:t>indicate</w:t>
            </w:r>
            <w:r w:rsidR="006C6F09">
              <w:t xml:space="preserve"> </w:t>
            </w:r>
            <w:r w:rsidRPr="00E1426A">
              <w:t>that</w:t>
            </w:r>
            <w:r w:rsidR="006C6F09">
              <w:t xml:space="preserve"> </w:t>
            </w:r>
            <w:r w:rsidRPr="00E1426A">
              <w:t>in</w:t>
            </w:r>
            <w:r w:rsidR="006C6F09">
              <w:t xml:space="preserve"> </w:t>
            </w:r>
            <w:r w:rsidRPr="00E1426A">
              <w:t>a</w:t>
            </w:r>
            <w:r w:rsidR="006C6F09">
              <w:t xml:space="preserve"> </w:t>
            </w:r>
            <w:r w:rsidRPr="00E1426A">
              <w:t>public</w:t>
            </w:r>
            <w:r w:rsidR="006C6F09">
              <w:t xml:space="preserve"> </w:t>
            </w:r>
            <w:r w:rsidRPr="00E1426A">
              <w:t>meeting,</w:t>
            </w:r>
            <w:r w:rsidR="006C6F09">
              <w:t xml:space="preserve"> </w:t>
            </w:r>
            <w:r w:rsidRPr="00E1426A">
              <w:t>opportunity</w:t>
            </w:r>
            <w:r w:rsidR="006C6F09">
              <w:t xml:space="preserve"> </w:t>
            </w:r>
            <w:r w:rsidRPr="00E1426A">
              <w:t>for</w:t>
            </w:r>
            <w:r w:rsidR="006C6F09">
              <w:t xml:space="preserve"> </w:t>
            </w:r>
            <w:r w:rsidRPr="00E1426A">
              <w:t>hearing,</w:t>
            </w:r>
            <w:r w:rsidR="006C6F09">
              <w:t xml:space="preserve"> </w:t>
            </w:r>
            <w:r w:rsidRPr="00E1426A">
              <w:t>or</w:t>
            </w:r>
            <w:r w:rsidR="006C6F09">
              <w:t xml:space="preserve"> </w:t>
            </w:r>
            <w:r w:rsidRPr="00E1426A">
              <w:t>a</w:t>
            </w:r>
            <w:r w:rsidR="006C6F09">
              <w:t xml:space="preserve"> </w:t>
            </w:r>
            <w:r w:rsidRPr="00E1426A">
              <w:t>hearing</w:t>
            </w:r>
            <w:r w:rsidR="006C6F09">
              <w:t xml:space="preserve"> </w:t>
            </w:r>
            <w:r w:rsidRPr="00E1426A">
              <w:t>notice,</w:t>
            </w:r>
            <w:r w:rsidR="006C6F09">
              <w:t xml:space="preserve"> </w:t>
            </w:r>
            <w:r w:rsidRPr="00E1426A">
              <w:t>a</w:t>
            </w:r>
            <w:r w:rsidR="006C6F09">
              <w:t xml:space="preserve"> </w:t>
            </w:r>
            <w:r w:rsidRPr="00E1426A">
              <w:t>link</w:t>
            </w:r>
            <w:r w:rsidR="006C6F09">
              <w:t xml:space="preserve"> </w:t>
            </w:r>
            <w:r w:rsidRPr="00E1426A">
              <w:t>to</w:t>
            </w:r>
            <w:r w:rsidR="006C6F09">
              <w:t xml:space="preserve"> </w:t>
            </w:r>
            <w:r w:rsidRPr="00E1426A">
              <w:t>where</w:t>
            </w:r>
            <w:r w:rsidR="006C6F09">
              <w:t xml:space="preserve"> </w:t>
            </w:r>
            <w:r w:rsidRPr="00E1426A">
              <w:t>the</w:t>
            </w:r>
            <w:r w:rsidR="006C6F09">
              <w:t xml:space="preserve"> </w:t>
            </w:r>
            <w:r w:rsidRPr="00E1426A">
              <w:t>project</w:t>
            </w:r>
            <w:r w:rsidR="006C6F09">
              <w:t xml:space="preserve"> </w:t>
            </w:r>
            <w:r w:rsidRPr="00E1426A">
              <w:t>materials</w:t>
            </w:r>
            <w:r w:rsidR="006C6F09">
              <w:t xml:space="preserve"> </w:t>
            </w:r>
            <w:r w:rsidRPr="00E1426A">
              <w:t>are</w:t>
            </w:r>
            <w:r w:rsidR="006C6F09">
              <w:t xml:space="preserve"> </w:t>
            </w:r>
            <w:r w:rsidRPr="00E1426A">
              <w:t>available</w:t>
            </w:r>
            <w:r w:rsidR="006C6F09">
              <w:t xml:space="preserve"> </w:t>
            </w:r>
            <w:r w:rsidRPr="00E1426A">
              <w:t>online</w:t>
            </w:r>
            <w:r w:rsidR="006C6F09">
              <w:t xml:space="preserve"> </w:t>
            </w:r>
            <w:r w:rsidRPr="00E1426A">
              <w:t>“must”</w:t>
            </w:r>
            <w:r w:rsidR="006C6F09">
              <w:t xml:space="preserve"> </w:t>
            </w:r>
            <w:r w:rsidRPr="00E1426A">
              <w:t>be</w:t>
            </w:r>
            <w:r w:rsidR="006C6F09">
              <w:t xml:space="preserve"> </w:t>
            </w:r>
            <w:r w:rsidRPr="00E1426A">
              <w:t>included</w:t>
            </w:r>
            <w:r w:rsidR="006C6F09">
              <w:t xml:space="preserve"> </w:t>
            </w:r>
            <w:r w:rsidRPr="00E1426A">
              <w:t>instead</w:t>
            </w:r>
            <w:r w:rsidR="006C6F09">
              <w:t xml:space="preserve"> </w:t>
            </w:r>
            <w:r w:rsidRPr="00E1426A">
              <w:t>of</w:t>
            </w:r>
            <w:r w:rsidR="006C6F09">
              <w:t xml:space="preserve"> </w:t>
            </w:r>
            <w:r w:rsidRPr="00E1426A">
              <w:t>“should”</w:t>
            </w:r>
            <w:r w:rsidR="006C6F09">
              <w:t xml:space="preserve"> </w:t>
            </w:r>
            <w:r w:rsidRPr="00E1426A">
              <w:t>be</w:t>
            </w:r>
            <w:r w:rsidR="006C6F09">
              <w:t xml:space="preserve"> </w:t>
            </w:r>
            <w:r w:rsidRPr="00E1426A">
              <w:t>included.</w:t>
            </w:r>
          </w:p>
          <w:p w14:paraId="49AA963B" w14:textId="387546A9" w:rsidR="00457754" w:rsidRPr="00E1426A"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rsidRPr="00E1426A">
              <w:t>Corrected</w:t>
            </w:r>
            <w:r w:rsidR="006C6F09">
              <w:t xml:space="preserve"> </w:t>
            </w:r>
            <w:r w:rsidRPr="00E1426A">
              <w:t>definition</w:t>
            </w:r>
            <w:r w:rsidR="006C6F09">
              <w:t xml:space="preserve"> </w:t>
            </w:r>
            <w:r w:rsidRPr="00E1426A">
              <w:t>of</w:t>
            </w:r>
            <w:r w:rsidR="006C6F09">
              <w:t xml:space="preserve"> </w:t>
            </w:r>
            <w:r w:rsidRPr="00E1426A">
              <w:t>“substantial</w:t>
            </w:r>
            <w:r w:rsidR="006C6F09">
              <w:t xml:space="preserve"> </w:t>
            </w:r>
            <w:r w:rsidRPr="00E1426A">
              <w:t>change</w:t>
            </w:r>
            <w:r w:rsidR="006C6F09">
              <w:t xml:space="preserve"> </w:t>
            </w:r>
            <w:r w:rsidRPr="00E1426A">
              <w:t>in</w:t>
            </w:r>
            <w:r w:rsidR="006C6F09">
              <w:t xml:space="preserve"> </w:t>
            </w:r>
            <w:r w:rsidRPr="00E1426A">
              <w:t>function”</w:t>
            </w:r>
            <w:r w:rsidR="006C6F09">
              <w:t xml:space="preserve"> </w:t>
            </w:r>
            <w:r w:rsidRPr="00E1426A">
              <w:t>to</w:t>
            </w:r>
            <w:r w:rsidR="006C6F09">
              <w:t xml:space="preserve"> </w:t>
            </w:r>
            <w:r w:rsidRPr="00E1426A">
              <w:t>include</w:t>
            </w:r>
            <w:r w:rsidR="006C6F09">
              <w:t xml:space="preserve"> </w:t>
            </w:r>
            <w:r w:rsidRPr="00E1426A">
              <w:t>the</w:t>
            </w:r>
            <w:r w:rsidR="006C6F09">
              <w:t xml:space="preserve"> </w:t>
            </w:r>
            <w:r w:rsidRPr="00E1426A">
              <w:t>addition</w:t>
            </w:r>
            <w:r w:rsidR="006C6F09">
              <w:t xml:space="preserve"> </w:t>
            </w:r>
            <w:r w:rsidRPr="00E1426A">
              <w:t>of</w:t>
            </w:r>
            <w:r w:rsidR="006C6F09">
              <w:t xml:space="preserve"> </w:t>
            </w:r>
            <w:r w:rsidRPr="00E1426A">
              <w:t>bus</w:t>
            </w:r>
            <w:r w:rsidR="006C6F09">
              <w:t xml:space="preserve"> </w:t>
            </w:r>
            <w:r w:rsidRPr="00E1426A">
              <w:t>lanes.</w:t>
            </w:r>
          </w:p>
          <w:p w14:paraId="30524142" w14:textId="24372C76"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rsidRPr="00E1426A">
              <w:t>Clarified</w:t>
            </w:r>
            <w:r w:rsidR="006C6F09">
              <w:t xml:space="preserve"> </w:t>
            </w:r>
            <w:r w:rsidRPr="00E1426A">
              <w:t>that</w:t>
            </w:r>
            <w:r w:rsidR="006C6F09">
              <w:t xml:space="preserve"> </w:t>
            </w:r>
            <w:r w:rsidRPr="00E1426A">
              <w:t>for</w:t>
            </w:r>
            <w:r w:rsidR="006C6F09">
              <w:t xml:space="preserve"> </w:t>
            </w:r>
            <w:r w:rsidRPr="00E1426A">
              <w:t>a</w:t>
            </w:r>
            <w:r w:rsidR="006C6F09">
              <w:t xml:space="preserve"> </w:t>
            </w:r>
            <w:r w:rsidRPr="00E1426A">
              <w:t>final</w:t>
            </w:r>
            <w:r w:rsidR="006C6F09">
              <w:t xml:space="preserve"> </w:t>
            </w:r>
            <w:r w:rsidRPr="00E1426A">
              <w:t>EA,</w:t>
            </w:r>
            <w:r w:rsidR="006C6F09">
              <w:t xml:space="preserve"> </w:t>
            </w:r>
            <w:r w:rsidRPr="00E1426A">
              <w:t>FONSI,</w:t>
            </w:r>
            <w:r w:rsidR="006C6F09">
              <w:t xml:space="preserve"> </w:t>
            </w:r>
            <w:r w:rsidRPr="00E1426A">
              <w:t>or</w:t>
            </w:r>
            <w:r w:rsidR="006C6F09">
              <w:t xml:space="preserve"> </w:t>
            </w:r>
            <w:r w:rsidRPr="00E1426A">
              <w:t>FEIS</w:t>
            </w:r>
            <w:r w:rsidR="006C6F09">
              <w:t xml:space="preserve"> </w:t>
            </w:r>
            <w:r>
              <w:t>and</w:t>
            </w:r>
            <w:r w:rsidR="006C6F09">
              <w:t xml:space="preserve"> </w:t>
            </w:r>
            <w:r w:rsidRPr="00E1426A">
              <w:t>ROD,</w:t>
            </w:r>
            <w:r w:rsidR="006C6F09">
              <w:t xml:space="preserve"> </w:t>
            </w:r>
            <w:r w:rsidRPr="00E1426A">
              <w:t>there</w:t>
            </w:r>
            <w:r w:rsidR="006C6F09">
              <w:t xml:space="preserve"> </w:t>
            </w:r>
            <w:r w:rsidRPr="00E1426A">
              <w:t>is</w:t>
            </w:r>
            <w:r w:rsidR="006C6F09">
              <w:t xml:space="preserve"> </w:t>
            </w:r>
            <w:r w:rsidRPr="00E1426A">
              <w:t>no</w:t>
            </w:r>
            <w:r w:rsidR="006C6F09">
              <w:t xml:space="preserve"> </w:t>
            </w:r>
            <w:r w:rsidRPr="00E1426A">
              <w:t>requirement</w:t>
            </w:r>
            <w:r w:rsidR="006C6F09">
              <w:t xml:space="preserve"> </w:t>
            </w:r>
            <w:r w:rsidRPr="00E1426A">
              <w:t>to</w:t>
            </w:r>
            <w:r w:rsidR="006C6F09">
              <w:t xml:space="preserve"> </w:t>
            </w:r>
            <w:r w:rsidRPr="00E1426A">
              <w:t>send</w:t>
            </w:r>
            <w:r w:rsidR="006C6F09">
              <w:t xml:space="preserve"> </w:t>
            </w:r>
            <w:r w:rsidRPr="00E1426A">
              <w:t>the</w:t>
            </w:r>
            <w:r w:rsidR="006C6F09">
              <w:t xml:space="preserve"> </w:t>
            </w:r>
            <w:r w:rsidRPr="00E1426A">
              <w:t>notice</w:t>
            </w:r>
            <w:r w:rsidR="006C6F09">
              <w:t xml:space="preserve"> </w:t>
            </w:r>
            <w:r w:rsidRPr="00E1426A">
              <w:t>to</w:t>
            </w:r>
            <w:r w:rsidR="006C6F09">
              <w:t xml:space="preserve"> </w:t>
            </w:r>
            <w:r w:rsidRPr="00E1426A">
              <w:t>TCEQ,</w:t>
            </w:r>
            <w:r w:rsidR="006C6F09">
              <w:t xml:space="preserve"> </w:t>
            </w:r>
            <w:r w:rsidRPr="00E1426A">
              <w:t>THC,</w:t>
            </w:r>
            <w:r w:rsidR="006C6F09">
              <w:t xml:space="preserve"> </w:t>
            </w:r>
            <w:r w:rsidRPr="00E1426A">
              <w:t>or</w:t>
            </w:r>
            <w:r w:rsidR="006C6F09">
              <w:t xml:space="preserve"> </w:t>
            </w:r>
            <w:r w:rsidRPr="00E1426A">
              <w:t>TPWD.</w:t>
            </w:r>
          </w:p>
        </w:tc>
      </w:tr>
      <w:tr w:rsidR="00457754" w14:paraId="497B4C5C" w14:textId="77777777" w:rsidTr="00263E76">
        <w:trPr>
          <w:cantSplit/>
        </w:trPr>
        <w:tc>
          <w:tcPr>
            <w:cnfStyle w:val="001000000000" w:firstRow="0" w:lastRow="0" w:firstColumn="1" w:lastColumn="0" w:oddVBand="0" w:evenVBand="0" w:oddHBand="0" w:evenHBand="0" w:firstRowFirstColumn="0" w:firstRowLastColumn="0" w:lastRowFirstColumn="0" w:lastRowLastColumn="0"/>
            <w:tcW w:w="1661" w:type="pct"/>
            <w:vAlign w:val="center"/>
          </w:tcPr>
          <w:p w14:paraId="787F9E97" w14:textId="73B16B3A" w:rsidR="00457754" w:rsidRPr="009D4C4D" w:rsidRDefault="00457754" w:rsidP="00263E76">
            <w:pPr>
              <w:rPr>
                <w:b w:val="0"/>
                <w:bCs w:val="0"/>
              </w:rPr>
            </w:pPr>
            <w:r>
              <w:rPr>
                <w:b w:val="0"/>
                <w:bCs w:val="0"/>
              </w:rPr>
              <w:lastRenderedPageBreak/>
              <w:t>April</w:t>
            </w:r>
            <w:r w:rsidR="006C6F09">
              <w:rPr>
                <w:b w:val="0"/>
                <w:bCs w:val="0"/>
              </w:rPr>
              <w:t xml:space="preserve"> </w:t>
            </w:r>
            <w:r>
              <w:rPr>
                <w:b w:val="0"/>
                <w:bCs w:val="0"/>
              </w:rPr>
              <w:t>2025</w:t>
            </w:r>
          </w:p>
        </w:tc>
        <w:tc>
          <w:tcPr>
            <w:tcW w:w="3339" w:type="pct"/>
          </w:tcPr>
          <w:p w14:paraId="52F408A1" w14:textId="51B5BD50" w:rsidR="00457754" w:rsidRDefault="00457754" w:rsidP="004D6950">
            <w:pPr>
              <w:cnfStyle w:val="000000000000" w:firstRow="0" w:lastRow="0" w:firstColumn="0" w:lastColumn="0" w:oddVBand="0" w:evenVBand="0" w:oddHBand="0" w:evenHBand="0" w:firstRowFirstColumn="0" w:firstRowLastColumn="0" w:lastRowFirstColumn="0" w:lastRowLastColumn="0"/>
            </w:pPr>
            <w:r>
              <w:t>Version</w:t>
            </w:r>
            <w:r w:rsidR="006C6F09">
              <w:t xml:space="preserve"> </w:t>
            </w:r>
            <w:r>
              <w:t>21</w:t>
            </w:r>
            <w:r w:rsidR="006C6F09">
              <w:t xml:space="preserve"> </w:t>
            </w:r>
          </w:p>
          <w:p w14:paraId="76FBF967" w14:textId="28DABF04"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Revised</w:t>
            </w:r>
            <w:r w:rsidR="006C6F09">
              <w:t xml:space="preserve"> </w:t>
            </w:r>
            <w:r>
              <w:t>statement</w:t>
            </w:r>
            <w:r w:rsidR="006C6F09">
              <w:t xml:space="preserve"> </w:t>
            </w:r>
            <w:r>
              <w:t>about</w:t>
            </w:r>
            <w:r w:rsidR="006C6F09">
              <w:t xml:space="preserve"> </w:t>
            </w:r>
            <w:r>
              <w:t>how</w:t>
            </w:r>
            <w:r w:rsidR="006C6F09">
              <w:t xml:space="preserve"> </w:t>
            </w:r>
            <w:r>
              <w:t>the</w:t>
            </w:r>
            <w:r w:rsidR="006C6F09">
              <w:t xml:space="preserve"> </w:t>
            </w:r>
            <w:r>
              <w:t>TPP</w:t>
            </w:r>
            <w:r w:rsidR="006C6F09">
              <w:t xml:space="preserve"> </w:t>
            </w:r>
            <w:r>
              <w:t>PI</w:t>
            </w:r>
            <w:r w:rsidR="006C6F09">
              <w:t xml:space="preserve"> </w:t>
            </w:r>
            <w:r>
              <w:t>Section</w:t>
            </w:r>
            <w:r w:rsidR="006C6F09">
              <w:t xml:space="preserve"> </w:t>
            </w:r>
            <w:r>
              <w:t>Director</w:t>
            </w:r>
            <w:r w:rsidR="006C6F09">
              <w:t xml:space="preserve"> </w:t>
            </w:r>
            <w:r>
              <w:t>is</w:t>
            </w:r>
            <w:r w:rsidR="006C6F09">
              <w:t xml:space="preserve"> </w:t>
            </w:r>
            <w:r>
              <w:t>the</w:t>
            </w:r>
            <w:r w:rsidR="006C6F09">
              <w:t xml:space="preserve"> </w:t>
            </w:r>
            <w:r>
              <w:t>“Chief</w:t>
            </w:r>
            <w:r w:rsidR="006C6F09">
              <w:t xml:space="preserve"> </w:t>
            </w:r>
            <w:r>
              <w:t>Public</w:t>
            </w:r>
            <w:r w:rsidR="006C6F09">
              <w:t xml:space="preserve"> </w:t>
            </w:r>
            <w:r>
              <w:t>Engagement</w:t>
            </w:r>
            <w:r w:rsidR="006C6F09">
              <w:t xml:space="preserve"> </w:t>
            </w:r>
            <w:r>
              <w:t>Officer</w:t>
            </w:r>
            <w:r w:rsidR="006C6F09">
              <w:t xml:space="preserve"> </w:t>
            </w:r>
            <w:r>
              <w:t>responsible</w:t>
            </w:r>
            <w:r w:rsidR="006C6F09">
              <w:t xml:space="preserve"> </w:t>
            </w:r>
            <w:r>
              <w:t>for</w:t>
            </w:r>
            <w:r w:rsidR="006C6F09">
              <w:t xml:space="preserve"> </w:t>
            </w:r>
            <w:r>
              <w:t>…”</w:t>
            </w:r>
            <w:r w:rsidR="006C6F09">
              <w:t xml:space="preserve"> </w:t>
            </w:r>
            <w:r>
              <w:t>under</w:t>
            </w:r>
            <w:r w:rsidR="006C6F09">
              <w:t xml:space="preserve"> </w:t>
            </w:r>
            <w:r>
              <w:t>CEQ’s</w:t>
            </w:r>
            <w:r w:rsidR="006C6F09">
              <w:t xml:space="preserve"> </w:t>
            </w:r>
            <w:r>
              <w:t>rules,</w:t>
            </w:r>
            <w:r w:rsidR="006C6F09">
              <w:t xml:space="preserve"> </w:t>
            </w:r>
            <w:r>
              <w:t>to</w:t>
            </w:r>
            <w:r w:rsidR="006C6F09">
              <w:t xml:space="preserve"> </w:t>
            </w:r>
            <w:r>
              <w:t>just</w:t>
            </w:r>
            <w:r w:rsidR="006C6F09">
              <w:t xml:space="preserve"> </w:t>
            </w:r>
            <w:r>
              <w:t>say</w:t>
            </w:r>
            <w:r w:rsidR="006C6F09">
              <w:t xml:space="preserve"> </w:t>
            </w:r>
            <w:r>
              <w:t>that</w:t>
            </w:r>
            <w:r w:rsidR="006C6F09">
              <w:t xml:space="preserve"> </w:t>
            </w:r>
            <w:r>
              <w:t>TPP’s</w:t>
            </w:r>
            <w:r w:rsidR="006C6F09">
              <w:t xml:space="preserve"> </w:t>
            </w:r>
            <w:r>
              <w:t>PI</w:t>
            </w:r>
            <w:r w:rsidR="006C6F09">
              <w:t xml:space="preserve"> </w:t>
            </w:r>
            <w:r>
              <w:t>Section</w:t>
            </w:r>
            <w:r w:rsidR="006C6F09">
              <w:t xml:space="preserve"> </w:t>
            </w:r>
            <w:r>
              <w:t>is</w:t>
            </w:r>
            <w:r w:rsidR="006C6F09">
              <w:t xml:space="preserve"> </w:t>
            </w:r>
            <w:r>
              <w:t>“responsible</w:t>
            </w:r>
            <w:r w:rsidR="006C6F09">
              <w:t xml:space="preserve"> </w:t>
            </w:r>
            <w:r>
              <w:t>for</w:t>
            </w:r>
            <w:r w:rsidR="006C6F09">
              <w:t xml:space="preserve"> </w:t>
            </w:r>
            <w:r>
              <w:t>facilitating</w:t>
            </w:r>
            <w:r w:rsidR="006C6F09">
              <w:t xml:space="preserve"> </w:t>
            </w:r>
            <w:r>
              <w:t>community</w:t>
            </w:r>
            <w:r w:rsidR="006C6F09">
              <w:t xml:space="preserve"> </w:t>
            </w:r>
            <w:r>
              <w:t>engagement</w:t>
            </w:r>
            <w:r w:rsidR="006C6F09">
              <w:t xml:space="preserve"> </w:t>
            </w:r>
            <w:r>
              <w:t>in</w:t>
            </w:r>
            <w:r w:rsidR="006C6F09">
              <w:t xml:space="preserve"> </w:t>
            </w:r>
            <w:r>
              <w:t>environmental</w:t>
            </w:r>
            <w:r w:rsidR="006C6F09">
              <w:t xml:space="preserve"> </w:t>
            </w:r>
            <w:r>
              <w:t>reviews</w:t>
            </w:r>
            <w:r w:rsidR="006C6F09">
              <w:t xml:space="preserve"> </w:t>
            </w:r>
            <w:r>
              <w:t>across</w:t>
            </w:r>
            <w:r w:rsidR="006C6F09">
              <w:t xml:space="preserve"> </w:t>
            </w:r>
            <w:r>
              <w:t>the</w:t>
            </w:r>
            <w:r w:rsidR="006C6F09">
              <w:t xml:space="preserve"> </w:t>
            </w:r>
            <w:r>
              <w:t>agency</w:t>
            </w:r>
            <w:r w:rsidR="006C6F09">
              <w:t xml:space="preserve"> </w:t>
            </w:r>
            <w:r>
              <w:t>and,</w:t>
            </w:r>
            <w:r w:rsidR="006C6F09">
              <w:t xml:space="preserve"> </w:t>
            </w:r>
            <w:r>
              <w:t>where</w:t>
            </w:r>
            <w:r w:rsidR="006C6F09">
              <w:t xml:space="preserve"> </w:t>
            </w:r>
            <w:r>
              <w:t>appropriate,</w:t>
            </w:r>
            <w:r w:rsidR="006C6F09">
              <w:t xml:space="preserve"> </w:t>
            </w:r>
            <w:r>
              <w:t>the</w:t>
            </w:r>
            <w:r w:rsidR="006C6F09">
              <w:t xml:space="preserve"> </w:t>
            </w:r>
            <w:r>
              <w:t>provision</w:t>
            </w:r>
            <w:r w:rsidR="006C6F09">
              <w:t xml:space="preserve"> </w:t>
            </w:r>
            <w:r>
              <w:t>of</w:t>
            </w:r>
            <w:r w:rsidR="006C6F09">
              <w:t xml:space="preserve"> </w:t>
            </w:r>
            <w:r>
              <w:t>technical</w:t>
            </w:r>
            <w:r w:rsidR="006C6F09">
              <w:t xml:space="preserve"> </w:t>
            </w:r>
            <w:r>
              <w:t>assistance</w:t>
            </w:r>
            <w:r w:rsidR="006C6F09">
              <w:t xml:space="preserve"> </w:t>
            </w:r>
            <w:r>
              <w:t>to</w:t>
            </w:r>
            <w:r w:rsidR="006C6F09">
              <w:t xml:space="preserve"> </w:t>
            </w:r>
            <w:r>
              <w:t>communities.”</w:t>
            </w:r>
          </w:p>
          <w:p w14:paraId="3B9BDA5B" w14:textId="31525CBF"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Removed</w:t>
            </w:r>
            <w:r w:rsidR="006C6F09">
              <w:t xml:space="preserve"> </w:t>
            </w:r>
            <w:r>
              <w:t>reference</w:t>
            </w:r>
            <w:r w:rsidR="006C6F09">
              <w:t xml:space="preserve"> </w:t>
            </w:r>
            <w:r>
              <w:t>to</w:t>
            </w:r>
            <w:r w:rsidR="006C6F09">
              <w:t xml:space="preserve"> </w:t>
            </w:r>
            <w:r>
              <w:t>CEQ’s</w:t>
            </w:r>
            <w:r w:rsidR="006C6F09">
              <w:t xml:space="preserve"> </w:t>
            </w:r>
            <w:r>
              <w:t>rules</w:t>
            </w:r>
            <w:r w:rsidR="006C6F09">
              <w:t xml:space="preserve"> </w:t>
            </w:r>
            <w:r>
              <w:t>requiring</w:t>
            </w:r>
            <w:r w:rsidR="006C6F09">
              <w:t xml:space="preserve"> </w:t>
            </w:r>
            <w:r>
              <w:t>agencies</w:t>
            </w:r>
            <w:r w:rsidR="006C6F09">
              <w:t xml:space="preserve"> </w:t>
            </w:r>
            <w:r>
              <w:t>to</w:t>
            </w:r>
            <w:r w:rsidR="006C6F09">
              <w:t xml:space="preserve"> </w:t>
            </w:r>
            <w:r>
              <w:t>accommodate</w:t>
            </w:r>
            <w:r w:rsidR="006C6F09">
              <w:t xml:space="preserve"> </w:t>
            </w:r>
            <w:r>
              <w:t>those</w:t>
            </w:r>
            <w:r w:rsidR="006C6F09">
              <w:t xml:space="preserve"> </w:t>
            </w:r>
            <w:r>
              <w:t>who</w:t>
            </w:r>
            <w:r w:rsidR="006C6F09">
              <w:t xml:space="preserve"> </w:t>
            </w:r>
            <w:r>
              <w:t>have</w:t>
            </w:r>
            <w:r w:rsidR="006C6F09">
              <w:t xml:space="preserve"> </w:t>
            </w:r>
            <w:r>
              <w:t>requested</w:t>
            </w:r>
            <w:r w:rsidR="006C6F09">
              <w:t xml:space="preserve"> </w:t>
            </w:r>
            <w:r>
              <w:t>regular</w:t>
            </w:r>
            <w:r w:rsidR="006C6F09">
              <w:t xml:space="preserve"> </w:t>
            </w:r>
            <w:r>
              <w:t>notification</w:t>
            </w:r>
            <w:r w:rsidR="006C6F09">
              <w:t xml:space="preserve"> </w:t>
            </w:r>
            <w:r>
              <w:t>from</w:t>
            </w:r>
            <w:r w:rsidR="006C6F09">
              <w:t xml:space="preserve"> </w:t>
            </w:r>
            <w:r>
              <w:t>the</w:t>
            </w:r>
            <w:r w:rsidR="006C6F09">
              <w:t xml:space="preserve"> </w:t>
            </w:r>
            <w:r>
              <w:t>agency</w:t>
            </w:r>
            <w:r w:rsidR="006C6F09">
              <w:t xml:space="preserve"> </w:t>
            </w:r>
            <w:r>
              <w:t>on</w:t>
            </w:r>
            <w:r w:rsidR="006C6F09">
              <w:t xml:space="preserve"> </w:t>
            </w:r>
            <w:r>
              <w:t>its</w:t>
            </w:r>
            <w:r w:rsidR="006C6F09">
              <w:t xml:space="preserve"> </w:t>
            </w:r>
            <w:r>
              <w:t>actions,</w:t>
            </w:r>
            <w:r w:rsidR="006C6F09">
              <w:t xml:space="preserve"> </w:t>
            </w:r>
            <w:r>
              <w:t>but</w:t>
            </w:r>
            <w:r w:rsidR="006C6F09">
              <w:t xml:space="preserve"> </w:t>
            </w:r>
            <w:r>
              <w:t>to</w:t>
            </w:r>
            <w:r w:rsidR="006C6F09">
              <w:t xml:space="preserve"> </w:t>
            </w:r>
            <w:r>
              <w:t>keep</w:t>
            </w:r>
            <w:r w:rsidR="006C6F09">
              <w:t xml:space="preserve"> </w:t>
            </w:r>
            <w:r>
              <w:t>the</w:t>
            </w:r>
            <w:r w:rsidR="006C6F09">
              <w:t xml:space="preserve"> </w:t>
            </w:r>
            <w:r>
              <w:t>part</w:t>
            </w:r>
            <w:r w:rsidR="006C6F09">
              <w:t xml:space="preserve"> </w:t>
            </w:r>
            <w:r>
              <w:t>about</w:t>
            </w:r>
            <w:r w:rsidR="006C6F09">
              <w:t xml:space="preserve"> </w:t>
            </w:r>
            <w:r>
              <w:t>how</w:t>
            </w:r>
            <w:r w:rsidR="006C6F09">
              <w:t xml:space="preserve"> </w:t>
            </w:r>
            <w:r>
              <w:t>we</w:t>
            </w:r>
            <w:r w:rsidR="006C6F09">
              <w:t xml:space="preserve"> </w:t>
            </w:r>
            <w:r>
              <w:t>accommodate</w:t>
            </w:r>
            <w:r w:rsidR="006C6F09">
              <w:t xml:space="preserve"> </w:t>
            </w:r>
            <w:r>
              <w:t>such</w:t>
            </w:r>
            <w:r w:rsidR="006C6F09">
              <w:t xml:space="preserve"> </w:t>
            </w:r>
            <w:r>
              <w:t>requests</w:t>
            </w:r>
            <w:r w:rsidR="006C6F09">
              <w:t xml:space="preserve"> </w:t>
            </w:r>
            <w:r>
              <w:t>by</w:t>
            </w:r>
            <w:r w:rsidR="006C6F09">
              <w:t xml:space="preserve"> </w:t>
            </w:r>
            <w:r>
              <w:t>referring</w:t>
            </w:r>
            <w:r w:rsidR="006C6F09">
              <w:t xml:space="preserve"> </w:t>
            </w:r>
            <w:r>
              <w:t>to</w:t>
            </w:r>
            <w:r w:rsidR="006C6F09">
              <w:t xml:space="preserve"> </w:t>
            </w:r>
            <w:r>
              <w:t>the</w:t>
            </w:r>
            <w:r w:rsidR="006C6F09">
              <w:t xml:space="preserve"> </w:t>
            </w:r>
            <w:r>
              <w:t>“Hearings,</w:t>
            </w:r>
            <w:r w:rsidR="006C6F09">
              <w:t xml:space="preserve"> </w:t>
            </w:r>
            <w:r>
              <w:t>meetings</w:t>
            </w:r>
            <w:r w:rsidR="006C6F09">
              <w:t xml:space="preserve"> </w:t>
            </w:r>
            <w:r>
              <w:t>and</w:t>
            </w:r>
            <w:r w:rsidR="006C6F09">
              <w:t xml:space="preserve"> </w:t>
            </w:r>
            <w:r>
              <w:t>notices</w:t>
            </w:r>
            <w:r w:rsidR="006C6F09">
              <w:t xml:space="preserve"> </w:t>
            </w:r>
            <w:r>
              <w:t>schedule.”</w:t>
            </w:r>
          </w:p>
          <w:p w14:paraId="6514AB4D" w14:textId="794A66E1"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Removed</w:t>
            </w:r>
            <w:r w:rsidR="006C6F09">
              <w:t xml:space="preserve"> </w:t>
            </w:r>
            <w:r>
              <w:t>instruction</w:t>
            </w:r>
            <w:r w:rsidR="006C6F09">
              <w:t xml:space="preserve"> </w:t>
            </w:r>
            <w:r>
              <w:t>to</w:t>
            </w:r>
            <w:r w:rsidR="006C6F09">
              <w:t xml:space="preserve"> </w:t>
            </w:r>
            <w:r>
              <w:t>transmit</w:t>
            </w:r>
            <w:r w:rsidR="006C6F09">
              <w:t xml:space="preserve"> </w:t>
            </w:r>
            <w:r>
              <w:t>the</w:t>
            </w:r>
            <w:r w:rsidR="006C6F09">
              <w:t xml:space="preserve"> </w:t>
            </w:r>
            <w:r>
              <w:t>DEIS</w:t>
            </w:r>
            <w:r w:rsidR="006C6F09">
              <w:t xml:space="preserve"> </w:t>
            </w:r>
            <w:r>
              <w:t>NOA</w:t>
            </w:r>
            <w:r w:rsidR="006C6F09">
              <w:t xml:space="preserve"> </w:t>
            </w:r>
            <w:r>
              <w:t>and</w:t>
            </w:r>
            <w:r w:rsidR="006C6F09">
              <w:t xml:space="preserve"> </w:t>
            </w:r>
            <w:r>
              <w:t>public</w:t>
            </w:r>
            <w:r w:rsidR="006C6F09">
              <w:t xml:space="preserve"> </w:t>
            </w:r>
            <w:r>
              <w:t>hearing</w:t>
            </w:r>
            <w:r w:rsidR="006C6F09">
              <w:t xml:space="preserve"> </w:t>
            </w:r>
            <w:r>
              <w:t>notice</w:t>
            </w:r>
            <w:r w:rsidR="006C6F09">
              <w:t xml:space="preserve"> </w:t>
            </w:r>
            <w:r>
              <w:t>to</w:t>
            </w:r>
            <w:r w:rsidR="006C6F09">
              <w:t xml:space="preserve"> </w:t>
            </w:r>
            <w:r>
              <w:t>certain</w:t>
            </w:r>
            <w:r w:rsidR="006C6F09">
              <w:t xml:space="preserve"> </w:t>
            </w:r>
            <w:r>
              <w:t>entities</w:t>
            </w:r>
            <w:r w:rsidR="006C6F09">
              <w:t xml:space="preserve"> </w:t>
            </w:r>
            <w:r>
              <w:t>(still</w:t>
            </w:r>
            <w:r w:rsidR="006C6F09">
              <w:t xml:space="preserve"> </w:t>
            </w:r>
            <w:r>
              <w:t>have</w:t>
            </w:r>
            <w:r w:rsidR="006C6F09">
              <w:t xml:space="preserve"> </w:t>
            </w:r>
            <w:r>
              <w:t>23</w:t>
            </w:r>
            <w:r w:rsidR="006C6F09">
              <w:t xml:space="preserve"> </w:t>
            </w:r>
            <w:r>
              <w:t>CFR</w:t>
            </w:r>
            <w:r w:rsidR="006C6F09">
              <w:t xml:space="preserve"> </w:t>
            </w:r>
            <w:r>
              <w:t>771.123</w:t>
            </w:r>
            <w:r w:rsidR="006C6F09">
              <w:t xml:space="preserve"> </w:t>
            </w:r>
            <w:r>
              <w:t>–</w:t>
            </w:r>
            <w:r w:rsidR="006C6F09">
              <w:t xml:space="preserve"> </w:t>
            </w:r>
            <w:r>
              <w:t>transmit</w:t>
            </w:r>
            <w:r w:rsidR="006C6F09">
              <w:t xml:space="preserve"> </w:t>
            </w:r>
            <w:r>
              <w:t>to</w:t>
            </w:r>
            <w:r w:rsidR="006C6F09">
              <w:t xml:space="preserve"> </w:t>
            </w:r>
            <w:r>
              <w:t>“public</w:t>
            </w:r>
            <w:r w:rsidR="006C6F09">
              <w:t xml:space="preserve"> </w:t>
            </w:r>
            <w:r>
              <w:t>officials,</w:t>
            </w:r>
            <w:r w:rsidR="006C6F09">
              <w:t xml:space="preserve"> </w:t>
            </w:r>
            <w:r>
              <w:t>interest</w:t>
            </w:r>
            <w:r w:rsidR="006C6F09">
              <w:t xml:space="preserve"> </w:t>
            </w:r>
            <w:r>
              <w:t>groups,</w:t>
            </w:r>
            <w:r w:rsidR="006C6F09">
              <w:t xml:space="preserve"> </w:t>
            </w:r>
            <w:r>
              <w:t>and</w:t>
            </w:r>
            <w:r w:rsidR="006C6F09">
              <w:t xml:space="preserve"> </w:t>
            </w:r>
            <w:r>
              <w:t>members</w:t>
            </w:r>
            <w:r w:rsidR="006C6F09">
              <w:t xml:space="preserve"> </w:t>
            </w:r>
            <w:r>
              <w:t>of</w:t>
            </w:r>
            <w:r w:rsidR="006C6F09">
              <w:t xml:space="preserve"> </w:t>
            </w:r>
            <w:r>
              <w:t>the</w:t>
            </w:r>
            <w:r w:rsidR="006C6F09">
              <w:t xml:space="preserve"> </w:t>
            </w:r>
            <w:r>
              <w:t>public</w:t>
            </w:r>
            <w:r w:rsidR="006C6F09">
              <w:t xml:space="preserve"> </w:t>
            </w:r>
            <w:r>
              <w:t>known</w:t>
            </w:r>
            <w:r w:rsidR="006C6F09">
              <w:t xml:space="preserve"> </w:t>
            </w:r>
            <w:r>
              <w:t>to</w:t>
            </w:r>
            <w:r w:rsidR="006C6F09">
              <w:t xml:space="preserve"> </w:t>
            </w:r>
            <w:r>
              <w:t>have</w:t>
            </w:r>
            <w:r w:rsidR="006C6F09">
              <w:t xml:space="preserve"> </w:t>
            </w:r>
            <w:r>
              <w:t>an</w:t>
            </w:r>
            <w:r w:rsidR="006C6F09">
              <w:t xml:space="preserve"> </w:t>
            </w:r>
            <w:r>
              <w:t>interest</w:t>
            </w:r>
            <w:r w:rsidR="006C6F09">
              <w:t xml:space="preserve"> </w:t>
            </w:r>
            <w:r>
              <w:t>in</w:t>
            </w:r>
            <w:r w:rsidR="006C6F09">
              <w:t xml:space="preserve"> </w:t>
            </w:r>
            <w:r>
              <w:t>the</w:t>
            </w:r>
            <w:r w:rsidR="006C6F09">
              <w:t xml:space="preserve"> </w:t>
            </w:r>
            <w:r>
              <w:t>proposed</w:t>
            </w:r>
            <w:r w:rsidR="006C6F09">
              <w:t xml:space="preserve"> </w:t>
            </w:r>
            <w:r>
              <w:t>action</w:t>
            </w:r>
            <w:r w:rsidR="006C6F09">
              <w:t xml:space="preserve"> </w:t>
            </w:r>
            <w:r>
              <w:t>or</w:t>
            </w:r>
            <w:r w:rsidR="006C6F09">
              <w:t xml:space="preserve"> </w:t>
            </w:r>
            <w:r>
              <w:t>DEIS”).</w:t>
            </w:r>
          </w:p>
          <w:p w14:paraId="4697D2B5" w14:textId="77777777" w:rsidR="00457754" w:rsidRDefault="00457754" w:rsidP="004D6950">
            <w:pPr>
              <w:pStyle w:val="ListBullet"/>
              <w:numPr>
                <w:ilvl w:val="0"/>
                <w:numId w:val="0"/>
              </w:numPr>
              <w:ind w:left="1080" w:hanging="360"/>
              <w:cnfStyle w:val="000000000000" w:firstRow="0" w:lastRow="0" w:firstColumn="0" w:lastColumn="0" w:oddVBand="0" w:evenVBand="0" w:oddHBand="0" w:evenHBand="0" w:firstRowFirstColumn="0" w:firstRowLastColumn="0" w:lastRowFirstColumn="0" w:lastRowLastColumn="0"/>
            </w:pPr>
          </w:p>
        </w:tc>
      </w:tr>
      <w:tr w:rsidR="00457754" w14:paraId="3CAB13F7"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1A2D40C3" w14:textId="2714A35A" w:rsidR="00457754" w:rsidRPr="009D4C4D" w:rsidRDefault="00457754" w:rsidP="00263E76">
            <w:pPr>
              <w:rPr>
                <w:b w:val="0"/>
                <w:bCs w:val="0"/>
              </w:rPr>
            </w:pPr>
            <w:r>
              <w:rPr>
                <w:b w:val="0"/>
                <w:bCs w:val="0"/>
              </w:rPr>
              <w:lastRenderedPageBreak/>
              <w:t>March</w:t>
            </w:r>
            <w:r w:rsidR="006C6F09">
              <w:rPr>
                <w:b w:val="0"/>
                <w:bCs w:val="0"/>
              </w:rPr>
              <w:t xml:space="preserve"> </w:t>
            </w:r>
            <w:r>
              <w:rPr>
                <w:b w:val="0"/>
                <w:bCs w:val="0"/>
              </w:rPr>
              <w:t>2025</w:t>
            </w:r>
          </w:p>
        </w:tc>
        <w:tc>
          <w:tcPr>
            <w:tcW w:w="3339" w:type="pct"/>
            <w:shd w:val="clear" w:color="auto" w:fill="DADEE5"/>
          </w:tcPr>
          <w:p w14:paraId="551A3C6D" w14:textId="5FAF0FBD" w:rsidR="00457754" w:rsidRDefault="00457754" w:rsidP="004D6950">
            <w:pPr>
              <w:cnfStyle w:val="000000100000" w:firstRow="0" w:lastRow="0" w:firstColumn="0" w:lastColumn="0" w:oddVBand="0" w:evenVBand="0" w:oddHBand="1" w:evenHBand="0" w:firstRowFirstColumn="0" w:firstRowLastColumn="0" w:lastRowFirstColumn="0" w:lastRowLastColumn="0"/>
            </w:pPr>
            <w:r>
              <w:t>Version</w:t>
            </w:r>
            <w:r w:rsidR="006C6F09">
              <w:t xml:space="preserve"> </w:t>
            </w:r>
            <w:r>
              <w:t>20</w:t>
            </w:r>
            <w:r w:rsidR="006C6F09">
              <w:t xml:space="preserve"> </w:t>
            </w:r>
          </w:p>
          <w:p w14:paraId="6A8CF54A" w14:textId="2BAC2996"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Removed</w:t>
            </w:r>
            <w:r w:rsidR="006C6F09">
              <w:t xml:space="preserve"> </w:t>
            </w:r>
            <w:r>
              <w:t>references</w:t>
            </w:r>
            <w:r w:rsidR="006C6F09">
              <w:t xml:space="preserve"> </w:t>
            </w:r>
            <w:r>
              <w:t>to</w:t>
            </w:r>
            <w:r w:rsidR="006C6F09">
              <w:t xml:space="preserve"> </w:t>
            </w:r>
            <w:r>
              <w:t>Executive</w:t>
            </w:r>
            <w:r w:rsidR="006C6F09">
              <w:t xml:space="preserve"> </w:t>
            </w:r>
            <w:r>
              <w:t>Order</w:t>
            </w:r>
            <w:r w:rsidR="006C6F09">
              <w:t xml:space="preserve"> </w:t>
            </w:r>
            <w:r>
              <w:t>13166</w:t>
            </w:r>
            <w:r w:rsidR="006C6F09">
              <w:t xml:space="preserve"> </w:t>
            </w:r>
            <w:r>
              <w:t>(Improving</w:t>
            </w:r>
            <w:r w:rsidR="006C6F09">
              <w:t xml:space="preserve"> </w:t>
            </w:r>
            <w:r>
              <w:t>Access</w:t>
            </w:r>
            <w:r w:rsidR="006C6F09">
              <w:t xml:space="preserve"> </w:t>
            </w:r>
            <w:r>
              <w:t>to</w:t>
            </w:r>
            <w:r w:rsidR="006C6F09">
              <w:t xml:space="preserve"> </w:t>
            </w:r>
            <w:r>
              <w:t>Services</w:t>
            </w:r>
            <w:r w:rsidR="006C6F09">
              <w:t xml:space="preserve"> </w:t>
            </w:r>
            <w:r>
              <w:t>for</w:t>
            </w:r>
            <w:r w:rsidR="006C6F09">
              <w:t xml:space="preserve"> </w:t>
            </w:r>
            <w:r>
              <w:t>Persons</w:t>
            </w:r>
            <w:r w:rsidR="006C6F09">
              <w:t xml:space="preserve"> </w:t>
            </w:r>
            <w:r>
              <w:t>with</w:t>
            </w:r>
            <w:r w:rsidR="006C6F09">
              <w:t xml:space="preserve"> </w:t>
            </w:r>
            <w:r>
              <w:t>Limited</w:t>
            </w:r>
            <w:r w:rsidR="006C6F09">
              <w:t xml:space="preserve"> </w:t>
            </w:r>
            <w:r>
              <w:t>English</w:t>
            </w:r>
            <w:r w:rsidR="006C6F09">
              <w:t xml:space="preserve"> </w:t>
            </w:r>
            <w:r>
              <w:t>Proficiency),</w:t>
            </w:r>
            <w:r w:rsidR="006C6F09">
              <w:t xml:space="preserve"> </w:t>
            </w:r>
            <w:r>
              <w:t>which</w:t>
            </w:r>
            <w:r w:rsidR="006C6F09">
              <w:t xml:space="preserve"> </w:t>
            </w:r>
            <w:r>
              <w:t>was</w:t>
            </w:r>
            <w:r w:rsidR="006C6F09">
              <w:t xml:space="preserve"> </w:t>
            </w:r>
            <w:r>
              <w:t>revoked</w:t>
            </w:r>
            <w:r w:rsidR="006C6F09">
              <w:t xml:space="preserve"> </w:t>
            </w:r>
            <w:r>
              <w:t>by</w:t>
            </w:r>
            <w:r w:rsidR="006C6F09">
              <w:t xml:space="preserve"> </w:t>
            </w:r>
            <w:r>
              <w:t>the</w:t>
            </w:r>
            <w:r w:rsidR="006C6F09">
              <w:t xml:space="preserve"> </w:t>
            </w:r>
            <w:r>
              <w:t>executive</w:t>
            </w:r>
            <w:r w:rsidR="006C6F09">
              <w:t xml:space="preserve"> </w:t>
            </w:r>
            <w:r>
              <w:t>order</w:t>
            </w:r>
            <w:r w:rsidR="006C6F09">
              <w:t xml:space="preserve"> </w:t>
            </w:r>
            <w:r>
              <w:t>titled,</w:t>
            </w:r>
            <w:r w:rsidR="006C6F09">
              <w:t xml:space="preserve"> </w:t>
            </w:r>
            <w:r>
              <w:t>“Designating</w:t>
            </w:r>
            <w:r w:rsidR="006C6F09">
              <w:t xml:space="preserve"> </w:t>
            </w:r>
            <w:r>
              <w:t>English</w:t>
            </w:r>
            <w:r w:rsidR="006C6F09">
              <w:t xml:space="preserve"> </w:t>
            </w:r>
            <w:r>
              <w:t>as</w:t>
            </w:r>
            <w:r w:rsidR="006C6F09">
              <w:t xml:space="preserve"> </w:t>
            </w:r>
            <w:r>
              <w:t>the</w:t>
            </w:r>
            <w:r w:rsidR="006C6F09">
              <w:t xml:space="preserve"> </w:t>
            </w:r>
            <w:r>
              <w:t>Official</w:t>
            </w:r>
            <w:r w:rsidR="006C6F09">
              <w:t xml:space="preserve"> </w:t>
            </w:r>
            <w:r>
              <w:t>Language</w:t>
            </w:r>
            <w:r w:rsidR="006C6F09">
              <w:t xml:space="preserve"> </w:t>
            </w:r>
            <w:r>
              <w:t>of</w:t>
            </w:r>
            <w:r w:rsidR="006C6F09">
              <w:t xml:space="preserve"> </w:t>
            </w:r>
            <w:r>
              <w:t>the</w:t>
            </w:r>
            <w:r w:rsidR="006C6F09">
              <w:t xml:space="preserve"> </w:t>
            </w:r>
            <w:r>
              <w:t>United</w:t>
            </w:r>
            <w:r w:rsidR="006C6F09">
              <w:t xml:space="preserve"> </w:t>
            </w:r>
            <w:r>
              <w:t>States”</w:t>
            </w:r>
            <w:r w:rsidR="006C6F09">
              <w:t xml:space="preserve"> </w:t>
            </w:r>
            <w:r>
              <w:t>(March</w:t>
            </w:r>
            <w:r w:rsidR="006C6F09">
              <w:t xml:space="preserve"> </w:t>
            </w:r>
            <w:r>
              <w:t>1,</w:t>
            </w:r>
            <w:r w:rsidR="006C6F09">
              <w:t xml:space="preserve"> </w:t>
            </w:r>
            <w:r>
              <w:t>2025).</w:t>
            </w:r>
          </w:p>
        </w:tc>
      </w:tr>
      <w:tr w:rsidR="00457754" w14:paraId="2FE58D71" w14:textId="77777777" w:rsidTr="00263E76">
        <w:trPr>
          <w:cantSplit/>
        </w:trPr>
        <w:tc>
          <w:tcPr>
            <w:cnfStyle w:val="001000000000" w:firstRow="0" w:lastRow="0" w:firstColumn="1" w:lastColumn="0" w:oddVBand="0" w:evenVBand="0" w:oddHBand="0" w:evenHBand="0" w:firstRowFirstColumn="0" w:firstRowLastColumn="0" w:lastRowFirstColumn="0" w:lastRowLastColumn="0"/>
            <w:tcW w:w="1661" w:type="pct"/>
            <w:vAlign w:val="center"/>
          </w:tcPr>
          <w:p w14:paraId="0A29BCC8" w14:textId="06C42A6D" w:rsidR="00457754" w:rsidRPr="009D4C4D" w:rsidRDefault="00457754" w:rsidP="00263E76">
            <w:pPr>
              <w:rPr>
                <w:b w:val="0"/>
                <w:bCs w:val="0"/>
              </w:rPr>
            </w:pPr>
            <w:r>
              <w:rPr>
                <w:b w:val="0"/>
                <w:bCs w:val="0"/>
              </w:rPr>
              <w:t>February</w:t>
            </w:r>
            <w:r w:rsidR="006C6F09">
              <w:rPr>
                <w:b w:val="0"/>
                <w:bCs w:val="0"/>
              </w:rPr>
              <w:t xml:space="preserve"> </w:t>
            </w:r>
            <w:r>
              <w:rPr>
                <w:b w:val="0"/>
                <w:bCs w:val="0"/>
              </w:rPr>
              <w:t>2025</w:t>
            </w:r>
          </w:p>
        </w:tc>
        <w:tc>
          <w:tcPr>
            <w:tcW w:w="3339" w:type="pct"/>
          </w:tcPr>
          <w:p w14:paraId="7E3BF428" w14:textId="3AE8015F" w:rsidR="00457754" w:rsidRDefault="00457754" w:rsidP="004D6950">
            <w:pPr>
              <w:cnfStyle w:val="000000000000" w:firstRow="0" w:lastRow="0" w:firstColumn="0" w:lastColumn="0" w:oddVBand="0" w:evenVBand="0" w:oddHBand="0" w:evenHBand="0" w:firstRowFirstColumn="0" w:firstRowLastColumn="0" w:lastRowFirstColumn="0" w:lastRowLastColumn="0"/>
            </w:pPr>
            <w:r>
              <w:t>Version</w:t>
            </w:r>
            <w:r w:rsidR="006C6F09">
              <w:t xml:space="preserve"> </w:t>
            </w:r>
            <w:r>
              <w:t>19</w:t>
            </w:r>
            <w:r w:rsidR="006C6F09">
              <w:t xml:space="preserve"> </w:t>
            </w:r>
          </w:p>
          <w:p w14:paraId="5D12A8E0" w14:textId="15F01D9E"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Removed</w:t>
            </w:r>
            <w:r w:rsidR="006C6F09">
              <w:t xml:space="preserve"> </w:t>
            </w:r>
            <w:r>
              <w:t>environmental</w:t>
            </w:r>
            <w:r w:rsidR="006C6F09">
              <w:t xml:space="preserve"> </w:t>
            </w:r>
            <w:r>
              <w:t>justice-related</w:t>
            </w:r>
            <w:r w:rsidR="006C6F09">
              <w:t xml:space="preserve"> </w:t>
            </w:r>
            <w:r>
              <w:t>instructions</w:t>
            </w:r>
            <w:r w:rsidR="006C6F09">
              <w:t xml:space="preserve"> </w:t>
            </w:r>
            <w:r>
              <w:t>in</w:t>
            </w:r>
            <w:r w:rsidR="006C6F09">
              <w:t xml:space="preserve"> </w:t>
            </w:r>
            <w:r>
              <w:t>accordance</w:t>
            </w:r>
            <w:r w:rsidR="006C6F09">
              <w:t xml:space="preserve"> </w:t>
            </w:r>
            <w:r>
              <w:t>with</w:t>
            </w:r>
            <w:r w:rsidR="006C6F09">
              <w:t xml:space="preserve"> </w:t>
            </w:r>
            <w:r>
              <w:t>Executive</w:t>
            </w:r>
            <w:r w:rsidR="006C6F09">
              <w:t xml:space="preserve"> </w:t>
            </w:r>
            <w:r>
              <w:t>Order</w:t>
            </w:r>
            <w:r w:rsidR="006C6F09">
              <w:t xml:space="preserve"> </w:t>
            </w:r>
            <w:r>
              <w:t>titled</w:t>
            </w:r>
            <w:r w:rsidR="006C6F09">
              <w:t xml:space="preserve"> </w:t>
            </w:r>
            <w:r>
              <w:t>“Ending</w:t>
            </w:r>
            <w:r w:rsidR="006C6F09">
              <w:t xml:space="preserve"> </w:t>
            </w:r>
            <w:r>
              <w:t>Illegal</w:t>
            </w:r>
            <w:r w:rsidR="006C6F09">
              <w:t xml:space="preserve"> </w:t>
            </w:r>
            <w:r>
              <w:t>Discrimination</w:t>
            </w:r>
            <w:r w:rsidR="006C6F09">
              <w:t xml:space="preserve"> </w:t>
            </w:r>
            <w:r>
              <w:t>and</w:t>
            </w:r>
            <w:r w:rsidR="006C6F09">
              <w:t xml:space="preserve"> </w:t>
            </w:r>
            <w:r>
              <w:t>Restoring</w:t>
            </w:r>
            <w:r w:rsidR="006C6F09">
              <w:t xml:space="preserve"> </w:t>
            </w:r>
            <w:r>
              <w:t>Merit-Based</w:t>
            </w:r>
            <w:r w:rsidR="006C6F09">
              <w:t xml:space="preserve"> </w:t>
            </w:r>
            <w:r>
              <w:t>Opportunity”</w:t>
            </w:r>
            <w:r w:rsidR="006C6F09">
              <w:t xml:space="preserve"> </w:t>
            </w:r>
            <w:r>
              <w:t>(January</w:t>
            </w:r>
            <w:r w:rsidR="006C6F09">
              <w:t xml:space="preserve"> </w:t>
            </w:r>
            <w:r>
              <w:t>21,</w:t>
            </w:r>
            <w:r w:rsidR="006C6F09">
              <w:t xml:space="preserve"> </w:t>
            </w:r>
            <w:r>
              <w:t>2025).</w:t>
            </w:r>
          </w:p>
        </w:tc>
      </w:tr>
      <w:tr w:rsidR="00457754" w14:paraId="3CC9AEAD"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146FE964" w14:textId="37ACE96D" w:rsidR="00457754" w:rsidRPr="009D4C4D" w:rsidRDefault="00457754" w:rsidP="00263E76">
            <w:pPr>
              <w:rPr>
                <w:b w:val="0"/>
                <w:bCs w:val="0"/>
              </w:rPr>
            </w:pPr>
            <w:r>
              <w:rPr>
                <w:b w:val="0"/>
                <w:bCs w:val="0"/>
              </w:rPr>
              <w:lastRenderedPageBreak/>
              <w:t>September</w:t>
            </w:r>
            <w:r w:rsidR="006C6F09">
              <w:rPr>
                <w:b w:val="0"/>
                <w:bCs w:val="0"/>
              </w:rPr>
              <w:t xml:space="preserve"> </w:t>
            </w:r>
            <w:r>
              <w:rPr>
                <w:b w:val="0"/>
                <w:bCs w:val="0"/>
              </w:rPr>
              <w:t>2024</w:t>
            </w:r>
          </w:p>
        </w:tc>
        <w:tc>
          <w:tcPr>
            <w:tcW w:w="3339" w:type="pct"/>
            <w:shd w:val="clear" w:color="auto" w:fill="DADEE5"/>
          </w:tcPr>
          <w:p w14:paraId="245963CB" w14:textId="7DBC1267" w:rsidR="00457754" w:rsidRDefault="00457754" w:rsidP="004D6950">
            <w:pPr>
              <w:cnfStyle w:val="000000100000" w:firstRow="0" w:lastRow="0" w:firstColumn="0" w:lastColumn="0" w:oddVBand="0" w:evenVBand="0" w:oddHBand="1" w:evenHBand="0" w:firstRowFirstColumn="0" w:firstRowLastColumn="0" w:lastRowFirstColumn="0" w:lastRowLastColumn="0"/>
            </w:pPr>
            <w:r>
              <w:t>Version</w:t>
            </w:r>
            <w:r w:rsidR="006C6F09">
              <w:t xml:space="preserve"> </w:t>
            </w:r>
            <w:r>
              <w:t>18</w:t>
            </w:r>
            <w:r w:rsidR="006C6F09">
              <w:t xml:space="preserve"> </w:t>
            </w:r>
          </w:p>
          <w:p w14:paraId="14561AA5" w14:textId="1CD048D7"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In</w:t>
            </w:r>
            <w:r w:rsidR="006C6F09">
              <w:t xml:space="preserve"> </w:t>
            </w:r>
            <w:r>
              <w:t>accordance</w:t>
            </w:r>
            <w:r w:rsidR="006C6F09">
              <w:t xml:space="preserve"> </w:t>
            </w:r>
            <w:r>
              <w:t>with</w:t>
            </w:r>
            <w:r w:rsidR="006C6F09">
              <w:t xml:space="preserve"> </w:t>
            </w:r>
            <w:r>
              <w:t>CEQ</w:t>
            </w:r>
            <w:r w:rsidR="006C6F09">
              <w:t xml:space="preserve"> </w:t>
            </w:r>
            <w:r>
              <w:t>Phase</w:t>
            </w:r>
            <w:r w:rsidR="006C6F09">
              <w:t xml:space="preserve"> </w:t>
            </w:r>
            <w:r>
              <w:t>2</w:t>
            </w:r>
            <w:r w:rsidR="006C6F09">
              <w:t xml:space="preserve"> </w:t>
            </w:r>
            <w:r>
              <w:t>rulemaking,</w:t>
            </w:r>
            <w:r w:rsidR="006C6F09">
              <w:t xml:space="preserve"> </w:t>
            </w:r>
            <w:r>
              <w:t>make</w:t>
            </w:r>
            <w:r w:rsidR="006C6F09">
              <w:t xml:space="preserve"> </w:t>
            </w:r>
            <w:r>
              <w:t>the</w:t>
            </w:r>
            <w:r w:rsidR="006C6F09">
              <w:t xml:space="preserve"> </w:t>
            </w:r>
            <w:r>
              <w:t>following</w:t>
            </w:r>
            <w:r w:rsidR="006C6F09">
              <w:t xml:space="preserve"> </w:t>
            </w:r>
            <w:r>
              <w:t>changes:</w:t>
            </w:r>
          </w:p>
          <w:p w14:paraId="4648F2C0" w14:textId="4D72340D" w:rsidR="00457754" w:rsidRDefault="00457754" w:rsidP="00457754">
            <w:pPr>
              <w:pStyle w:val="ListBullet"/>
              <w:numPr>
                <w:ilvl w:val="2"/>
                <w:numId w:val="2"/>
              </w:numPr>
              <w:cnfStyle w:val="000000100000" w:firstRow="0" w:lastRow="0" w:firstColumn="0" w:lastColumn="0" w:oddVBand="0" w:evenVBand="0" w:oddHBand="1" w:evenHBand="0" w:firstRowFirstColumn="0" w:firstRowLastColumn="0" w:lastRowFirstColumn="0" w:lastRowLastColumn="0"/>
            </w:pPr>
            <w:r>
              <w:t>Added</w:t>
            </w:r>
            <w:r w:rsidR="006C6F09">
              <w:t xml:space="preserve"> </w:t>
            </w:r>
            <w:r>
              <w:t>instruction</w:t>
            </w:r>
            <w:r w:rsidR="006C6F09">
              <w:t xml:space="preserve"> </w:t>
            </w:r>
            <w:r>
              <w:t>to</w:t>
            </w:r>
            <w:r w:rsidR="006C6F09">
              <w:t xml:space="preserve"> </w:t>
            </w:r>
            <w:r>
              <w:t>say</w:t>
            </w:r>
            <w:r w:rsidR="006C6F09">
              <w:t xml:space="preserve"> </w:t>
            </w:r>
            <w:r>
              <w:t>that</w:t>
            </w:r>
            <w:r w:rsidR="006C6F09">
              <w:t xml:space="preserve"> </w:t>
            </w:r>
            <w:r>
              <w:t>if</w:t>
            </w:r>
            <w:r w:rsidR="006C6F09">
              <w:t xml:space="preserve"> </w:t>
            </w:r>
            <w:r>
              <w:t>anybody</w:t>
            </w:r>
            <w:r w:rsidR="006C6F09">
              <w:t xml:space="preserve"> </w:t>
            </w:r>
            <w:r>
              <w:t>requests</w:t>
            </w:r>
            <w:r w:rsidR="006C6F09">
              <w:t xml:space="preserve"> </w:t>
            </w:r>
            <w:r>
              <w:t>“regular</w:t>
            </w:r>
            <w:r w:rsidR="006C6F09">
              <w:t xml:space="preserve"> </w:t>
            </w:r>
            <w:r>
              <w:t>notification</w:t>
            </w:r>
            <w:r w:rsidR="006C6F09">
              <w:t xml:space="preserve"> </w:t>
            </w:r>
            <w:r>
              <w:t>from</w:t>
            </w:r>
            <w:r w:rsidR="006C6F09">
              <w:t xml:space="preserve"> </w:t>
            </w:r>
            <w:r>
              <w:t>the</w:t>
            </w:r>
            <w:r w:rsidR="006C6F09">
              <w:t xml:space="preserve"> </w:t>
            </w:r>
            <w:r>
              <w:t>agency</w:t>
            </w:r>
            <w:r w:rsidR="006C6F09">
              <w:t xml:space="preserve"> </w:t>
            </w:r>
            <w:r>
              <w:t>on</w:t>
            </w:r>
            <w:r w:rsidR="006C6F09">
              <w:t xml:space="preserve"> </w:t>
            </w:r>
            <w:r>
              <w:t>its</w:t>
            </w:r>
            <w:r w:rsidR="006C6F09">
              <w:t xml:space="preserve"> </w:t>
            </w:r>
            <w:r>
              <w:t>actions”</w:t>
            </w:r>
            <w:r w:rsidR="006C6F09">
              <w:t xml:space="preserve"> </w:t>
            </w:r>
            <w:r>
              <w:t>we</w:t>
            </w:r>
            <w:r w:rsidR="006C6F09">
              <w:t xml:space="preserve"> </w:t>
            </w:r>
            <w:r>
              <w:t>should</w:t>
            </w:r>
            <w:r w:rsidR="006C6F09">
              <w:t xml:space="preserve"> </w:t>
            </w:r>
            <w:r>
              <w:t>email</w:t>
            </w:r>
            <w:r w:rsidR="006C6F09">
              <w:t xml:space="preserve"> </w:t>
            </w:r>
            <w:r>
              <w:t>them</w:t>
            </w:r>
            <w:r w:rsidR="006C6F09">
              <w:t xml:space="preserve"> </w:t>
            </w:r>
            <w:r>
              <w:t>the</w:t>
            </w:r>
            <w:r w:rsidR="006C6F09">
              <w:t xml:space="preserve"> </w:t>
            </w:r>
            <w:r>
              <w:t>link</w:t>
            </w:r>
            <w:r w:rsidR="006C6F09">
              <w:t xml:space="preserve"> </w:t>
            </w:r>
            <w:r>
              <w:t>to</w:t>
            </w:r>
            <w:r w:rsidR="006C6F09">
              <w:t xml:space="preserve"> </w:t>
            </w:r>
            <w:r>
              <w:t>the</w:t>
            </w:r>
            <w:r w:rsidR="006C6F09">
              <w:t xml:space="preserve"> </w:t>
            </w:r>
            <w:r>
              <w:t>“hearings,</w:t>
            </w:r>
            <w:r w:rsidR="006C6F09">
              <w:t xml:space="preserve"> </w:t>
            </w:r>
            <w:r>
              <w:t>meetings</w:t>
            </w:r>
            <w:r w:rsidR="006C6F09">
              <w:t xml:space="preserve"> </w:t>
            </w:r>
            <w:r>
              <w:t>and</w:t>
            </w:r>
            <w:r w:rsidR="006C6F09">
              <w:t xml:space="preserve"> </w:t>
            </w:r>
            <w:r>
              <w:t>notices</w:t>
            </w:r>
            <w:r w:rsidR="006C6F09">
              <w:t xml:space="preserve"> </w:t>
            </w:r>
            <w:r>
              <w:t>schedule”</w:t>
            </w:r>
            <w:r w:rsidR="006C6F09">
              <w:t xml:space="preserve"> </w:t>
            </w:r>
            <w:r>
              <w:t>website.</w:t>
            </w:r>
            <w:r w:rsidR="006C6F09">
              <w:t xml:space="preserve"> </w:t>
            </w:r>
            <w:r>
              <w:t>Also,</w:t>
            </w:r>
            <w:r w:rsidR="006C6F09">
              <w:t xml:space="preserve"> </w:t>
            </w:r>
            <w:r>
              <w:t>specifically</w:t>
            </w:r>
            <w:r w:rsidR="006C6F09">
              <w:t xml:space="preserve"> </w:t>
            </w:r>
            <w:r>
              <w:t>instruct</w:t>
            </w:r>
            <w:r w:rsidR="006C6F09">
              <w:t xml:space="preserve"> </w:t>
            </w:r>
            <w:r>
              <w:t>to</w:t>
            </w:r>
            <w:r w:rsidR="006C6F09">
              <w:t xml:space="preserve"> </w:t>
            </w:r>
            <w:r>
              <w:t>post</w:t>
            </w:r>
            <w:r w:rsidR="006C6F09">
              <w:t xml:space="preserve"> </w:t>
            </w:r>
            <w:r>
              <w:t>certain</w:t>
            </w:r>
            <w:r w:rsidR="006C6F09">
              <w:t xml:space="preserve"> </w:t>
            </w:r>
            <w:r>
              <w:t>notices</w:t>
            </w:r>
            <w:r w:rsidR="006C6F09">
              <w:t xml:space="preserve"> </w:t>
            </w:r>
            <w:r>
              <w:t>to</w:t>
            </w:r>
            <w:r w:rsidR="006C6F09">
              <w:t xml:space="preserve"> </w:t>
            </w:r>
            <w:r>
              <w:t>the</w:t>
            </w:r>
            <w:r w:rsidR="006C6F09">
              <w:t xml:space="preserve"> </w:t>
            </w:r>
            <w:r>
              <w:t>“hearings,</w:t>
            </w:r>
            <w:r w:rsidR="006C6F09">
              <w:t xml:space="preserve"> </w:t>
            </w:r>
            <w:r>
              <w:t>meetings,</w:t>
            </w:r>
            <w:r w:rsidR="006C6F09">
              <w:t xml:space="preserve"> </w:t>
            </w:r>
            <w:r>
              <w:t>and</w:t>
            </w:r>
            <w:r w:rsidR="006C6F09">
              <w:t xml:space="preserve"> </w:t>
            </w:r>
            <w:r>
              <w:t>notices</w:t>
            </w:r>
            <w:r w:rsidR="006C6F09">
              <w:t xml:space="preserve"> </w:t>
            </w:r>
            <w:r>
              <w:t>schedule”</w:t>
            </w:r>
            <w:r w:rsidR="006C6F09">
              <w:t xml:space="preserve"> </w:t>
            </w:r>
            <w:r>
              <w:t>website</w:t>
            </w:r>
            <w:r w:rsidR="006C6F09">
              <w:t xml:space="preserve"> </w:t>
            </w:r>
            <w:r>
              <w:t>(not</w:t>
            </w:r>
            <w:r w:rsidR="006C6F09">
              <w:t xml:space="preserve"> </w:t>
            </w:r>
            <w:r>
              <w:t>just</w:t>
            </w:r>
            <w:r w:rsidR="006C6F09">
              <w:t xml:space="preserve"> </w:t>
            </w:r>
            <w:r>
              <w:t>a</w:t>
            </w:r>
            <w:r w:rsidR="006C6F09">
              <w:t xml:space="preserve"> </w:t>
            </w:r>
            <w:r>
              <w:t>project</w:t>
            </w:r>
            <w:r w:rsidR="006C6F09">
              <w:t xml:space="preserve"> </w:t>
            </w:r>
            <w:r>
              <w:t>website</w:t>
            </w:r>
            <w:r w:rsidR="006C6F09">
              <w:t xml:space="preserve"> </w:t>
            </w:r>
            <w:r>
              <w:t>on</w:t>
            </w:r>
            <w:r w:rsidR="006C6F09">
              <w:t xml:space="preserve"> </w:t>
            </w:r>
            <w:r>
              <w:t>TxDOT.gov).</w:t>
            </w:r>
          </w:p>
          <w:p w14:paraId="77957C2C" w14:textId="13721634" w:rsidR="00457754" w:rsidRDefault="00457754" w:rsidP="00457754">
            <w:pPr>
              <w:pStyle w:val="ListBullet"/>
              <w:numPr>
                <w:ilvl w:val="2"/>
                <w:numId w:val="2"/>
              </w:numPr>
              <w:cnfStyle w:val="000000100000" w:firstRow="0" w:lastRow="0" w:firstColumn="0" w:lastColumn="0" w:oddVBand="0" w:evenVBand="0" w:oddHBand="1" w:evenHBand="0" w:firstRowFirstColumn="0" w:firstRowLastColumn="0" w:lastRowFirstColumn="0" w:lastRowLastColumn="0"/>
            </w:pPr>
            <w:r>
              <w:t>Designated</w:t>
            </w:r>
            <w:r w:rsidR="006C6F09">
              <w:t xml:space="preserve"> </w:t>
            </w:r>
            <w:r>
              <w:t>the</w:t>
            </w:r>
            <w:r w:rsidR="006C6F09">
              <w:t xml:space="preserve"> </w:t>
            </w:r>
            <w:r>
              <w:t>TPP</w:t>
            </w:r>
            <w:r w:rsidR="006C6F09">
              <w:t xml:space="preserve"> </w:t>
            </w:r>
            <w:r>
              <w:t>PI</w:t>
            </w:r>
            <w:r w:rsidR="006C6F09">
              <w:t xml:space="preserve"> </w:t>
            </w:r>
            <w:r>
              <w:t>Section</w:t>
            </w:r>
            <w:r w:rsidR="006C6F09">
              <w:t xml:space="preserve"> </w:t>
            </w:r>
            <w:r>
              <w:t>Director</w:t>
            </w:r>
            <w:r w:rsidR="006C6F09">
              <w:t xml:space="preserve"> </w:t>
            </w:r>
            <w:r>
              <w:t>as</w:t>
            </w:r>
            <w:r w:rsidR="006C6F09">
              <w:t xml:space="preserve"> </w:t>
            </w:r>
            <w:r>
              <w:t>the</w:t>
            </w:r>
            <w:r w:rsidR="006C6F09">
              <w:t xml:space="preserve"> </w:t>
            </w:r>
            <w:r>
              <w:t>“Chief</w:t>
            </w:r>
            <w:r w:rsidR="006C6F09">
              <w:t xml:space="preserve"> </w:t>
            </w:r>
            <w:r>
              <w:t>Public</w:t>
            </w:r>
            <w:r w:rsidR="006C6F09">
              <w:t xml:space="preserve"> </w:t>
            </w:r>
            <w:r>
              <w:t>Engagement</w:t>
            </w:r>
            <w:r w:rsidR="006C6F09">
              <w:t xml:space="preserve"> </w:t>
            </w:r>
            <w:r>
              <w:t>Officer</w:t>
            </w:r>
            <w:r w:rsidR="006C6F09">
              <w:t xml:space="preserve"> </w:t>
            </w:r>
            <w:r>
              <w:t>to</w:t>
            </w:r>
            <w:r w:rsidR="006C6F09">
              <w:t xml:space="preserve"> </w:t>
            </w:r>
            <w:r>
              <w:t>be</w:t>
            </w:r>
            <w:r w:rsidR="006C6F09">
              <w:t xml:space="preserve"> </w:t>
            </w:r>
            <w:r>
              <w:t>responsible</w:t>
            </w:r>
            <w:r w:rsidR="006C6F09">
              <w:t xml:space="preserve"> </w:t>
            </w:r>
            <w:r>
              <w:t>for</w:t>
            </w:r>
            <w:r w:rsidR="006C6F09">
              <w:t xml:space="preserve"> </w:t>
            </w:r>
            <w:r>
              <w:t>facilitating</w:t>
            </w:r>
            <w:r w:rsidR="006C6F09">
              <w:t xml:space="preserve"> </w:t>
            </w:r>
            <w:r>
              <w:t>community</w:t>
            </w:r>
            <w:r w:rsidR="006C6F09">
              <w:t xml:space="preserve"> </w:t>
            </w:r>
            <w:r>
              <w:t>engagement</w:t>
            </w:r>
            <w:r w:rsidR="006C6F09">
              <w:t xml:space="preserve"> </w:t>
            </w:r>
            <w:r>
              <w:t>in</w:t>
            </w:r>
            <w:r w:rsidR="006C6F09">
              <w:t xml:space="preserve"> </w:t>
            </w:r>
            <w:r>
              <w:t>environmental</w:t>
            </w:r>
            <w:r w:rsidR="006C6F09">
              <w:t xml:space="preserve"> </w:t>
            </w:r>
            <w:r>
              <w:t>reviews</w:t>
            </w:r>
            <w:r w:rsidR="006C6F09">
              <w:t xml:space="preserve"> </w:t>
            </w:r>
            <w:r>
              <w:t>across</w:t>
            </w:r>
            <w:r w:rsidR="006C6F09">
              <w:t xml:space="preserve"> </w:t>
            </w:r>
            <w:r>
              <w:t>the</w:t>
            </w:r>
            <w:r w:rsidR="006C6F09">
              <w:t xml:space="preserve"> </w:t>
            </w:r>
            <w:r>
              <w:t>agency.”</w:t>
            </w:r>
          </w:p>
        </w:tc>
      </w:tr>
      <w:tr w:rsidR="00457754" w14:paraId="2D9BFC99" w14:textId="77777777" w:rsidTr="00263E76">
        <w:trPr>
          <w:cantSplit/>
        </w:trPr>
        <w:tc>
          <w:tcPr>
            <w:cnfStyle w:val="001000000000" w:firstRow="0" w:lastRow="0" w:firstColumn="1" w:lastColumn="0" w:oddVBand="0" w:evenVBand="0" w:oddHBand="0" w:evenHBand="0" w:firstRowFirstColumn="0" w:firstRowLastColumn="0" w:lastRowFirstColumn="0" w:lastRowLastColumn="0"/>
            <w:tcW w:w="1661" w:type="pct"/>
            <w:vAlign w:val="center"/>
          </w:tcPr>
          <w:p w14:paraId="203F0515" w14:textId="1ACA9625" w:rsidR="00457754" w:rsidRPr="009D4C4D" w:rsidRDefault="00457754" w:rsidP="00263E76">
            <w:pPr>
              <w:rPr>
                <w:b w:val="0"/>
                <w:bCs w:val="0"/>
              </w:rPr>
            </w:pPr>
            <w:r>
              <w:rPr>
                <w:b w:val="0"/>
                <w:bCs w:val="0"/>
              </w:rPr>
              <w:lastRenderedPageBreak/>
              <w:t>April</w:t>
            </w:r>
            <w:r w:rsidR="006C6F09">
              <w:rPr>
                <w:b w:val="0"/>
                <w:bCs w:val="0"/>
              </w:rPr>
              <w:t xml:space="preserve"> </w:t>
            </w:r>
            <w:r>
              <w:rPr>
                <w:b w:val="0"/>
                <w:bCs w:val="0"/>
              </w:rPr>
              <w:t>2024</w:t>
            </w:r>
          </w:p>
        </w:tc>
        <w:tc>
          <w:tcPr>
            <w:tcW w:w="3339" w:type="pct"/>
          </w:tcPr>
          <w:p w14:paraId="2CB2AF20" w14:textId="2B61E311" w:rsidR="00457754" w:rsidRDefault="00457754" w:rsidP="004D6950">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Version</w:t>
            </w:r>
            <w:r w:rsidR="006C6F09">
              <w:t xml:space="preserve"> </w:t>
            </w:r>
            <w:r>
              <w:t>17</w:t>
            </w:r>
            <w:r w:rsidR="006C6F09">
              <w:t xml:space="preserve"> </w:t>
            </w:r>
          </w:p>
          <w:p w14:paraId="5DF536D0" w14:textId="2DD769DB"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Incorporated</w:t>
            </w:r>
            <w:r w:rsidR="006C6F09">
              <w:t xml:space="preserve"> </w:t>
            </w:r>
            <w:r>
              <w:t>instructions</w:t>
            </w:r>
            <w:r w:rsidR="006C6F09">
              <w:t xml:space="preserve"> </w:t>
            </w:r>
            <w:r>
              <w:t>from</w:t>
            </w:r>
            <w:r w:rsidR="006C6F09">
              <w:t xml:space="preserve"> </w:t>
            </w:r>
            <w:r>
              <w:t>“Guidance</w:t>
            </w:r>
            <w:r w:rsidR="006C6F09">
              <w:t xml:space="preserve"> </w:t>
            </w:r>
            <w:r>
              <w:t>–</w:t>
            </w:r>
            <w:r w:rsidR="006C6F09">
              <w:t xml:space="preserve"> </w:t>
            </w:r>
            <w:r>
              <w:t>Frequently</w:t>
            </w:r>
            <w:r w:rsidR="006C6F09">
              <w:t xml:space="preserve"> </w:t>
            </w:r>
            <w:r>
              <w:t>Asked</w:t>
            </w:r>
            <w:r w:rsidR="006C6F09">
              <w:t xml:space="preserve"> </w:t>
            </w:r>
            <w:r>
              <w:t>Questions</w:t>
            </w:r>
            <w:r w:rsidR="006C6F09">
              <w:t xml:space="preserve"> </w:t>
            </w:r>
            <w:r>
              <w:t>(FAQ)</w:t>
            </w:r>
            <w:r w:rsidR="006C6F09">
              <w:t xml:space="preserve"> </w:t>
            </w:r>
            <w:r>
              <w:t>Regarding</w:t>
            </w:r>
            <w:r w:rsidR="006C6F09">
              <w:t xml:space="preserve"> </w:t>
            </w:r>
            <w:r>
              <w:t>Virtual</w:t>
            </w:r>
            <w:r w:rsidR="006C6F09">
              <w:t xml:space="preserve"> </w:t>
            </w:r>
            <w:r>
              <w:t>Public</w:t>
            </w:r>
            <w:r w:rsidR="006C6F09">
              <w:t xml:space="preserve"> </w:t>
            </w:r>
            <w:r>
              <w:t>Involvement</w:t>
            </w:r>
            <w:r w:rsidR="006C6F09">
              <w:t xml:space="preserve"> </w:t>
            </w:r>
            <w:r>
              <w:t>under</w:t>
            </w:r>
            <w:r w:rsidR="006C6F09">
              <w:t xml:space="preserve"> </w:t>
            </w:r>
            <w:r>
              <w:t>NEPA</w:t>
            </w:r>
            <w:r w:rsidR="006C6F09">
              <w:t xml:space="preserve"> </w:t>
            </w:r>
            <w:r>
              <w:t>and</w:t>
            </w:r>
            <w:r w:rsidR="006C6F09">
              <w:t xml:space="preserve"> </w:t>
            </w:r>
            <w:r>
              <w:t>TxDOT’s</w:t>
            </w:r>
            <w:r w:rsidR="006C6F09">
              <w:t xml:space="preserve"> </w:t>
            </w:r>
            <w:r>
              <w:t>Environmental</w:t>
            </w:r>
            <w:r w:rsidR="006C6F09">
              <w:t xml:space="preserve"> </w:t>
            </w:r>
            <w:r>
              <w:t>Review</w:t>
            </w:r>
            <w:r w:rsidR="006C6F09">
              <w:t xml:space="preserve"> </w:t>
            </w:r>
            <w:r>
              <w:t>Rules.”</w:t>
            </w:r>
            <w:r w:rsidR="00135456">
              <w:t xml:space="preserve"> </w:t>
            </w:r>
            <w:r>
              <w:t>The</w:t>
            </w:r>
            <w:r w:rsidR="006C6F09">
              <w:t xml:space="preserve"> </w:t>
            </w:r>
            <w:r>
              <w:t>FAQ</w:t>
            </w:r>
            <w:r w:rsidR="006C6F09">
              <w:t xml:space="preserve"> </w:t>
            </w:r>
            <w:r>
              <w:t>has</w:t>
            </w:r>
            <w:r w:rsidR="006C6F09">
              <w:t xml:space="preserve"> </w:t>
            </w:r>
            <w:r>
              <w:t>been</w:t>
            </w:r>
            <w:r w:rsidR="006C6F09">
              <w:t xml:space="preserve"> </w:t>
            </w:r>
            <w:r>
              <w:t>the</w:t>
            </w:r>
            <w:r w:rsidR="006C6F09">
              <w:t xml:space="preserve"> </w:t>
            </w:r>
            <w:r>
              <w:t>primary</w:t>
            </w:r>
            <w:r w:rsidR="006C6F09">
              <w:t xml:space="preserve"> </w:t>
            </w:r>
            <w:r>
              <w:t>source</w:t>
            </w:r>
            <w:r w:rsidR="006C6F09">
              <w:t xml:space="preserve"> </w:t>
            </w:r>
            <w:r>
              <w:t>of</w:t>
            </w:r>
            <w:r w:rsidR="006C6F09">
              <w:t xml:space="preserve"> </w:t>
            </w:r>
            <w:r>
              <w:t>guidance</w:t>
            </w:r>
            <w:r w:rsidR="006C6F09">
              <w:t xml:space="preserve"> </w:t>
            </w:r>
            <w:r>
              <w:t>on</w:t>
            </w:r>
            <w:r w:rsidR="006C6F09">
              <w:t xml:space="preserve"> </w:t>
            </w:r>
            <w:r>
              <w:t>virtual</w:t>
            </w:r>
            <w:r w:rsidR="006C6F09">
              <w:t xml:space="preserve"> </w:t>
            </w:r>
            <w:r>
              <w:t>public</w:t>
            </w:r>
            <w:r w:rsidR="006C6F09">
              <w:t xml:space="preserve"> </w:t>
            </w:r>
            <w:r>
              <w:t>involvement</w:t>
            </w:r>
            <w:r w:rsidR="006C6F09">
              <w:t xml:space="preserve"> </w:t>
            </w:r>
            <w:r>
              <w:t>for</w:t>
            </w:r>
            <w:r w:rsidR="006C6F09">
              <w:t xml:space="preserve"> </w:t>
            </w:r>
            <w:r>
              <w:t>the</w:t>
            </w:r>
            <w:r w:rsidR="006C6F09">
              <w:t xml:space="preserve"> </w:t>
            </w:r>
            <w:r>
              <w:t>last</w:t>
            </w:r>
            <w:r w:rsidR="006C6F09">
              <w:t xml:space="preserve"> </w:t>
            </w:r>
            <w:r>
              <w:t>few</w:t>
            </w:r>
            <w:r w:rsidR="006C6F09">
              <w:t xml:space="preserve"> </w:t>
            </w:r>
            <w:r>
              <w:t>years.</w:t>
            </w:r>
            <w:r w:rsidR="006C6F09">
              <w:t xml:space="preserve"> </w:t>
            </w:r>
            <w:r>
              <w:t>It</w:t>
            </w:r>
            <w:r w:rsidR="006C6F09">
              <w:t xml:space="preserve"> </w:t>
            </w:r>
            <w:r>
              <w:t>has</w:t>
            </w:r>
            <w:r w:rsidR="006C6F09">
              <w:t xml:space="preserve"> </w:t>
            </w:r>
            <w:r>
              <w:t>additional</w:t>
            </w:r>
            <w:r w:rsidR="006C6F09">
              <w:t xml:space="preserve"> </w:t>
            </w:r>
            <w:r>
              <w:t>details</w:t>
            </w:r>
            <w:r w:rsidR="006C6F09">
              <w:t xml:space="preserve"> </w:t>
            </w:r>
            <w:r>
              <w:t>and</w:t>
            </w:r>
            <w:r w:rsidR="006C6F09">
              <w:t xml:space="preserve"> </w:t>
            </w:r>
            <w:r>
              <w:t>updates</w:t>
            </w:r>
            <w:r w:rsidR="006C6F09">
              <w:t xml:space="preserve"> </w:t>
            </w:r>
            <w:r>
              <w:t>and</w:t>
            </w:r>
            <w:r w:rsidR="006C6F09">
              <w:t xml:space="preserve"> </w:t>
            </w:r>
            <w:r>
              <w:t>is</w:t>
            </w:r>
            <w:r w:rsidR="006C6F09">
              <w:t xml:space="preserve"> </w:t>
            </w:r>
            <w:r>
              <w:t>not</w:t>
            </w:r>
            <w:r w:rsidR="006C6F09">
              <w:t xml:space="preserve"> </w:t>
            </w:r>
            <w:r>
              <w:t>entirely</w:t>
            </w:r>
            <w:r w:rsidR="006C6F09">
              <w:t xml:space="preserve"> </w:t>
            </w:r>
            <w:r>
              <w:t>consistent</w:t>
            </w:r>
            <w:r w:rsidR="006C6F09">
              <w:t xml:space="preserve"> </w:t>
            </w:r>
            <w:r>
              <w:t>as</w:t>
            </w:r>
            <w:r w:rsidR="006C6F09">
              <w:t xml:space="preserve"> </w:t>
            </w:r>
            <w:r>
              <w:t>compared</w:t>
            </w:r>
            <w:r w:rsidR="006C6F09">
              <w:t xml:space="preserve"> </w:t>
            </w:r>
            <w:r>
              <w:t>to</w:t>
            </w:r>
            <w:r w:rsidR="006C6F09">
              <w:t xml:space="preserve"> </w:t>
            </w:r>
            <w:r>
              <w:t>original</w:t>
            </w:r>
            <w:r w:rsidR="006C6F09">
              <w:t xml:space="preserve"> </w:t>
            </w:r>
            <w:r>
              <w:t>guidance</w:t>
            </w:r>
            <w:r w:rsidR="006C6F09">
              <w:t xml:space="preserve"> </w:t>
            </w:r>
            <w:r>
              <w:t>in</w:t>
            </w:r>
            <w:r w:rsidR="006C6F09">
              <w:t xml:space="preserve"> </w:t>
            </w:r>
            <w:r>
              <w:t>the</w:t>
            </w:r>
            <w:r w:rsidR="006C6F09">
              <w:t xml:space="preserve"> </w:t>
            </w:r>
            <w:r>
              <w:t>Public</w:t>
            </w:r>
            <w:r w:rsidR="006C6F09">
              <w:t xml:space="preserve"> </w:t>
            </w:r>
            <w:r>
              <w:t>Involvement</w:t>
            </w:r>
            <w:r w:rsidR="006C6F09">
              <w:t xml:space="preserve"> </w:t>
            </w:r>
            <w:r>
              <w:t>Handbook,</w:t>
            </w:r>
            <w:r w:rsidR="006C6F09">
              <w:t xml:space="preserve"> </w:t>
            </w:r>
            <w:r>
              <w:t>which</w:t>
            </w:r>
            <w:r w:rsidR="006C6F09">
              <w:t xml:space="preserve"> </w:t>
            </w:r>
            <w:r>
              <w:t>was</w:t>
            </w:r>
            <w:r w:rsidR="006C6F09">
              <w:t xml:space="preserve"> </w:t>
            </w:r>
            <w:r>
              <w:t>developed</w:t>
            </w:r>
            <w:r w:rsidR="006C6F09">
              <w:t xml:space="preserve"> </w:t>
            </w:r>
            <w:r>
              <w:t>at</w:t>
            </w:r>
            <w:r w:rsidR="006C6F09">
              <w:t xml:space="preserve"> </w:t>
            </w:r>
            <w:r>
              <w:t>the</w:t>
            </w:r>
            <w:r w:rsidR="006C6F09">
              <w:t xml:space="preserve"> </w:t>
            </w:r>
            <w:r>
              <w:t>outset</w:t>
            </w:r>
            <w:r w:rsidR="006C6F09">
              <w:t xml:space="preserve"> </w:t>
            </w:r>
            <w:r>
              <w:t>of</w:t>
            </w:r>
            <w:r w:rsidR="006C6F09">
              <w:t xml:space="preserve"> </w:t>
            </w:r>
            <w:r>
              <w:t>COVID</w:t>
            </w:r>
            <w:r w:rsidR="006C6F09">
              <w:t xml:space="preserve"> </w:t>
            </w:r>
            <w:r>
              <w:t>and</w:t>
            </w:r>
            <w:r w:rsidR="006C6F09">
              <w:t xml:space="preserve"> </w:t>
            </w:r>
            <w:r>
              <w:t>has</w:t>
            </w:r>
            <w:r w:rsidR="006C6F09">
              <w:t xml:space="preserve"> </w:t>
            </w:r>
            <w:r>
              <w:t>not</w:t>
            </w:r>
            <w:r w:rsidR="006C6F09">
              <w:t xml:space="preserve"> </w:t>
            </w:r>
            <w:r>
              <w:t>been</w:t>
            </w:r>
            <w:r w:rsidR="006C6F09">
              <w:t xml:space="preserve"> </w:t>
            </w:r>
            <w:r>
              <w:t>updated</w:t>
            </w:r>
            <w:r w:rsidR="006C6F09">
              <w:t xml:space="preserve"> </w:t>
            </w:r>
            <w:r>
              <w:t>since.</w:t>
            </w:r>
            <w:r w:rsidR="006C6F09">
              <w:t xml:space="preserve"> </w:t>
            </w:r>
            <w:r>
              <w:t>Conflicting</w:t>
            </w:r>
            <w:r w:rsidR="006C6F09">
              <w:t xml:space="preserve"> </w:t>
            </w:r>
            <w:r>
              <w:t>instructions</w:t>
            </w:r>
            <w:r w:rsidR="006C6F09">
              <w:t xml:space="preserve"> </w:t>
            </w:r>
            <w:r>
              <w:t>between</w:t>
            </w:r>
            <w:r w:rsidR="006C6F09">
              <w:t xml:space="preserve"> </w:t>
            </w:r>
            <w:r>
              <w:t>the</w:t>
            </w:r>
            <w:r w:rsidR="006C6F09">
              <w:t xml:space="preserve"> </w:t>
            </w:r>
            <w:r>
              <w:t>Public</w:t>
            </w:r>
            <w:r w:rsidR="006C6F09">
              <w:t xml:space="preserve"> </w:t>
            </w:r>
            <w:r>
              <w:t>Involvement</w:t>
            </w:r>
            <w:r w:rsidR="006C6F09">
              <w:t xml:space="preserve"> </w:t>
            </w:r>
            <w:r>
              <w:t>Handbook</w:t>
            </w:r>
            <w:r w:rsidR="006C6F09">
              <w:t xml:space="preserve"> </w:t>
            </w:r>
            <w:r>
              <w:t>and</w:t>
            </w:r>
            <w:r w:rsidR="006C6F09">
              <w:t xml:space="preserve"> </w:t>
            </w:r>
            <w:r>
              <w:t>the</w:t>
            </w:r>
            <w:r w:rsidR="006C6F09">
              <w:t xml:space="preserve"> </w:t>
            </w:r>
            <w:r>
              <w:t>FAQ</w:t>
            </w:r>
            <w:r w:rsidR="006C6F09">
              <w:t xml:space="preserve"> </w:t>
            </w:r>
            <w:r>
              <w:t>are</w:t>
            </w:r>
            <w:r w:rsidR="006C6F09">
              <w:t xml:space="preserve"> </w:t>
            </w:r>
            <w:r>
              <w:t>being</w:t>
            </w:r>
            <w:r w:rsidR="006C6F09">
              <w:t xml:space="preserve"> </w:t>
            </w:r>
            <w:r>
              <w:t>resolved</w:t>
            </w:r>
            <w:r w:rsidR="006C6F09">
              <w:t xml:space="preserve"> </w:t>
            </w:r>
            <w:r>
              <w:t>in</w:t>
            </w:r>
            <w:r w:rsidR="006C6F09">
              <w:t xml:space="preserve"> </w:t>
            </w:r>
            <w:r>
              <w:t>favor</w:t>
            </w:r>
            <w:r w:rsidR="006C6F09">
              <w:t xml:space="preserve"> </w:t>
            </w:r>
            <w:r>
              <w:t>of</w:t>
            </w:r>
            <w:r w:rsidR="006C6F09">
              <w:t xml:space="preserve"> </w:t>
            </w:r>
            <w:r>
              <w:t>the</w:t>
            </w:r>
            <w:r w:rsidR="006C6F09">
              <w:t xml:space="preserve"> </w:t>
            </w:r>
            <w:r>
              <w:t>FAQ.</w:t>
            </w:r>
            <w:r w:rsidR="006C6F09">
              <w:t xml:space="preserve"> </w:t>
            </w:r>
            <w:r>
              <w:t>The</w:t>
            </w:r>
            <w:r w:rsidR="006C6F09">
              <w:t xml:space="preserve"> </w:t>
            </w:r>
            <w:r>
              <w:t>FAQ</w:t>
            </w:r>
            <w:r w:rsidR="006C6F09">
              <w:t xml:space="preserve"> </w:t>
            </w:r>
            <w:r>
              <w:t>will</w:t>
            </w:r>
            <w:r w:rsidR="006C6F09">
              <w:t xml:space="preserve"> </w:t>
            </w:r>
            <w:r>
              <w:t>be</w:t>
            </w:r>
            <w:r w:rsidR="006C6F09">
              <w:t xml:space="preserve"> </w:t>
            </w:r>
            <w:r>
              <w:t>removed</w:t>
            </w:r>
            <w:r w:rsidR="006C6F09">
              <w:t xml:space="preserve"> </w:t>
            </w:r>
            <w:r>
              <w:t>from</w:t>
            </w:r>
            <w:r w:rsidR="006C6F09">
              <w:t xml:space="preserve"> </w:t>
            </w:r>
            <w:r>
              <w:t>the</w:t>
            </w:r>
            <w:r w:rsidR="006C6F09">
              <w:t xml:space="preserve"> </w:t>
            </w:r>
            <w:r>
              <w:t>Public</w:t>
            </w:r>
            <w:r w:rsidR="006C6F09">
              <w:t xml:space="preserve"> </w:t>
            </w:r>
            <w:r>
              <w:t>Involvement</w:t>
            </w:r>
            <w:r w:rsidR="006C6F09">
              <w:t xml:space="preserve"> </w:t>
            </w:r>
            <w:r>
              <w:t>Toolkit</w:t>
            </w:r>
            <w:r w:rsidR="006C6F09">
              <w:t xml:space="preserve"> </w:t>
            </w:r>
            <w:r>
              <w:t>because</w:t>
            </w:r>
            <w:r w:rsidR="006C6F09">
              <w:t xml:space="preserve"> </w:t>
            </w:r>
            <w:r>
              <w:t>the</w:t>
            </w:r>
            <w:r w:rsidR="006C6F09">
              <w:t xml:space="preserve"> </w:t>
            </w:r>
            <w:r>
              <w:t>key</w:t>
            </w:r>
            <w:r w:rsidR="006C6F09">
              <w:t xml:space="preserve"> </w:t>
            </w:r>
            <w:r>
              <w:t>instructions</w:t>
            </w:r>
            <w:r w:rsidR="006C6F09">
              <w:t xml:space="preserve"> </w:t>
            </w:r>
            <w:r>
              <w:t>are</w:t>
            </w:r>
            <w:r w:rsidR="006C6F09">
              <w:t xml:space="preserve"> </w:t>
            </w:r>
            <w:r>
              <w:t>being</w:t>
            </w:r>
            <w:r w:rsidR="006C6F09">
              <w:t xml:space="preserve"> </w:t>
            </w:r>
            <w:r>
              <w:t>incorporated</w:t>
            </w:r>
            <w:r w:rsidR="006C6F09">
              <w:t xml:space="preserve"> </w:t>
            </w:r>
            <w:r>
              <w:t>into</w:t>
            </w:r>
            <w:r w:rsidR="006C6F09">
              <w:t xml:space="preserve"> </w:t>
            </w:r>
            <w:r>
              <w:t>the</w:t>
            </w:r>
            <w:r w:rsidR="006C6F09">
              <w:t xml:space="preserve"> </w:t>
            </w:r>
            <w:r>
              <w:t>Public</w:t>
            </w:r>
            <w:r w:rsidR="006C6F09">
              <w:t xml:space="preserve"> </w:t>
            </w:r>
            <w:r>
              <w:t>Involvement</w:t>
            </w:r>
            <w:r w:rsidR="006C6F09">
              <w:t xml:space="preserve"> </w:t>
            </w:r>
            <w:r>
              <w:t>Handbook</w:t>
            </w:r>
            <w:r w:rsidR="006C6F09">
              <w:t xml:space="preserve"> </w:t>
            </w:r>
            <w:r>
              <w:t>(Mostly</w:t>
            </w:r>
            <w:r w:rsidR="006C6F09">
              <w:t xml:space="preserve"> </w:t>
            </w:r>
            <w:r>
              <w:t>Sections</w:t>
            </w:r>
            <w:r w:rsidR="006C6F09">
              <w:t xml:space="preserve"> </w:t>
            </w:r>
            <w:r>
              <w:t>4</w:t>
            </w:r>
            <w:r w:rsidR="006C6F09">
              <w:t xml:space="preserve"> </w:t>
            </w:r>
            <w:r>
              <w:t>and</w:t>
            </w:r>
            <w:r w:rsidR="006C6F09">
              <w:t xml:space="preserve"> </w:t>
            </w:r>
            <w:r>
              <w:t>6).</w:t>
            </w:r>
          </w:p>
          <w:p w14:paraId="2344C1C0" w14:textId="3B284572"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Removed</w:t>
            </w:r>
            <w:r w:rsidR="006C6F09">
              <w:t xml:space="preserve"> </w:t>
            </w:r>
            <w:r>
              <w:t>traditional,</w:t>
            </w:r>
            <w:r w:rsidR="006C6F09">
              <w:t xml:space="preserve"> </w:t>
            </w:r>
            <w:r>
              <w:t>in-person</w:t>
            </w:r>
            <w:r w:rsidR="006C6F09">
              <w:t xml:space="preserve"> </w:t>
            </w:r>
            <w:r>
              <w:t>meetings</w:t>
            </w:r>
            <w:r w:rsidR="006C6F09">
              <w:t xml:space="preserve"> </w:t>
            </w:r>
            <w:r>
              <w:t>and</w:t>
            </w:r>
            <w:r w:rsidR="006C6F09">
              <w:t xml:space="preserve"> </w:t>
            </w:r>
            <w:r>
              <w:t>hearings</w:t>
            </w:r>
            <w:r w:rsidR="006C6F09">
              <w:t xml:space="preserve"> </w:t>
            </w:r>
            <w:r>
              <w:t>with</w:t>
            </w:r>
            <w:r w:rsidR="006C6F09">
              <w:t xml:space="preserve"> </w:t>
            </w:r>
            <w:r>
              <w:t>no</w:t>
            </w:r>
            <w:r w:rsidR="006C6F09">
              <w:t xml:space="preserve"> </w:t>
            </w:r>
            <w:r>
              <w:t>virtual</w:t>
            </w:r>
            <w:r w:rsidR="006C6F09">
              <w:t xml:space="preserve"> </w:t>
            </w:r>
            <w:r>
              <w:t>component</w:t>
            </w:r>
            <w:r w:rsidR="006C6F09">
              <w:t xml:space="preserve"> </w:t>
            </w:r>
            <w:r>
              <w:t>as</w:t>
            </w:r>
            <w:r w:rsidR="006C6F09">
              <w:t xml:space="preserve"> </w:t>
            </w:r>
            <w:r>
              <w:t>options</w:t>
            </w:r>
            <w:r w:rsidR="006C6F09">
              <w:t xml:space="preserve"> </w:t>
            </w:r>
            <w:r>
              <w:t>going</w:t>
            </w:r>
            <w:r w:rsidR="006C6F09">
              <w:t xml:space="preserve"> </w:t>
            </w:r>
            <w:r>
              <w:t>forward.</w:t>
            </w:r>
            <w:r w:rsidR="006C6F09">
              <w:t xml:space="preserve"> </w:t>
            </w:r>
            <w:r>
              <w:t>Going</w:t>
            </w:r>
            <w:r w:rsidR="006C6F09">
              <w:t xml:space="preserve"> </w:t>
            </w:r>
            <w:r>
              <w:t>forward</w:t>
            </w:r>
            <w:r w:rsidR="006C6F09">
              <w:t xml:space="preserve"> </w:t>
            </w:r>
            <w:r>
              <w:t>there</w:t>
            </w:r>
            <w:r w:rsidR="006C6F09">
              <w:t xml:space="preserve"> </w:t>
            </w:r>
            <w:r>
              <w:t>will</w:t>
            </w:r>
            <w:r w:rsidR="006C6F09">
              <w:t xml:space="preserve"> </w:t>
            </w:r>
            <w:r>
              <w:t>only</w:t>
            </w:r>
            <w:r w:rsidR="006C6F09">
              <w:t xml:space="preserve"> </w:t>
            </w:r>
            <w:r>
              <w:t>be</w:t>
            </w:r>
            <w:r w:rsidR="006C6F09">
              <w:t xml:space="preserve"> </w:t>
            </w:r>
            <w:r>
              <w:t>(1)</w:t>
            </w:r>
            <w:r w:rsidR="006C6F09">
              <w:t xml:space="preserve"> </w:t>
            </w:r>
            <w:r>
              <w:t>virtual</w:t>
            </w:r>
            <w:r w:rsidR="006C6F09">
              <w:t xml:space="preserve"> </w:t>
            </w:r>
            <w:r>
              <w:t>online-only</w:t>
            </w:r>
            <w:r w:rsidR="006C6F09">
              <w:t xml:space="preserve"> </w:t>
            </w:r>
            <w:r>
              <w:t>public</w:t>
            </w:r>
            <w:r w:rsidR="006C6F09">
              <w:t xml:space="preserve"> </w:t>
            </w:r>
            <w:r>
              <w:t>meetings</w:t>
            </w:r>
            <w:r w:rsidR="006C6F09">
              <w:t xml:space="preserve"> </w:t>
            </w:r>
            <w:r>
              <w:t>and</w:t>
            </w:r>
            <w:r w:rsidR="006C6F09">
              <w:t xml:space="preserve"> </w:t>
            </w:r>
            <w:r>
              <w:t>hearings</w:t>
            </w:r>
            <w:r w:rsidR="006C6F09">
              <w:t xml:space="preserve"> </w:t>
            </w:r>
            <w:r>
              <w:t>and</w:t>
            </w:r>
            <w:r w:rsidR="006C6F09">
              <w:t xml:space="preserve"> </w:t>
            </w:r>
            <w:r>
              <w:t>(2)</w:t>
            </w:r>
            <w:r w:rsidR="006C6F09">
              <w:t xml:space="preserve"> </w:t>
            </w:r>
            <w:r>
              <w:t>virtual</w:t>
            </w:r>
            <w:r w:rsidR="006C6F09">
              <w:t xml:space="preserve"> </w:t>
            </w:r>
            <w:r>
              <w:t>public</w:t>
            </w:r>
            <w:r w:rsidR="006C6F09">
              <w:t xml:space="preserve"> </w:t>
            </w:r>
            <w:r>
              <w:t>meetings</w:t>
            </w:r>
            <w:r w:rsidR="006C6F09">
              <w:t xml:space="preserve"> </w:t>
            </w:r>
            <w:r>
              <w:t>and</w:t>
            </w:r>
            <w:r w:rsidR="006C6F09">
              <w:t xml:space="preserve"> </w:t>
            </w:r>
            <w:r>
              <w:t>hearings</w:t>
            </w:r>
            <w:r w:rsidR="006C6F09">
              <w:t xml:space="preserve"> </w:t>
            </w:r>
            <w:r>
              <w:t>with</w:t>
            </w:r>
            <w:r w:rsidR="006C6F09">
              <w:t xml:space="preserve"> </w:t>
            </w:r>
            <w:r>
              <w:t>in-person</w:t>
            </w:r>
            <w:r w:rsidR="006C6F09">
              <w:t xml:space="preserve"> </w:t>
            </w:r>
            <w:r>
              <w:t>option.</w:t>
            </w:r>
            <w:r w:rsidR="006C6F09">
              <w:t xml:space="preserve"> </w:t>
            </w:r>
            <w:r>
              <w:t>In</w:t>
            </w:r>
            <w:r w:rsidR="006C6F09">
              <w:t xml:space="preserve"> </w:t>
            </w:r>
            <w:r>
              <w:t>other</w:t>
            </w:r>
            <w:r w:rsidR="006C6F09">
              <w:t xml:space="preserve"> </w:t>
            </w:r>
            <w:r>
              <w:t>words,</w:t>
            </w:r>
            <w:r w:rsidR="006C6F09">
              <w:t xml:space="preserve"> </w:t>
            </w:r>
            <w:r>
              <w:t>there</w:t>
            </w:r>
            <w:r w:rsidR="006C6F09">
              <w:t xml:space="preserve"> </w:t>
            </w:r>
            <w:r>
              <w:t>will</w:t>
            </w:r>
            <w:r w:rsidR="006C6F09">
              <w:t xml:space="preserve"> </w:t>
            </w:r>
            <w:r>
              <w:t>always</w:t>
            </w:r>
            <w:r w:rsidR="006C6F09">
              <w:t xml:space="preserve"> </w:t>
            </w:r>
            <w:r>
              <w:t>be</w:t>
            </w:r>
            <w:r w:rsidR="006C6F09">
              <w:t xml:space="preserve"> </w:t>
            </w:r>
            <w:r>
              <w:t>a</w:t>
            </w:r>
            <w:r w:rsidR="006C6F09">
              <w:t xml:space="preserve"> </w:t>
            </w:r>
            <w:r>
              <w:t>virtual</w:t>
            </w:r>
            <w:r w:rsidR="006C6F09">
              <w:t xml:space="preserve"> </w:t>
            </w:r>
            <w:r>
              <w:t>component,</w:t>
            </w:r>
            <w:r w:rsidR="006C6F09">
              <w:t xml:space="preserve"> </w:t>
            </w:r>
            <w:r>
              <w:t>and</w:t>
            </w:r>
            <w:r w:rsidR="006C6F09">
              <w:t xml:space="preserve"> </w:t>
            </w:r>
            <w:r>
              <w:t>there</w:t>
            </w:r>
            <w:r w:rsidR="006C6F09">
              <w:t xml:space="preserve"> </w:t>
            </w:r>
            <w:r>
              <w:t>may</w:t>
            </w:r>
            <w:r w:rsidR="006C6F09">
              <w:t xml:space="preserve"> </w:t>
            </w:r>
            <w:r>
              <w:t>also</w:t>
            </w:r>
            <w:r w:rsidR="006C6F09">
              <w:t xml:space="preserve"> </w:t>
            </w:r>
            <w:r>
              <w:t>be</w:t>
            </w:r>
            <w:r w:rsidR="006C6F09">
              <w:t xml:space="preserve"> </w:t>
            </w:r>
            <w:r>
              <w:t>an</w:t>
            </w:r>
            <w:r w:rsidR="006C6F09">
              <w:t xml:space="preserve"> </w:t>
            </w:r>
            <w:r>
              <w:t>in-person</w:t>
            </w:r>
            <w:r w:rsidR="006C6F09">
              <w:t xml:space="preserve"> </w:t>
            </w:r>
            <w:r>
              <w:t>option</w:t>
            </w:r>
            <w:r w:rsidR="006C6F09">
              <w:t xml:space="preserve"> </w:t>
            </w:r>
            <w:r>
              <w:t>–</w:t>
            </w:r>
            <w:r w:rsidR="006C6F09">
              <w:t xml:space="preserve"> </w:t>
            </w:r>
            <w:r>
              <w:t>see</w:t>
            </w:r>
            <w:r w:rsidR="006C6F09">
              <w:t xml:space="preserve"> </w:t>
            </w:r>
            <w:r>
              <w:t>the</w:t>
            </w:r>
            <w:r w:rsidR="006C6F09">
              <w:t xml:space="preserve"> </w:t>
            </w:r>
            <w:r>
              <w:t>guidance</w:t>
            </w:r>
            <w:r w:rsidR="006C6F09">
              <w:t xml:space="preserve"> </w:t>
            </w:r>
            <w:r>
              <w:t>for</w:t>
            </w:r>
            <w:r w:rsidR="006C6F09">
              <w:t xml:space="preserve"> </w:t>
            </w:r>
            <w:r>
              <w:t>further</w:t>
            </w:r>
            <w:r w:rsidR="006C6F09">
              <w:t xml:space="preserve"> </w:t>
            </w:r>
            <w:r>
              <w:t>instructions</w:t>
            </w:r>
            <w:r w:rsidR="006C6F09">
              <w:t xml:space="preserve"> </w:t>
            </w:r>
            <w:r>
              <w:t>on</w:t>
            </w:r>
            <w:r w:rsidR="006C6F09">
              <w:t xml:space="preserve"> </w:t>
            </w:r>
            <w:r>
              <w:t>this</w:t>
            </w:r>
            <w:r w:rsidR="006C6F09">
              <w:t xml:space="preserve"> </w:t>
            </w:r>
            <w:r>
              <w:t>(Sections</w:t>
            </w:r>
            <w:r w:rsidR="006C6F09">
              <w:t xml:space="preserve"> </w:t>
            </w:r>
            <w:r>
              <w:t>4.5</w:t>
            </w:r>
            <w:r w:rsidR="006C6F09">
              <w:t xml:space="preserve"> </w:t>
            </w:r>
            <w:r>
              <w:t>and</w:t>
            </w:r>
            <w:r w:rsidR="006C6F09">
              <w:t xml:space="preserve"> </w:t>
            </w:r>
            <w:r>
              <w:t>6.5).</w:t>
            </w:r>
          </w:p>
          <w:p w14:paraId="1FC9A3B7" w14:textId="63B11F63"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lastRenderedPageBreak/>
              <w:t>Added</w:t>
            </w:r>
            <w:r w:rsidR="006C6F09">
              <w:t xml:space="preserve"> </w:t>
            </w:r>
            <w:r>
              <w:t>reference</w:t>
            </w:r>
            <w:r w:rsidR="006C6F09">
              <w:t xml:space="preserve"> </w:t>
            </w:r>
            <w:r>
              <w:t>to</w:t>
            </w:r>
            <w:r w:rsidR="006C6F09">
              <w:t xml:space="preserve"> </w:t>
            </w:r>
            <w:r>
              <w:t>the</w:t>
            </w:r>
            <w:r w:rsidR="006C6F09">
              <w:t xml:space="preserve"> </w:t>
            </w:r>
            <w:r>
              <w:t>TPP</w:t>
            </w:r>
            <w:r w:rsidR="006C6F09">
              <w:t xml:space="preserve"> </w:t>
            </w:r>
            <w:r>
              <w:t>PI</w:t>
            </w:r>
            <w:r w:rsidR="006C6F09">
              <w:t xml:space="preserve"> </w:t>
            </w:r>
            <w:r>
              <w:t>Section’s</w:t>
            </w:r>
            <w:r w:rsidR="006C6F09">
              <w:t xml:space="preserve"> </w:t>
            </w:r>
            <w:r>
              <w:t>Strategic</w:t>
            </w:r>
            <w:r w:rsidR="006C6F09">
              <w:t xml:space="preserve"> </w:t>
            </w:r>
            <w:r>
              <w:t>Public</w:t>
            </w:r>
            <w:r w:rsidR="006C6F09">
              <w:t xml:space="preserve"> </w:t>
            </w:r>
            <w:r>
              <w:t>Engagement</w:t>
            </w:r>
            <w:r w:rsidR="006C6F09">
              <w:t xml:space="preserve"> </w:t>
            </w:r>
            <w:r>
              <w:t>Guidance</w:t>
            </w:r>
            <w:r w:rsidR="006C6F09">
              <w:t xml:space="preserve"> </w:t>
            </w:r>
            <w:r>
              <w:t>(“SPEG”)</w:t>
            </w:r>
            <w:r w:rsidR="006C6F09">
              <w:t xml:space="preserve"> </w:t>
            </w:r>
            <w:r>
              <w:t>and</w:t>
            </w:r>
            <w:r w:rsidR="006C6F09">
              <w:t xml:space="preserve"> </w:t>
            </w:r>
            <w:r>
              <w:t>include</w:t>
            </w:r>
            <w:r w:rsidR="006C6F09">
              <w:t xml:space="preserve"> </w:t>
            </w:r>
            <w:r>
              <w:t>a</w:t>
            </w:r>
            <w:r w:rsidR="006C6F09">
              <w:t xml:space="preserve"> </w:t>
            </w:r>
            <w:r>
              <w:t>link</w:t>
            </w:r>
            <w:r w:rsidR="006C6F09">
              <w:t xml:space="preserve"> </w:t>
            </w:r>
            <w:r>
              <w:t>to</w:t>
            </w:r>
            <w:r w:rsidR="006C6F09">
              <w:t xml:space="preserve"> </w:t>
            </w:r>
            <w:r>
              <w:t>where</w:t>
            </w:r>
            <w:r w:rsidR="006C6F09">
              <w:t xml:space="preserve"> </w:t>
            </w:r>
            <w:r>
              <w:t>the</w:t>
            </w:r>
            <w:r w:rsidR="006C6F09">
              <w:t xml:space="preserve"> </w:t>
            </w:r>
            <w:r>
              <w:t>SPEG</w:t>
            </w:r>
            <w:r w:rsidR="006C6F09">
              <w:t xml:space="preserve"> </w:t>
            </w:r>
            <w:r>
              <w:t>will</w:t>
            </w:r>
            <w:r w:rsidR="006C6F09">
              <w:t xml:space="preserve"> </w:t>
            </w:r>
            <w:r>
              <w:t>be</w:t>
            </w:r>
            <w:r w:rsidR="006C6F09">
              <w:t xml:space="preserve"> </w:t>
            </w:r>
            <w:r>
              <w:t>posted</w:t>
            </w:r>
            <w:r w:rsidR="006C6F09">
              <w:t xml:space="preserve"> </w:t>
            </w:r>
            <w:r>
              <w:t>on</w:t>
            </w:r>
            <w:r w:rsidR="006C6F09">
              <w:t xml:space="preserve"> </w:t>
            </w:r>
            <w:r>
              <w:t>txdot.gov</w:t>
            </w:r>
            <w:r w:rsidR="006C6F09">
              <w:t xml:space="preserve"> </w:t>
            </w:r>
            <w:r>
              <w:t>(Section</w:t>
            </w:r>
            <w:r w:rsidR="006C6F09">
              <w:t xml:space="preserve"> </w:t>
            </w:r>
            <w:r>
              <w:t>1.2.3).</w:t>
            </w:r>
            <w:r w:rsidR="006C6F09">
              <w:t xml:space="preserve"> </w:t>
            </w:r>
          </w:p>
          <w:p w14:paraId="159A6977" w14:textId="4B567659"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Updated</w:t>
            </w:r>
            <w:r w:rsidR="006C6F09">
              <w:t xml:space="preserve"> </w:t>
            </w:r>
            <w:r>
              <w:t>links</w:t>
            </w:r>
            <w:r w:rsidR="006C6F09">
              <w:t xml:space="preserve"> </w:t>
            </w:r>
            <w:r>
              <w:t>for</w:t>
            </w:r>
            <w:r w:rsidR="006C6F09">
              <w:t xml:space="preserve"> </w:t>
            </w:r>
            <w:r>
              <w:t>location</w:t>
            </w:r>
            <w:r w:rsidR="006C6F09">
              <w:t xml:space="preserve"> </w:t>
            </w:r>
            <w:r>
              <w:t>of</w:t>
            </w:r>
            <w:r w:rsidR="006C6F09">
              <w:t xml:space="preserve"> </w:t>
            </w:r>
            <w:r>
              <w:t>the</w:t>
            </w:r>
            <w:r w:rsidR="006C6F09">
              <w:t xml:space="preserve"> </w:t>
            </w:r>
            <w:r>
              <w:t>TPP</w:t>
            </w:r>
            <w:r w:rsidR="006C6F09">
              <w:t xml:space="preserve"> </w:t>
            </w:r>
            <w:r>
              <w:t>PI</w:t>
            </w:r>
            <w:r w:rsidR="006C6F09">
              <w:t xml:space="preserve"> </w:t>
            </w:r>
            <w:r>
              <w:t>Section’s</w:t>
            </w:r>
            <w:r w:rsidR="006C6F09">
              <w:t xml:space="preserve"> </w:t>
            </w:r>
            <w:r>
              <w:t>Public</w:t>
            </w:r>
            <w:r w:rsidR="006C6F09">
              <w:t xml:space="preserve"> </w:t>
            </w:r>
            <w:r>
              <w:t>Involvement</w:t>
            </w:r>
            <w:r w:rsidR="006C6F09">
              <w:t xml:space="preserve"> </w:t>
            </w:r>
            <w:r>
              <w:t>Materials</w:t>
            </w:r>
            <w:r w:rsidR="006C6F09">
              <w:t xml:space="preserve"> </w:t>
            </w:r>
            <w:r>
              <w:t>Toolkit</w:t>
            </w:r>
            <w:r w:rsidR="006C6F09">
              <w:t xml:space="preserve"> </w:t>
            </w:r>
            <w:r>
              <w:t>in</w:t>
            </w:r>
            <w:r w:rsidR="006C6F09">
              <w:t xml:space="preserve"> </w:t>
            </w:r>
            <w:r>
              <w:t>English</w:t>
            </w:r>
            <w:r w:rsidR="006C6F09">
              <w:t xml:space="preserve"> </w:t>
            </w:r>
            <w:r>
              <w:t>and</w:t>
            </w:r>
            <w:r w:rsidR="006C6F09">
              <w:t xml:space="preserve"> </w:t>
            </w:r>
            <w:r>
              <w:t>Spanish</w:t>
            </w:r>
            <w:r w:rsidR="006C6F09">
              <w:t xml:space="preserve"> </w:t>
            </w:r>
            <w:r>
              <w:t>(Section</w:t>
            </w:r>
            <w:r w:rsidR="006C6F09">
              <w:t xml:space="preserve"> </w:t>
            </w:r>
            <w:r>
              <w:t>1.2.3).</w:t>
            </w:r>
          </w:p>
          <w:p w14:paraId="4DF0DF3B" w14:textId="7EDFE3F5"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Provided</w:t>
            </w:r>
            <w:r w:rsidR="006C6F09">
              <w:t xml:space="preserve"> </w:t>
            </w:r>
            <w:r>
              <w:t>as</w:t>
            </w:r>
            <w:r w:rsidR="006C6F09">
              <w:t xml:space="preserve"> </w:t>
            </w:r>
            <w:r>
              <w:t>an</w:t>
            </w:r>
            <w:r w:rsidR="006C6F09">
              <w:t xml:space="preserve"> </w:t>
            </w:r>
            <w:r>
              <w:t>example</w:t>
            </w:r>
            <w:r w:rsidR="006C6F09">
              <w:t xml:space="preserve"> </w:t>
            </w:r>
            <w:r>
              <w:t>of</w:t>
            </w:r>
            <w:r w:rsidR="006C6F09">
              <w:t xml:space="preserve"> </w:t>
            </w:r>
            <w:r>
              <w:t>when</w:t>
            </w:r>
            <w:r w:rsidR="006C6F09">
              <w:t xml:space="preserve"> </w:t>
            </w:r>
            <w:r>
              <w:t>“additional</w:t>
            </w:r>
            <w:r w:rsidR="006C6F09">
              <w:t xml:space="preserve"> </w:t>
            </w:r>
            <w:r>
              <w:t>public</w:t>
            </w:r>
            <w:r w:rsidR="006C6F09">
              <w:t xml:space="preserve"> </w:t>
            </w:r>
            <w:r>
              <w:t>outreach”</w:t>
            </w:r>
            <w:r w:rsidR="006C6F09">
              <w:t xml:space="preserve"> </w:t>
            </w:r>
            <w:r>
              <w:t>may</w:t>
            </w:r>
            <w:r w:rsidR="006C6F09">
              <w:t xml:space="preserve"> </w:t>
            </w:r>
            <w:r>
              <w:t>be</w:t>
            </w:r>
            <w:r w:rsidR="006C6F09">
              <w:t xml:space="preserve"> </w:t>
            </w:r>
            <w:r>
              <w:t>appropriate</w:t>
            </w:r>
            <w:r w:rsidR="006C6F09">
              <w:t xml:space="preserve"> </w:t>
            </w:r>
            <w:r>
              <w:t>design</w:t>
            </w:r>
            <w:r w:rsidR="006C6F09">
              <w:t xml:space="preserve"> </w:t>
            </w:r>
            <w:r>
              <w:t>changes</w:t>
            </w:r>
            <w:r w:rsidR="006C6F09">
              <w:t xml:space="preserve"> </w:t>
            </w:r>
            <w:r>
              <w:t>that</w:t>
            </w:r>
            <w:r w:rsidR="006C6F09">
              <w:t xml:space="preserve"> </w:t>
            </w:r>
            <w:r>
              <w:t>affect</w:t>
            </w:r>
            <w:r w:rsidR="006C6F09">
              <w:t xml:space="preserve"> </w:t>
            </w:r>
            <w:r>
              <w:t>certain</w:t>
            </w:r>
            <w:r w:rsidR="006C6F09">
              <w:t xml:space="preserve"> </w:t>
            </w:r>
            <w:r>
              <w:t>property</w:t>
            </w:r>
            <w:r w:rsidR="006C6F09">
              <w:t xml:space="preserve"> </w:t>
            </w:r>
            <w:r>
              <w:t>owners</w:t>
            </w:r>
            <w:r w:rsidR="006C6F09">
              <w:t xml:space="preserve"> </w:t>
            </w:r>
            <w:r>
              <w:t>after</w:t>
            </w:r>
            <w:r w:rsidR="006C6F09">
              <w:t xml:space="preserve"> </w:t>
            </w:r>
            <w:r>
              <w:t>the</w:t>
            </w:r>
            <w:r w:rsidR="006C6F09">
              <w:t xml:space="preserve"> </w:t>
            </w:r>
            <w:r>
              <w:t>final</w:t>
            </w:r>
            <w:r w:rsidR="006C6F09">
              <w:t xml:space="preserve"> </w:t>
            </w:r>
            <w:r>
              <w:t>public</w:t>
            </w:r>
            <w:r w:rsidR="006C6F09">
              <w:t xml:space="preserve"> </w:t>
            </w:r>
            <w:r>
              <w:t>meeting</w:t>
            </w:r>
            <w:r w:rsidR="006C6F09">
              <w:t xml:space="preserve"> </w:t>
            </w:r>
            <w:r>
              <w:t>or</w:t>
            </w:r>
            <w:r w:rsidR="006C6F09">
              <w:t xml:space="preserve"> </w:t>
            </w:r>
            <w:r>
              <w:t>hearing</w:t>
            </w:r>
            <w:r w:rsidR="006C6F09">
              <w:t xml:space="preserve"> </w:t>
            </w:r>
            <w:r>
              <w:t>on</w:t>
            </w:r>
            <w:r w:rsidR="006C6F09">
              <w:t xml:space="preserve"> </w:t>
            </w:r>
            <w:r>
              <w:t>the</w:t>
            </w:r>
            <w:r w:rsidR="006C6F09">
              <w:t xml:space="preserve"> </w:t>
            </w:r>
            <w:r>
              <w:t>project</w:t>
            </w:r>
            <w:r w:rsidR="006C6F09">
              <w:t xml:space="preserve"> </w:t>
            </w:r>
            <w:r>
              <w:t>but</w:t>
            </w:r>
            <w:r w:rsidR="006C6F09">
              <w:t xml:space="preserve"> </w:t>
            </w:r>
            <w:r>
              <w:t>prior</w:t>
            </w:r>
            <w:r w:rsidR="006C6F09">
              <w:t xml:space="preserve"> </w:t>
            </w:r>
            <w:r>
              <w:t>to</w:t>
            </w:r>
            <w:r w:rsidR="006C6F09">
              <w:t xml:space="preserve"> </w:t>
            </w:r>
            <w:r>
              <w:t>environmental</w:t>
            </w:r>
            <w:r w:rsidR="006C6F09">
              <w:t xml:space="preserve"> </w:t>
            </w:r>
            <w:r>
              <w:t>clearance</w:t>
            </w:r>
            <w:r w:rsidR="006C6F09">
              <w:t xml:space="preserve"> </w:t>
            </w:r>
            <w:r>
              <w:t>(Section</w:t>
            </w:r>
            <w:r w:rsidR="006C6F09">
              <w:t xml:space="preserve"> </w:t>
            </w:r>
            <w:r>
              <w:t>2.1).</w:t>
            </w:r>
          </w:p>
          <w:p w14:paraId="2CB0B878" w14:textId="293DD16E"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Added</w:t>
            </w:r>
            <w:r w:rsidR="006C6F09">
              <w:t xml:space="preserve"> </w:t>
            </w:r>
            <w:r>
              <w:t>new</w:t>
            </w:r>
            <w:r w:rsidR="006C6F09">
              <w:t xml:space="preserve"> </w:t>
            </w:r>
            <w:r>
              <w:t>Section</w:t>
            </w:r>
            <w:r w:rsidR="006C6F09">
              <w:t xml:space="preserve"> </w:t>
            </w:r>
            <w:r>
              <w:t>2.2,</w:t>
            </w:r>
            <w:r w:rsidR="006C6F09">
              <w:t xml:space="preserve"> </w:t>
            </w:r>
            <w:r>
              <w:t>“Use</w:t>
            </w:r>
            <w:r w:rsidR="006C6F09">
              <w:t xml:space="preserve"> </w:t>
            </w:r>
            <w:r>
              <w:t>of</w:t>
            </w:r>
            <w:r w:rsidR="006C6F09">
              <w:t xml:space="preserve"> </w:t>
            </w:r>
            <w:r>
              <w:t>Web-based</w:t>
            </w:r>
            <w:r w:rsidR="006C6F09">
              <w:t xml:space="preserve"> </w:t>
            </w:r>
            <w:r>
              <w:t>Public</w:t>
            </w:r>
            <w:r w:rsidR="006C6F09">
              <w:t xml:space="preserve"> </w:t>
            </w:r>
            <w:r>
              <w:t>Engagement</w:t>
            </w:r>
            <w:r w:rsidR="006C6F09">
              <w:t xml:space="preserve"> </w:t>
            </w:r>
            <w:r>
              <w:t>Tools</w:t>
            </w:r>
            <w:r w:rsidR="006C6F09">
              <w:t xml:space="preserve"> </w:t>
            </w:r>
            <w:r>
              <w:t>such</w:t>
            </w:r>
            <w:r w:rsidR="006C6F09">
              <w:t xml:space="preserve"> </w:t>
            </w:r>
            <w:r>
              <w:t>as</w:t>
            </w:r>
            <w:r w:rsidR="006C6F09">
              <w:t xml:space="preserve"> </w:t>
            </w:r>
            <w:proofErr w:type="spellStart"/>
            <w:r>
              <w:t>MetroQuest</w:t>
            </w:r>
            <w:proofErr w:type="spellEnd"/>
            <w:r>
              <w:t>,</w:t>
            </w:r>
            <w:r w:rsidR="006C6F09">
              <w:t xml:space="preserve"> </w:t>
            </w:r>
            <w:r>
              <w:t>Social</w:t>
            </w:r>
            <w:r w:rsidR="006C6F09">
              <w:t xml:space="preserve"> </w:t>
            </w:r>
            <w:proofErr w:type="spellStart"/>
            <w:r>
              <w:t>PinPoint</w:t>
            </w:r>
            <w:proofErr w:type="spellEnd"/>
            <w:r>
              <w:t>,</w:t>
            </w:r>
            <w:r w:rsidR="006C6F09">
              <w:t xml:space="preserve"> </w:t>
            </w:r>
            <w:r>
              <w:t>et</w:t>
            </w:r>
            <w:r w:rsidR="006C6F09">
              <w:t xml:space="preserve"> </w:t>
            </w:r>
            <w:r>
              <w:t>cetera.”</w:t>
            </w:r>
          </w:p>
          <w:p w14:paraId="12A1ABDD" w14:textId="4C7D2DC2"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Added</w:t>
            </w:r>
            <w:r w:rsidR="006C6F09">
              <w:t xml:space="preserve"> </w:t>
            </w:r>
            <w:r>
              <w:t>cross-references</w:t>
            </w:r>
            <w:r w:rsidR="006C6F09">
              <w:t xml:space="preserve"> </w:t>
            </w:r>
            <w:r>
              <w:t>to</w:t>
            </w:r>
            <w:r w:rsidR="006C6F09">
              <w:t xml:space="preserve"> </w:t>
            </w:r>
            <w:r>
              <w:t>ENV’s</w:t>
            </w:r>
            <w:r w:rsidR="006C6F09">
              <w:t xml:space="preserve"> </w:t>
            </w:r>
            <w:r>
              <w:t>“Guidance</w:t>
            </w:r>
            <w:r w:rsidR="006C6F09">
              <w:t xml:space="preserve"> </w:t>
            </w:r>
            <w:r>
              <w:t>–</w:t>
            </w:r>
            <w:r w:rsidR="006C6F09">
              <w:t xml:space="preserve"> </w:t>
            </w:r>
            <w:r>
              <w:t>Public</w:t>
            </w:r>
            <w:r w:rsidR="006C6F09">
              <w:t xml:space="preserve"> </w:t>
            </w:r>
            <w:r>
              <w:t>Comment</w:t>
            </w:r>
            <w:r w:rsidR="006C6F09">
              <w:t xml:space="preserve"> </w:t>
            </w:r>
            <w:r>
              <w:t>Response</w:t>
            </w:r>
            <w:r w:rsidR="006C6F09">
              <w:t xml:space="preserve"> </w:t>
            </w:r>
            <w:r>
              <w:t>Matrix”</w:t>
            </w:r>
            <w:r w:rsidR="006C6F09">
              <w:t xml:space="preserve"> </w:t>
            </w:r>
            <w:r>
              <w:t>for</w:t>
            </w:r>
            <w:r w:rsidR="006C6F09">
              <w:t xml:space="preserve"> </w:t>
            </w:r>
            <w:r>
              <w:t>further</w:t>
            </w:r>
            <w:r w:rsidR="006C6F09">
              <w:t xml:space="preserve"> </w:t>
            </w:r>
            <w:r>
              <w:t>instructions</w:t>
            </w:r>
            <w:r w:rsidR="006C6F09">
              <w:t xml:space="preserve"> </w:t>
            </w:r>
            <w:r>
              <w:t>on</w:t>
            </w:r>
            <w:r w:rsidR="006C6F09">
              <w:t xml:space="preserve"> </w:t>
            </w:r>
            <w:r>
              <w:t>preparing</w:t>
            </w:r>
            <w:r w:rsidR="006C6F09">
              <w:t xml:space="preserve"> </w:t>
            </w:r>
            <w:r>
              <w:t>the</w:t>
            </w:r>
            <w:r w:rsidR="006C6F09">
              <w:t xml:space="preserve"> </w:t>
            </w:r>
            <w:r>
              <w:t>comment</w:t>
            </w:r>
            <w:r w:rsidR="006C6F09">
              <w:t xml:space="preserve"> </w:t>
            </w:r>
            <w:r>
              <w:t>and</w:t>
            </w:r>
            <w:r w:rsidR="006C6F09">
              <w:t xml:space="preserve"> </w:t>
            </w:r>
            <w:r>
              <w:t>response</w:t>
            </w:r>
            <w:r w:rsidR="006C6F09">
              <w:t xml:space="preserve"> </w:t>
            </w:r>
            <w:r>
              <w:t>matrix</w:t>
            </w:r>
            <w:r w:rsidR="006C6F09">
              <w:t xml:space="preserve"> </w:t>
            </w:r>
            <w:r>
              <w:t>(Sections</w:t>
            </w:r>
            <w:r w:rsidR="006C6F09">
              <w:t xml:space="preserve"> </w:t>
            </w:r>
            <w:r>
              <w:t>3.5,</w:t>
            </w:r>
            <w:r w:rsidR="006C6F09">
              <w:t xml:space="preserve"> </w:t>
            </w:r>
            <w:r>
              <w:t>6.4,</w:t>
            </w:r>
            <w:r w:rsidR="006C6F09">
              <w:t xml:space="preserve"> </w:t>
            </w:r>
            <w:r>
              <w:t>14.1,</w:t>
            </w:r>
            <w:r w:rsidR="006C6F09">
              <w:t xml:space="preserve"> </w:t>
            </w:r>
            <w:r>
              <w:t>14.2,</w:t>
            </w:r>
            <w:r w:rsidR="006C6F09">
              <w:t xml:space="preserve"> </w:t>
            </w:r>
            <w:r>
              <w:t>14.3,</w:t>
            </w:r>
            <w:r w:rsidR="006C6F09">
              <w:t xml:space="preserve"> </w:t>
            </w:r>
            <w:r>
              <w:t>and</w:t>
            </w:r>
            <w:r w:rsidR="006C6F09">
              <w:t xml:space="preserve"> </w:t>
            </w:r>
            <w:r>
              <w:t>14.4).</w:t>
            </w:r>
          </w:p>
          <w:p w14:paraId="5F4AEFB6" w14:textId="57E838A2"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Removed</w:t>
            </w:r>
            <w:r w:rsidR="006C6F09">
              <w:t xml:space="preserve"> </w:t>
            </w:r>
            <w:r>
              <w:t>reference</w:t>
            </w:r>
            <w:r w:rsidR="006C6F09">
              <w:t xml:space="preserve"> </w:t>
            </w:r>
            <w:r>
              <w:t>to</w:t>
            </w:r>
            <w:r w:rsidR="006C6F09">
              <w:t xml:space="preserve"> </w:t>
            </w:r>
            <w:r>
              <w:t>supplementing</w:t>
            </w:r>
            <w:r w:rsidR="006C6F09">
              <w:t xml:space="preserve"> </w:t>
            </w:r>
            <w:r>
              <w:t>public</w:t>
            </w:r>
            <w:r w:rsidR="006C6F09">
              <w:t xml:space="preserve"> </w:t>
            </w:r>
            <w:r>
              <w:t>meetings</w:t>
            </w:r>
            <w:r w:rsidR="006C6F09">
              <w:t xml:space="preserve"> </w:t>
            </w:r>
            <w:r>
              <w:t>with</w:t>
            </w:r>
            <w:r w:rsidR="006C6F09">
              <w:t xml:space="preserve"> </w:t>
            </w:r>
            <w:r>
              <w:t>online</w:t>
            </w:r>
            <w:r w:rsidR="006C6F09">
              <w:t xml:space="preserve"> </w:t>
            </w:r>
            <w:r>
              <w:t>open</w:t>
            </w:r>
            <w:r w:rsidR="006C6F09">
              <w:t xml:space="preserve"> </w:t>
            </w:r>
            <w:r>
              <w:t>houses</w:t>
            </w:r>
            <w:r w:rsidR="006C6F09">
              <w:t xml:space="preserve"> </w:t>
            </w:r>
            <w:r>
              <w:t>because</w:t>
            </w:r>
            <w:r w:rsidR="006C6F09">
              <w:t xml:space="preserve"> </w:t>
            </w:r>
            <w:r>
              <w:t>this</w:t>
            </w:r>
            <w:r w:rsidR="006C6F09">
              <w:t xml:space="preserve"> </w:t>
            </w:r>
            <w:r>
              <w:t>does</w:t>
            </w:r>
            <w:r w:rsidR="006C6F09">
              <w:t xml:space="preserve"> </w:t>
            </w:r>
            <w:r>
              <w:t>not</w:t>
            </w:r>
            <w:r w:rsidR="006C6F09">
              <w:t xml:space="preserve"> </w:t>
            </w:r>
            <w:r>
              <w:t>make</w:t>
            </w:r>
            <w:r w:rsidR="006C6F09">
              <w:t xml:space="preserve"> </w:t>
            </w:r>
            <w:r>
              <w:t>sense</w:t>
            </w:r>
            <w:r w:rsidR="006C6F09">
              <w:t xml:space="preserve"> </w:t>
            </w:r>
            <w:r>
              <w:t>now</w:t>
            </w:r>
            <w:r w:rsidR="006C6F09">
              <w:t xml:space="preserve"> </w:t>
            </w:r>
            <w:r>
              <w:t>that</w:t>
            </w:r>
            <w:r w:rsidR="006C6F09">
              <w:t xml:space="preserve"> </w:t>
            </w:r>
            <w:r>
              <w:t>we</w:t>
            </w:r>
            <w:r w:rsidR="006C6F09">
              <w:t xml:space="preserve"> </w:t>
            </w:r>
            <w:r>
              <w:t>have</w:t>
            </w:r>
            <w:r w:rsidR="006C6F09">
              <w:t xml:space="preserve"> </w:t>
            </w:r>
            <w:r>
              <w:t>virtual</w:t>
            </w:r>
            <w:r w:rsidR="006C6F09">
              <w:t xml:space="preserve"> </w:t>
            </w:r>
            <w:r>
              <w:t>public</w:t>
            </w:r>
            <w:r w:rsidR="006C6F09">
              <w:t xml:space="preserve"> </w:t>
            </w:r>
            <w:r>
              <w:t>meetings</w:t>
            </w:r>
            <w:r w:rsidR="006C6F09">
              <w:t xml:space="preserve"> </w:t>
            </w:r>
            <w:r>
              <w:t>(Section</w:t>
            </w:r>
            <w:r w:rsidR="006C6F09">
              <w:t xml:space="preserve"> </w:t>
            </w:r>
            <w:r>
              <w:t>4.1).</w:t>
            </w:r>
          </w:p>
          <w:p w14:paraId="58DAFC52" w14:textId="6E5FDE46"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Added</w:t>
            </w:r>
            <w:r w:rsidR="006C6F09">
              <w:t xml:space="preserve"> </w:t>
            </w:r>
            <w:r>
              <w:t>a</w:t>
            </w:r>
            <w:r w:rsidR="006C6F09">
              <w:t xml:space="preserve"> </w:t>
            </w:r>
            <w:r>
              <w:t>requirement</w:t>
            </w:r>
            <w:r w:rsidR="006C6F09">
              <w:t xml:space="preserve"> </w:t>
            </w:r>
            <w:r>
              <w:t>to</w:t>
            </w:r>
            <w:r w:rsidR="006C6F09">
              <w:t xml:space="preserve"> </w:t>
            </w:r>
            <w:r>
              <w:t>include</w:t>
            </w:r>
            <w:r w:rsidR="006C6F09">
              <w:t xml:space="preserve"> </w:t>
            </w:r>
            <w:r>
              <w:t>a</w:t>
            </w:r>
            <w:r w:rsidR="006C6F09">
              <w:t xml:space="preserve"> </w:t>
            </w:r>
            <w:r>
              <w:t>Spanish</w:t>
            </w:r>
            <w:r w:rsidR="006C6F09">
              <w:t xml:space="preserve"> </w:t>
            </w:r>
            <w:r>
              <w:t>translation</w:t>
            </w:r>
            <w:r w:rsidR="006C6F09">
              <w:t xml:space="preserve"> </w:t>
            </w:r>
            <w:r>
              <w:t>version</w:t>
            </w:r>
            <w:r w:rsidR="006C6F09">
              <w:t xml:space="preserve"> </w:t>
            </w:r>
            <w:r>
              <w:t>of</w:t>
            </w:r>
            <w:r w:rsidR="006C6F09">
              <w:t xml:space="preserve"> </w:t>
            </w:r>
            <w:r>
              <w:t>the</w:t>
            </w:r>
            <w:r w:rsidR="006C6F09">
              <w:t xml:space="preserve"> </w:t>
            </w:r>
            <w:r>
              <w:t>interpreter</w:t>
            </w:r>
            <w:r w:rsidR="006C6F09">
              <w:t xml:space="preserve"> </w:t>
            </w:r>
            <w:r>
              <w:t>accommodation</w:t>
            </w:r>
            <w:r w:rsidR="006C6F09">
              <w:t xml:space="preserve"> </w:t>
            </w:r>
            <w:r>
              <w:t>paragraph</w:t>
            </w:r>
            <w:r w:rsidR="006C6F09">
              <w:t xml:space="preserve"> </w:t>
            </w:r>
            <w:r>
              <w:t>in</w:t>
            </w:r>
            <w:r w:rsidR="006C6F09">
              <w:t xml:space="preserve"> </w:t>
            </w:r>
            <w:r>
              <w:t>all</w:t>
            </w:r>
            <w:r w:rsidR="006C6F09">
              <w:t xml:space="preserve"> </w:t>
            </w:r>
            <w:r>
              <w:t>public</w:t>
            </w:r>
            <w:r w:rsidR="006C6F09">
              <w:t xml:space="preserve"> </w:t>
            </w:r>
            <w:r>
              <w:t>meeting</w:t>
            </w:r>
            <w:r w:rsidR="006C6F09">
              <w:t xml:space="preserve"> </w:t>
            </w:r>
            <w:r>
              <w:t>and</w:t>
            </w:r>
            <w:r w:rsidR="006C6F09">
              <w:t xml:space="preserve"> </w:t>
            </w:r>
            <w:r>
              <w:t>hearing</w:t>
            </w:r>
            <w:r w:rsidR="006C6F09">
              <w:t xml:space="preserve"> </w:t>
            </w:r>
            <w:r>
              <w:t>notices</w:t>
            </w:r>
            <w:r w:rsidR="006C6F09">
              <w:t xml:space="preserve"> </w:t>
            </w:r>
            <w:r>
              <w:t>(Sections</w:t>
            </w:r>
            <w:r w:rsidR="006C6F09">
              <w:t xml:space="preserve"> </w:t>
            </w:r>
            <w:r>
              <w:t>4.4</w:t>
            </w:r>
            <w:r w:rsidR="006C6F09">
              <w:t xml:space="preserve"> </w:t>
            </w:r>
            <w:r>
              <w:t>and</w:t>
            </w:r>
            <w:r w:rsidR="006C6F09">
              <w:t xml:space="preserve"> </w:t>
            </w:r>
            <w:r>
              <w:t>6.2).</w:t>
            </w:r>
          </w:p>
          <w:p w14:paraId="640EC282" w14:textId="57A2E0FA"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proofErr w:type="gramStart"/>
            <w:r>
              <w:lastRenderedPageBreak/>
              <w:t>Added</w:t>
            </w:r>
            <w:proofErr w:type="gramEnd"/>
            <w:r w:rsidR="006C6F09">
              <w:t xml:space="preserve"> </w:t>
            </w:r>
            <w:r>
              <w:t>an</w:t>
            </w:r>
            <w:r w:rsidR="006C6F09">
              <w:t xml:space="preserve"> </w:t>
            </w:r>
            <w:r>
              <w:t>instruction</w:t>
            </w:r>
            <w:r w:rsidR="006C6F09">
              <w:t xml:space="preserve"> </w:t>
            </w:r>
            <w:r>
              <w:t>that,</w:t>
            </w:r>
            <w:r w:rsidR="006C6F09">
              <w:t xml:space="preserve"> </w:t>
            </w:r>
            <w:r>
              <w:t>for</w:t>
            </w:r>
            <w:r w:rsidR="006C6F09">
              <w:t xml:space="preserve"> </w:t>
            </w:r>
            <w:r>
              <w:t>EA</w:t>
            </w:r>
            <w:r w:rsidR="006C6F09">
              <w:t xml:space="preserve"> </w:t>
            </w:r>
            <w:r>
              <w:t>and</w:t>
            </w:r>
            <w:r w:rsidR="006C6F09">
              <w:t xml:space="preserve"> </w:t>
            </w:r>
            <w:r>
              <w:t>EIS</w:t>
            </w:r>
            <w:r w:rsidR="006C6F09">
              <w:t xml:space="preserve"> </w:t>
            </w:r>
            <w:r>
              <w:t>projects,</w:t>
            </w:r>
            <w:r w:rsidR="006C6F09">
              <w:t xml:space="preserve"> </w:t>
            </w:r>
            <w:r>
              <w:t>it</w:t>
            </w:r>
            <w:r w:rsidR="006C6F09">
              <w:t xml:space="preserve"> </w:t>
            </w:r>
            <w:r>
              <w:t>is</w:t>
            </w:r>
            <w:r w:rsidR="006C6F09">
              <w:t xml:space="preserve"> </w:t>
            </w:r>
            <w:r>
              <w:t>recommended</w:t>
            </w:r>
            <w:r w:rsidR="006C6F09">
              <w:t xml:space="preserve"> </w:t>
            </w:r>
            <w:r>
              <w:t>(but</w:t>
            </w:r>
            <w:r w:rsidR="006C6F09">
              <w:t xml:space="preserve"> </w:t>
            </w:r>
            <w:r>
              <w:t>not</w:t>
            </w:r>
            <w:r w:rsidR="006C6F09">
              <w:t xml:space="preserve"> </w:t>
            </w:r>
            <w:r>
              <w:t>required)</w:t>
            </w:r>
            <w:r w:rsidR="006C6F09">
              <w:t xml:space="preserve"> </w:t>
            </w:r>
            <w:r>
              <w:t>that</w:t>
            </w:r>
            <w:r w:rsidR="006C6F09">
              <w:t xml:space="preserve"> </w:t>
            </w:r>
            <w:r>
              <w:t>ENV</w:t>
            </w:r>
            <w:r w:rsidR="006C6F09">
              <w:t xml:space="preserve"> </w:t>
            </w:r>
            <w:r>
              <w:t>Project</w:t>
            </w:r>
            <w:r w:rsidR="006C6F09">
              <w:t xml:space="preserve"> </w:t>
            </w:r>
            <w:r>
              <w:t>Delivery</w:t>
            </w:r>
            <w:r w:rsidR="006C6F09">
              <w:t xml:space="preserve"> </w:t>
            </w:r>
            <w:r>
              <w:t>Staff</w:t>
            </w:r>
            <w:r w:rsidR="006C6F09">
              <w:t xml:space="preserve"> </w:t>
            </w:r>
            <w:r>
              <w:t>review</w:t>
            </w:r>
            <w:r w:rsidR="006C6F09">
              <w:t xml:space="preserve"> </w:t>
            </w:r>
            <w:r>
              <w:t>public</w:t>
            </w:r>
            <w:r w:rsidR="006C6F09">
              <w:t xml:space="preserve"> </w:t>
            </w:r>
            <w:r>
              <w:t>meeting</w:t>
            </w:r>
            <w:r w:rsidR="006C6F09">
              <w:t xml:space="preserve"> </w:t>
            </w:r>
            <w:r>
              <w:t>or</w:t>
            </w:r>
            <w:r w:rsidR="006C6F09">
              <w:t xml:space="preserve"> </w:t>
            </w:r>
            <w:r>
              <w:t>hearing</w:t>
            </w:r>
            <w:r w:rsidR="006C6F09">
              <w:t xml:space="preserve"> </w:t>
            </w:r>
            <w:r>
              <w:t>materials</w:t>
            </w:r>
            <w:r w:rsidR="006C6F09">
              <w:t xml:space="preserve"> </w:t>
            </w:r>
            <w:r>
              <w:t>before</w:t>
            </w:r>
            <w:r w:rsidR="006C6F09">
              <w:t xml:space="preserve"> </w:t>
            </w:r>
            <w:r>
              <w:t>the</w:t>
            </w:r>
            <w:r w:rsidR="006C6F09">
              <w:t xml:space="preserve"> </w:t>
            </w:r>
            <w:r>
              <w:t>public</w:t>
            </w:r>
            <w:r w:rsidR="006C6F09">
              <w:t xml:space="preserve"> </w:t>
            </w:r>
            <w:r>
              <w:t>meeting</w:t>
            </w:r>
            <w:r w:rsidR="006C6F09">
              <w:t xml:space="preserve"> </w:t>
            </w:r>
            <w:r>
              <w:t>or</w:t>
            </w:r>
            <w:r w:rsidR="006C6F09">
              <w:t xml:space="preserve"> </w:t>
            </w:r>
            <w:r>
              <w:t>hearing</w:t>
            </w:r>
            <w:r w:rsidR="006C6F09">
              <w:t xml:space="preserve"> </w:t>
            </w:r>
            <w:r>
              <w:t>(Sections</w:t>
            </w:r>
            <w:r w:rsidR="006C6F09">
              <w:t xml:space="preserve"> </w:t>
            </w:r>
            <w:r>
              <w:t>4.5</w:t>
            </w:r>
            <w:r w:rsidR="006C6F09">
              <w:t xml:space="preserve"> </w:t>
            </w:r>
            <w:r>
              <w:t>and</w:t>
            </w:r>
            <w:r w:rsidR="006C6F09">
              <w:t xml:space="preserve"> </w:t>
            </w:r>
            <w:r>
              <w:t>6.3.2).</w:t>
            </w:r>
          </w:p>
          <w:p w14:paraId="2548E492" w14:textId="58B189FE"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Clarified</w:t>
            </w:r>
            <w:r w:rsidR="006C6F09">
              <w:t xml:space="preserve"> </w:t>
            </w:r>
            <w:r>
              <w:t>that</w:t>
            </w:r>
            <w:r w:rsidR="006C6F09">
              <w:t xml:space="preserve"> </w:t>
            </w:r>
            <w:r>
              <w:t>an</w:t>
            </w:r>
            <w:r w:rsidR="006C6F09">
              <w:t xml:space="preserve"> </w:t>
            </w:r>
            <w:r>
              <w:t>in-person</w:t>
            </w:r>
            <w:r w:rsidR="006C6F09">
              <w:t xml:space="preserve"> </w:t>
            </w:r>
            <w:r>
              <w:t>presentation</w:t>
            </w:r>
            <w:r w:rsidR="006C6F09">
              <w:t xml:space="preserve"> </w:t>
            </w:r>
            <w:r>
              <w:t>need</w:t>
            </w:r>
            <w:r w:rsidR="006C6F09">
              <w:t xml:space="preserve"> </w:t>
            </w:r>
            <w:r>
              <w:t>not</w:t>
            </w:r>
            <w:r w:rsidR="006C6F09">
              <w:t xml:space="preserve"> </w:t>
            </w:r>
            <w:r>
              <w:t>be</w:t>
            </w:r>
            <w:r w:rsidR="006C6F09">
              <w:t xml:space="preserve"> </w:t>
            </w:r>
            <w:r>
              <w:t>literally</w:t>
            </w:r>
            <w:r w:rsidR="006C6F09">
              <w:t xml:space="preserve"> </w:t>
            </w:r>
            <w:r>
              <w:t>“identical”</w:t>
            </w:r>
            <w:r w:rsidR="006C6F09">
              <w:t xml:space="preserve"> </w:t>
            </w:r>
            <w:r>
              <w:t>to</w:t>
            </w:r>
            <w:r w:rsidR="006C6F09">
              <w:t xml:space="preserve"> </w:t>
            </w:r>
            <w:r>
              <w:t>the</w:t>
            </w:r>
            <w:r w:rsidR="006C6F09">
              <w:t xml:space="preserve"> </w:t>
            </w:r>
            <w:r>
              <w:t>virtual</w:t>
            </w:r>
            <w:r w:rsidR="006C6F09">
              <w:t xml:space="preserve"> </w:t>
            </w:r>
            <w:r>
              <w:t>one,</w:t>
            </w:r>
            <w:r w:rsidR="006C6F09">
              <w:t xml:space="preserve"> </w:t>
            </w:r>
            <w:r>
              <w:t>but</w:t>
            </w:r>
            <w:r w:rsidR="006C6F09">
              <w:t xml:space="preserve"> </w:t>
            </w:r>
            <w:r>
              <w:t>need</w:t>
            </w:r>
            <w:r w:rsidR="006C6F09">
              <w:t xml:space="preserve"> </w:t>
            </w:r>
            <w:r>
              <w:t>only</w:t>
            </w:r>
            <w:r w:rsidR="006C6F09">
              <w:t xml:space="preserve"> </w:t>
            </w:r>
            <w:r>
              <w:t>be</w:t>
            </w:r>
            <w:r w:rsidR="006C6F09">
              <w:t xml:space="preserve"> </w:t>
            </w:r>
            <w:r>
              <w:t>“substantively”</w:t>
            </w:r>
            <w:r w:rsidR="006C6F09">
              <w:t xml:space="preserve"> </w:t>
            </w:r>
            <w:r>
              <w:t>identical</w:t>
            </w:r>
            <w:r w:rsidR="006C6F09">
              <w:t xml:space="preserve"> </w:t>
            </w:r>
            <w:r>
              <w:t>(in</w:t>
            </w:r>
            <w:r w:rsidR="006C6F09">
              <w:t xml:space="preserve"> </w:t>
            </w:r>
            <w:r>
              <w:t>other</w:t>
            </w:r>
            <w:r w:rsidR="006C6F09">
              <w:t xml:space="preserve"> </w:t>
            </w:r>
            <w:r>
              <w:t>words,</w:t>
            </w:r>
            <w:r w:rsidR="006C6F09">
              <w:t xml:space="preserve"> </w:t>
            </w:r>
            <w:r>
              <w:t>contain</w:t>
            </w:r>
            <w:r w:rsidR="006C6F09">
              <w:t xml:space="preserve"> </w:t>
            </w:r>
            <w:r>
              <w:t>the</w:t>
            </w:r>
            <w:r w:rsidR="006C6F09">
              <w:t xml:space="preserve"> </w:t>
            </w:r>
            <w:r>
              <w:t>same</w:t>
            </w:r>
            <w:r w:rsidR="006C6F09">
              <w:t xml:space="preserve"> </w:t>
            </w:r>
            <w:r>
              <w:t>substantive</w:t>
            </w:r>
            <w:r w:rsidR="006C6F09">
              <w:t xml:space="preserve"> </w:t>
            </w:r>
            <w:r>
              <w:t>information)</w:t>
            </w:r>
            <w:r w:rsidR="006C6F09">
              <w:t xml:space="preserve"> </w:t>
            </w:r>
            <w:r>
              <w:t>(Sections</w:t>
            </w:r>
            <w:r w:rsidR="006C6F09">
              <w:t xml:space="preserve"> </w:t>
            </w:r>
            <w:r>
              <w:t>4.5.2</w:t>
            </w:r>
            <w:r w:rsidR="006C6F09">
              <w:t xml:space="preserve"> </w:t>
            </w:r>
            <w:r>
              <w:t>and</w:t>
            </w:r>
            <w:r w:rsidR="006C6F09">
              <w:t xml:space="preserve"> </w:t>
            </w:r>
            <w:r>
              <w:t>6.3.2)</w:t>
            </w:r>
          </w:p>
          <w:p w14:paraId="78758BBA" w14:textId="20FA9FD1"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Added</w:t>
            </w:r>
            <w:r w:rsidR="006C6F09">
              <w:t xml:space="preserve"> </w:t>
            </w:r>
            <w:r>
              <w:t>a</w:t>
            </w:r>
            <w:r w:rsidR="006C6F09">
              <w:t xml:space="preserve"> </w:t>
            </w:r>
            <w:r>
              <w:t>reminder</w:t>
            </w:r>
            <w:r w:rsidR="006C6F09">
              <w:t xml:space="preserve"> </w:t>
            </w:r>
            <w:r>
              <w:t>that</w:t>
            </w:r>
            <w:r w:rsidR="006C6F09">
              <w:t xml:space="preserve"> </w:t>
            </w:r>
            <w:r>
              <w:t>for</w:t>
            </w:r>
            <w:r w:rsidR="006C6F09">
              <w:t xml:space="preserve"> </w:t>
            </w:r>
            <w:r>
              <w:t>open-ended</w:t>
            </w:r>
            <w:r w:rsidR="006C6F09">
              <w:t xml:space="preserve"> </w:t>
            </w:r>
            <w:r>
              <w:t>(d)-list</w:t>
            </w:r>
            <w:r w:rsidR="006C6F09">
              <w:t xml:space="preserve"> </w:t>
            </w:r>
            <w:r>
              <w:t>CE</w:t>
            </w:r>
            <w:r w:rsidR="006C6F09">
              <w:t xml:space="preserve"> </w:t>
            </w:r>
            <w:r>
              <w:t>projects,</w:t>
            </w:r>
            <w:r w:rsidR="006C6F09">
              <w:t xml:space="preserve"> </w:t>
            </w:r>
            <w:r>
              <w:t>ENV</w:t>
            </w:r>
            <w:r w:rsidR="006C6F09">
              <w:t xml:space="preserve"> </w:t>
            </w:r>
            <w:r>
              <w:t>PD</w:t>
            </w:r>
            <w:r w:rsidR="006C6F09">
              <w:t xml:space="preserve"> </w:t>
            </w:r>
            <w:r>
              <w:t>review</w:t>
            </w:r>
            <w:r w:rsidR="006C6F09">
              <w:t xml:space="preserve"> </w:t>
            </w:r>
            <w:r>
              <w:t>of</w:t>
            </w:r>
            <w:r w:rsidR="006C6F09">
              <w:t xml:space="preserve"> </w:t>
            </w:r>
            <w:r>
              <w:t>public</w:t>
            </w:r>
            <w:r w:rsidR="006C6F09">
              <w:t xml:space="preserve"> </w:t>
            </w:r>
            <w:r>
              <w:t>hearing</w:t>
            </w:r>
            <w:r w:rsidR="006C6F09">
              <w:t xml:space="preserve"> </w:t>
            </w:r>
            <w:r>
              <w:t>materials</w:t>
            </w:r>
            <w:r w:rsidR="006C6F09">
              <w:t xml:space="preserve"> </w:t>
            </w:r>
            <w:r>
              <w:t>is</w:t>
            </w:r>
            <w:r w:rsidR="006C6F09">
              <w:t xml:space="preserve"> </w:t>
            </w:r>
            <w:r>
              <w:t>required</w:t>
            </w:r>
            <w:r w:rsidR="006C6F09">
              <w:t xml:space="preserve"> </w:t>
            </w:r>
            <w:r>
              <w:t>only</w:t>
            </w:r>
            <w:r w:rsidR="006C6F09">
              <w:t xml:space="preserve"> </w:t>
            </w:r>
            <w:r>
              <w:t>if</w:t>
            </w:r>
            <w:r w:rsidR="006C6F09">
              <w:t xml:space="preserve"> </w:t>
            </w:r>
            <w:r>
              <w:t>certain</w:t>
            </w:r>
            <w:r w:rsidR="006C6F09">
              <w:t xml:space="preserve"> </w:t>
            </w:r>
            <w:r>
              <w:t>acreage</w:t>
            </w:r>
            <w:r w:rsidR="006C6F09">
              <w:t xml:space="preserve"> </w:t>
            </w:r>
            <w:r>
              <w:t>or</w:t>
            </w:r>
            <w:r w:rsidR="006C6F09">
              <w:t xml:space="preserve"> </w:t>
            </w:r>
            <w:r>
              <w:t>displacement</w:t>
            </w:r>
            <w:r w:rsidR="006C6F09">
              <w:t xml:space="preserve"> </w:t>
            </w:r>
            <w:r>
              <w:t>thresholds</w:t>
            </w:r>
            <w:r w:rsidR="006C6F09">
              <w:t xml:space="preserve"> </w:t>
            </w:r>
            <w:r>
              <w:t>are</w:t>
            </w:r>
            <w:r w:rsidR="006C6F09">
              <w:t xml:space="preserve"> </w:t>
            </w:r>
            <w:r>
              <w:t>exceeded</w:t>
            </w:r>
            <w:r w:rsidR="006C6F09">
              <w:t xml:space="preserve"> </w:t>
            </w:r>
            <w:r>
              <w:t>(Section</w:t>
            </w:r>
            <w:r w:rsidR="006C6F09">
              <w:t xml:space="preserve"> </w:t>
            </w:r>
            <w:r>
              <w:t>6.0).</w:t>
            </w:r>
          </w:p>
          <w:p w14:paraId="507E64D7" w14:textId="730194B0"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Corrected</w:t>
            </w:r>
            <w:r w:rsidR="006C6F09">
              <w:t xml:space="preserve"> </w:t>
            </w:r>
            <w:r>
              <w:t>statutory</w:t>
            </w:r>
            <w:r w:rsidR="006C6F09">
              <w:t xml:space="preserve"> </w:t>
            </w:r>
            <w:r>
              <w:t>reference</w:t>
            </w:r>
            <w:r w:rsidR="006C6F09">
              <w:t xml:space="preserve"> </w:t>
            </w:r>
            <w:r>
              <w:t>re:</w:t>
            </w:r>
            <w:r w:rsidR="006C6F09">
              <w:t xml:space="preserve"> </w:t>
            </w:r>
            <w:r>
              <w:t>agricultural</w:t>
            </w:r>
            <w:r w:rsidR="006C6F09">
              <w:t xml:space="preserve"> </w:t>
            </w:r>
            <w:r>
              <w:t>conservation</w:t>
            </w:r>
            <w:r w:rsidR="006C6F09">
              <w:t xml:space="preserve"> </w:t>
            </w:r>
            <w:r>
              <w:t>easements</w:t>
            </w:r>
            <w:r w:rsidR="006C6F09">
              <w:t xml:space="preserve"> </w:t>
            </w:r>
            <w:r>
              <w:t>from</w:t>
            </w:r>
            <w:r w:rsidR="006C6F09">
              <w:t xml:space="preserve"> </w:t>
            </w:r>
            <w:r>
              <w:t>Chapter</w:t>
            </w:r>
            <w:r w:rsidR="006C6F09">
              <w:t xml:space="preserve"> </w:t>
            </w:r>
            <w:r>
              <w:t>183</w:t>
            </w:r>
            <w:r w:rsidR="006C6F09">
              <w:t xml:space="preserve"> </w:t>
            </w:r>
            <w:r>
              <w:t>of</w:t>
            </w:r>
            <w:r w:rsidR="006C6F09">
              <w:t xml:space="preserve"> </w:t>
            </w:r>
            <w:r>
              <w:t>the</w:t>
            </w:r>
            <w:r w:rsidR="006C6F09">
              <w:t xml:space="preserve"> </w:t>
            </w:r>
            <w:r>
              <w:t>Texas</w:t>
            </w:r>
            <w:r w:rsidR="006C6F09">
              <w:t xml:space="preserve"> </w:t>
            </w:r>
            <w:r>
              <w:t>Natural</w:t>
            </w:r>
            <w:r w:rsidR="006C6F09">
              <w:t xml:space="preserve"> </w:t>
            </w:r>
            <w:r>
              <w:t>Resources</w:t>
            </w:r>
            <w:r w:rsidR="006C6F09">
              <w:t xml:space="preserve"> </w:t>
            </w:r>
            <w:r>
              <w:t>Code</w:t>
            </w:r>
            <w:r w:rsidR="006C6F09">
              <w:t xml:space="preserve"> </w:t>
            </w:r>
            <w:r>
              <w:t>to</w:t>
            </w:r>
            <w:r w:rsidR="006C6F09">
              <w:t xml:space="preserve"> </w:t>
            </w:r>
            <w:r>
              <w:t>Chapter</w:t>
            </w:r>
            <w:r w:rsidR="006C6F09">
              <w:t xml:space="preserve"> </w:t>
            </w:r>
            <w:r>
              <w:t>84</w:t>
            </w:r>
            <w:r w:rsidR="006C6F09">
              <w:t xml:space="preserve"> </w:t>
            </w:r>
            <w:r>
              <w:t>of</w:t>
            </w:r>
            <w:r w:rsidR="006C6F09">
              <w:t xml:space="preserve"> </w:t>
            </w:r>
            <w:r>
              <w:t>the</w:t>
            </w:r>
            <w:r w:rsidR="006C6F09">
              <w:t xml:space="preserve"> </w:t>
            </w:r>
            <w:r>
              <w:t>Texas</w:t>
            </w:r>
            <w:r w:rsidR="006C6F09">
              <w:t xml:space="preserve"> </w:t>
            </w:r>
            <w:r>
              <w:t>Parks</w:t>
            </w:r>
            <w:r w:rsidR="006C6F09">
              <w:t xml:space="preserve"> </w:t>
            </w:r>
            <w:r>
              <w:t>and</w:t>
            </w:r>
            <w:r w:rsidR="006C6F09">
              <w:t xml:space="preserve"> </w:t>
            </w:r>
            <w:r>
              <w:t>Wildlife</w:t>
            </w:r>
            <w:r w:rsidR="006C6F09">
              <w:t xml:space="preserve"> </w:t>
            </w:r>
            <w:r>
              <w:t>Code</w:t>
            </w:r>
            <w:r w:rsidR="006C6F09">
              <w:t xml:space="preserve"> </w:t>
            </w:r>
            <w:r>
              <w:t>(Section</w:t>
            </w:r>
            <w:r w:rsidR="006C6F09">
              <w:t xml:space="preserve"> </w:t>
            </w:r>
            <w:r>
              <w:t>6.0).</w:t>
            </w:r>
          </w:p>
          <w:p w14:paraId="1BEF7921" w14:textId="656B73B7"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Clarified</w:t>
            </w:r>
            <w:r w:rsidR="006C6F09">
              <w:t xml:space="preserve"> </w:t>
            </w:r>
            <w:r>
              <w:t>that</w:t>
            </w:r>
            <w:r w:rsidR="006C6F09">
              <w:t xml:space="preserve"> </w:t>
            </w:r>
            <w:r>
              <w:t>if</w:t>
            </w:r>
            <w:r w:rsidR="006C6F09">
              <w:t xml:space="preserve"> </w:t>
            </w:r>
            <w:r>
              <w:t>a</w:t>
            </w:r>
            <w:r w:rsidR="006C6F09">
              <w:t xml:space="preserve"> </w:t>
            </w:r>
            <w:r>
              <w:t>public</w:t>
            </w:r>
            <w:r w:rsidR="006C6F09">
              <w:t xml:space="preserve"> </w:t>
            </w:r>
            <w:r>
              <w:t>hearing</w:t>
            </w:r>
            <w:r w:rsidR="006C6F09">
              <w:t xml:space="preserve"> </w:t>
            </w:r>
            <w:r>
              <w:t>is</w:t>
            </w:r>
            <w:r w:rsidR="006C6F09">
              <w:t xml:space="preserve"> </w:t>
            </w:r>
            <w:r>
              <w:t>triggered</w:t>
            </w:r>
            <w:r w:rsidR="006C6F09">
              <w:t xml:space="preserve"> </w:t>
            </w:r>
            <w:r>
              <w:t>under</w:t>
            </w:r>
            <w:r w:rsidR="006C6F09">
              <w:t xml:space="preserve"> </w:t>
            </w:r>
            <w:r>
              <w:t>Chapter</w:t>
            </w:r>
            <w:r w:rsidR="006C6F09">
              <w:t xml:space="preserve"> </w:t>
            </w:r>
            <w:r>
              <w:t>26</w:t>
            </w:r>
            <w:r w:rsidR="006C6F09">
              <w:t xml:space="preserve"> </w:t>
            </w:r>
            <w:r>
              <w:t>of</w:t>
            </w:r>
            <w:r w:rsidR="006C6F09">
              <w:t xml:space="preserve"> </w:t>
            </w:r>
            <w:r>
              <w:t>the</w:t>
            </w:r>
            <w:r w:rsidR="006C6F09">
              <w:t xml:space="preserve"> </w:t>
            </w:r>
            <w:r>
              <w:t>Texas</w:t>
            </w:r>
            <w:r w:rsidR="006C6F09">
              <w:t xml:space="preserve"> </w:t>
            </w:r>
            <w:r>
              <w:t>Parks</w:t>
            </w:r>
            <w:r w:rsidR="006C6F09">
              <w:t xml:space="preserve"> </w:t>
            </w:r>
            <w:r>
              <w:t>and</w:t>
            </w:r>
            <w:r w:rsidR="006C6F09">
              <w:t xml:space="preserve"> </w:t>
            </w:r>
            <w:r>
              <w:t>Wildlife</w:t>
            </w:r>
            <w:r w:rsidR="006C6F09">
              <w:t xml:space="preserve"> </w:t>
            </w:r>
            <w:r>
              <w:t>Code,</w:t>
            </w:r>
            <w:r w:rsidR="006C6F09">
              <w:t xml:space="preserve"> </w:t>
            </w:r>
            <w:r>
              <w:t>then</w:t>
            </w:r>
            <w:r w:rsidR="006C6F09">
              <w:t xml:space="preserve"> </w:t>
            </w:r>
            <w:r>
              <w:t>the</w:t>
            </w:r>
            <w:r w:rsidR="006C6F09">
              <w:t xml:space="preserve"> </w:t>
            </w:r>
            <w:r>
              <w:t>notice</w:t>
            </w:r>
            <w:r w:rsidR="006C6F09">
              <w:t xml:space="preserve"> </w:t>
            </w:r>
            <w:r>
              <w:t>requirements</w:t>
            </w:r>
            <w:r w:rsidR="006C6F09">
              <w:t xml:space="preserve"> </w:t>
            </w:r>
            <w:r>
              <w:t>must</w:t>
            </w:r>
            <w:r w:rsidR="006C6F09">
              <w:t xml:space="preserve"> </w:t>
            </w:r>
            <w:r>
              <w:t>comply</w:t>
            </w:r>
            <w:r w:rsidR="006C6F09">
              <w:t xml:space="preserve"> </w:t>
            </w:r>
            <w:r>
              <w:t>with</w:t>
            </w:r>
            <w:r w:rsidR="006C6F09">
              <w:t xml:space="preserve"> </w:t>
            </w:r>
            <w:r>
              <w:t>our</w:t>
            </w:r>
            <w:r w:rsidR="006C6F09">
              <w:t xml:space="preserve"> </w:t>
            </w:r>
            <w:r>
              <w:t>regular</w:t>
            </w:r>
            <w:r w:rsidR="006C6F09">
              <w:t xml:space="preserve"> </w:t>
            </w:r>
            <w:r>
              <w:t>notice</w:t>
            </w:r>
            <w:r w:rsidR="006C6F09">
              <w:t xml:space="preserve"> </w:t>
            </w:r>
            <w:r>
              <w:t>requirements</w:t>
            </w:r>
            <w:r w:rsidR="006C6F09">
              <w:t xml:space="preserve"> </w:t>
            </w:r>
            <w:r>
              <w:t>for</w:t>
            </w:r>
            <w:r w:rsidR="006C6F09">
              <w:t xml:space="preserve"> </w:t>
            </w:r>
            <w:r>
              <w:t>public</w:t>
            </w:r>
            <w:r w:rsidR="006C6F09">
              <w:t xml:space="preserve"> </w:t>
            </w:r>
            <w:r>
              <w:t>hearings</w:t>
            </w:r>
            <w:r w:rsidR="006C6F09">
              <w:t xml:space="preserve"> </w:t>
            </w:r>
            <w:r>
              <w:t>in</w:t>
            </w:r>
            <w:r w:rsidR="006C6F09">
              <w:t xml:space="preserve"> </w:t>
            </w:r>
            <w:r>
              <w:t>addition</w:t>
            </w:r>
            <w:r w:rsidR="006C6F09">
              <w:t xml:space="preserve"> </w:t>
            </w:r>
            <w:r>
              <w:t>to</w:t>
            </w:r>
            <w:r w:rsidR="006C6F09">
              <w:t xml:space="preserve"> </w:t>
            </w:r>
            <w:r>
              <w:t>the</w:t>
            </w:r>
            <w:r w:rsidR="006C6F09">
              <w:t xml:space="preserve"> </w:t>
            </w:r>
            <w:r>
              <w:t>special</w:t>
            </w:r>
            <w:r w:rsidR="006C6F09">
              <w:t xml:space="preserve"> </w:t>
            </w:r>
            <w:r>
              <w:t>advertising</w:t>
            </w:r>
            <w:r w:rsidR="006C6F09">
              <w:t xml:space="preserve"> </w:t>
            </w:r>
            <w:r>
              <w:t>requirements</w:t>
            </w:r>
            <w:r w:rsidR="006C6F09">
              <w:t xml:space="preserve"> </w:t>
            </w:r>
            <w:r>
              <w:t>in</w:t>
            </w:r>
            <w:r w:rsidR="006C6F09">
              <w:t xml:space="preserve"> </w:t>
            </w:r>
            <w:r>
              <w:t>Chapter</w:t>
            </w:r>
            <w:r w:rsidR="006C6F09">
              <w:t xml:space="preserve"> </w:t>
            </w:r>
            <w:r>
              <w:t>26</w:t>
            </w:r>
            <w:r w:rsidR="006C6F09">
              <w:t xml:space="preserve"> </w:t>
            </w:r>
            <w:r>
              <w:t>(Section</w:t>
            </w:r>
            <w:r w:rsidR="006C6F09">
              <w:t xml:space="preserve"> </w:t>
            </w:r>
            <w:r>
              <w:t>6.1).</w:t>
            </w:r>
          </w:p>
          <w:p w14:paraId="4D06A57A" w14:textId="08017922"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Regarding</w:t>
            </w:r>
            <w:r w:rsidR="006C6F09">
              <w:t xml:space="preserve"> </w:t>
            </w:r>
            <w:r>
              <w:t>the</w:t>
            </w:r>
            <w:r w:rsidR="006C6F09">
              <w:t xml:space="preserve"> </w:t>
            </w:r>
            <w:r>
              <w:t>voicemail</w:t>
            </w:r>
            <w:r w:rsidR="006C6F09">
              <w:t xml:space="preserve"> </w:t>
            </w:r>
            <w:r>
              <w:t>system</w:t>
            </w:r>
            <w:r w:rsidR="006C6F09">
              <w:t xml:space="preserve"> </w:t>
            </w:r>
            <w:r>
              <w:t>for</w:t>
            </w:r>
            <w:r w:rsidR="006C6F09">
              <w:t xml:space="preserve"> </w:t>
            </w:r>
            <w:r>
              <w:t>public</w:t>
            </w:r>
            <w:r w:rsidR="006C6F09">
              <w:t xml:space="preserve"> </w:t>
            </w:r>
            <w:r>
              <w:t>hearings,</w:t>
            </w:r>
            <w:r w:rsidR="006C6F09">
              <w:t xml:space="preserve"> </w:t>
            </w:r>
            <w:proofErr w:type="gramStart"/>
            <w:r>
              <w:t>revised</w:t>
            </w:r>
            <w:proofErr w:type="gramEnd"/>
            <w:r w:rsidR="006C6F09">
              <w:t xml:space="preserve"> </w:t>
            </w:r>
            <w:r>
              <w:t>to</w:t>
            </w:r>
            <w:r w:rsidR="006C6F09">
              <w:t xml:space="preserve"> </w:t>
            </w:r>
            <w:r>
              <w:t>indicate</w:t>
            </w:r>
            <w:r w:rsidR="006C6F09">
              <w:t xml:space="preserve"> </w:t>
            </w:r>
            <w:r>
              <w:t>that</w:t>
            </w:r>
            <w:r w:rsidR="006C6F09">
              <w:t xml:space="preserve"> </w:t>
            </w:r>
            <w:r>
              <w:t>TxDOT</w:t>
            </w:r>
            <w:r w:rsidR="006C6F09">
              <w:t xml:space="preserve"> </w:t>
            </w:r>
            <w:r>
              <w:t>is</w:t>
            </w:r>
            <w:r w:rsidR="006C6F09">
              <w:t xml:space="preserve"> </w:t>
            </w:r>
            <w:r>
              <w:t>no</w:t>
            </w:r>
            <w:r w:rsidR="006C6F09">
              <w:t xml:space="preserve"> </w:t>
            </w:r>
            <w:r>
              <w:t>longer</w:t>
            </w:r>
            <w:r w:rsidR="006C6F09">
              <w:t xml:space="preserve"> </w:t>
            </w:r>
            <w:r>
              <w:t>using</w:t>
            </w:r>
            <w:r w:rsidR="006C6F09">
              <w:t xml:space="preserve"> </w:t>
            </w:r>
            <w:proofErr w:type="spellStart"/>
            <w:r>
              <w:t>Coeo</w:t>
            </w:r>
            <w:proofErr w:type="spellEnd"/>
            <w:r w:rsidR="006C6F09">
              <w:t xml:space="preserve"> </w:t>
            </w:r>
            <w:r>
              <w:t>as</w:t>
            </w:r>
            <w:r w:rsidR="006C6F09">
              <w:t xml:space="preserve"> </w:t>
            </w:r>
            <w:r>
              <w:t>a</w:t>
            </w:r>
            <w:r w:rsidR="006C6F09">
              <w:t xml:space="preserve"> </w:t>
            </w:r>
            <w:r>
              <w:t>vendor</w:t>
            </w:r>
            <w:r w:rsidR="006C6F09">
              <w:t xml:space="preserve"> </w:t>
            </w:r>
            <w:r>
              <w:t>to</w:t>
            </w:r>
            <w:r w:rsidR="006C6F09">
              <w:t xml:space="preserve"> </w:t>
            </w:r>
            <w:r>
              <w:t>provide</w:t>
            </w:r>
            <w:r w:rsidR="006C6F09">
              <w:t xml:space="preserve"> </w:t>
            </w:r>
            <w:r>
              <w:t>that</w:t>
            </w:r>
            <w:r w:rsidR="006C6F09">
              <w:t xml:space="preserve"> </w:t>
            </w:r>
            <w:r>
              <w:lastRenderedPageBreak/>
              <w:t>system.</w:t>
            </w:r>
            <w:r w:rsidR="006C6F09">
              <w:t xml:space="preserve"> </w:t>
            </w:r>
            <w:r>
              <w:t>Instead,</w:t>
            </w:r>
            <w:r w:rsidR="006C6F09">
              <w:t xml:space="preserve"> </w:t>
            </w:r>
            <w:r>
              <w:t>districts</w:t>
            </w:r>
            <w:r w:rsidR="006C6F09">
              <w:t xml:space="preserve"> </w:t>
            </w:r>
            <w:r>
              <w:t>should</w:t>
            </w:r>
            <w:r w:rsidR="006C6F09">
              <w:t xml:space="preserve"> </w:t>
            </w:r>
            <w:r>
              <w:t>rely</w:t>
            </w:r>
            <w:r w:rsidR="006C6F09">
              <w:t xml:space="preserve"> </w:t>
            </w:r>
            <w:r>
              <w:t>on</w:t>
            </w:r>
            <w:r w:rsidR="006C6F09">
              <w:t xml:space="preserve"> </w:t>
            </w:r>
            <w:r>
              <w:t>the</w:t>
            </w:r>
            <w:r w:rsidR="006C6F09">
              <w:t xml:space="preserve"> </w:t>
            </w:r>
            <w:r>
              <w:t>consultant</w:t>
            </w:r>
            <w:r w:rsidR="006C6F09">
              <w:t xml:space="preserve"> </w:t>
            </w:r>
            <w:r>
              <w:t>or</w:t>
            </w:r>
            <w:r w:rsidR="006C6F09">
              <w:t xml:space="preserve"> </w:t>
            </w:r>
            <w:r>
              <w:t>TPP’s</w:t>
            </w:r>
            <w:r w:rsidR="006C6F09">
              <w:t xml:space="preserve"> </w:t>
            </w:r>
            <w:r>
              <w:t>PI</w:t>
            </w:r>
            <w:r w:rsidR="006C6F09">
              <w:t xml:space="preserve"> </w:t>
            </w:r>
            <w:r>
              <w:t>Section</w:t>
            </w:r>
            <w:r w:rsidR="006C6F09">
              <w:t xml:space="preserve"> </w:t>
            </w:r>
            <w:r>
              <w:t>to</w:t>
            </w:r>
            <w:r w:rsidR="006C6F09">
              <w:t xml:space="preserve"> </w:t>
            </w:r>
            <w:r>
              <w:t>arrange</w:t>
            </w:r>
            <w:r w:rsidR="006C6F09">
              <w:t xml:space="preserve"> </w:t>
            </w:r>
            <w:r>
              <w:t>the</w:t>
            </w:r>
            <w:r w:rsidR="006C6F09">
              <w:t xml:space="preserve"> </w:t>
            </w:r>
            <w:r>
              <w:t>voicemail</w:t>
            </w:r>
            <w:r w:rsidR="006C6F09">
              <w:t xml:space="preserve"> </w:t>
            </w:r>
            <w:r>
              <w:t>system.</w:t>
            </w:r>
          </w:p>
          <w:p w14:paraId="130725E5" w14:textId="7FBD1053"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Clarified</w:t>
            </w:r>
            <w:r w:rsidR="006C6F09">
              <w:t xml:space="preserve"> </w:t>
            </w:r>
            <w:r>
              <w:t>that</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on</w:t>
            </w:r>
            <w:r w:rsidR="006C6F09">
              <w:t xml:space="preserve"> </w:t>
            </w:r>
            <w:r>
              <w:t>a</w:t>
            </w:r>
            <w:r w:rsidR="006C6F09">
              <w:t xml:space="preserve"> </w:t>
            </w:r>
            <w:r>
              <w:t>CE</w:t>
            </w:r>
            <w:r w:rsidR="006C6F09">
              <w:t xml:space="preserve"> </w:t>
            </w:r>
            <w:r>
              <w:t>project,</w:t>
            </w:r>
            <w:r w:rsidR="006C6F09">
              <w:t xml:space="preserve"> </w:t>
            </w:r>
            <w:r>
              <w:t>the</w:t>
            </w:r>
            <w:r w:rsidR="006C6F09">
              <w:t xml:space="preserve"> </w:t>
            </w:r>
            <w:r>
              <w:t>presentation</w:t>
            </w:r>
            <w:r w:rsidR="006C6F09">
              <w:t xml:space="preserve"> </w:t>
            </w:r>
            <w:r>
              <w:t>would</w:t>
            </w:r>
            <w:r w:rsidR="006C6F09">
              <w:t xml:space="preserve"> </w:t>
            </w:r>
            <w:r>
              <w:t>not</w:t>
            </w:r>
            <w:r w:rsidR="006C6F09">
              <w:t xml:space="preserve"> </w:t>
            </w:r>
            <w:r>
              <w:t>cover</w:t>
            </w:r>
            <w:r w:rsidR="006C6F09">
              <w:t xml:space="preserve"> </w:t>
            </w:r>
            <w:r>
              <w:t>the</w:t>
            </w:r>
            <w:r w:rsidR="006C6F09">
              <w:t xml:space="preserve"> </w:t>
            </w:r>
            <w:r>
              <w:t>“purpose</w:t>
            </w:r>
            <w:r w:rsidR="006C6F09">
              <w:t xml:space="preserve"> </w:t>
            </w:r>
            <w:r>
              <w:t>and</w:t>
            </w:r>
            <w:r w:rsidR="006C6F09">
              <w:t xml:space="preserve"> </w:t>
            </w:r>
            <w:r>
              <w:t>need”</w:t>
            </w:r>
            <w:r w:rsidR="006C6F09">
              <w:t xml:space="preserve"> </w:t>
            </w:r>
            <w:r>
              <w:t>for</w:t>
            </w:r>
            <w:r w:rsidR="006C6F09">
              <w:t xml:space="preserve"> </w:t>
            </w:r>
            <w:r>
              <w:t>the</w:t>
            </w:r>
            <w:r w:rsidR="006C6F09">
              <w:t xml:space="preserve"> </w:t>
            </w:r>
            <w:r>
              <w:t>project</w:t>
            </w:r>
            <w:r w:rsidR="006C6F09">
              <w:t xml:space="preserve"> </w:t>
            </w:r>
            <w:r>
              <w:t>but</w:t>
            </w:r>
            <w:r w:rsidR="006C6F09">
              <w:t xml:space="preserve"> </w:t>
            </w:r>
            <w:r>
              <w:t>would</w:t>
            </w:r>
            <w:r w:rsidR="006C6F09">
              <w:t xml:space="preserve"> </w:t>
            </w:r>
            <w:r>
              <w:t>instead</w:t>
            </w:r>
            <w:r w:rsidR="006C6F09">
              <w:t xml:space="preserve"> </w:t>
            </w:r>
            <w:r>
              <w:t>just</w:t>
            </w:r>
            <w:r w:rsidR="006C6F09">
              <w:t xml:space="preserve"> </w:t>
            </w:r>
            <w:r>
              <w:t>explain</w:t>
            </w:r>
            <w:r w:rsidR="006C6F09">
              <w:t xml:space="preserve"> </w:t>
            </w:r>
            <w:r>
              <w:t>why</w:t>
            </w:r>
            <w:r w:rsidR="006C6F09">
              <w:t xml:space="preserve"> </w:t>
            </w:r>
            <w:r>
              <w:t>the</w:t>
            </w:r>
            <w:r w:rsidR="006C6F09">
              <w:t xml:space="preserve"> </w:t>
            </w:r>
            <w:r>
              <w:t>project</w:t>
            </w:r>
            <w:r w:rsidR="006C6F09">
              <w:t xml:space="preserve"> </w:t>
            </w:r>
            <w:r>
              <w:t>is</w:t>
            </w:r>
            <w:r w:rsidR="006C6F09">
              <w:t xml:space="preserve"> </w:t>
            </w:r>
            <w:r>
              <w:t>being</w:t>
            </w:r>
            <w:r w:rsidR="006C6F09">
              <w:t xml:space="preserve"> </w:t>
            </w:r>
            <w:r>
              <w:t>proposed.</w:t>
            </w:r>
          </w:p>
          <w:p w14:paraId="14457D3D" w14:textId="61C5772A"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Created</w:t>
            </w:r>
            <w:r w:rsidR="006C6F09">
              <w:t xml:space="preserve"> </w:t>
            </w:r>
            <w:r>
              <w:t>new</w:t>
            </w:r>
            <w:r w:rsidR="006C6F09">
              <w:t xml:space="preserve"> </w:t>
            </w:r>
            <w:r>
              <w:t>separate</w:t>
            </w:r>
            <w:r w:rsidR="006C6F09">
              <w:t xml:space="preserve"> </w:t>
            </w:r>
            <w:r>
              <w:t>Section</w:t>
            </w:r>
            <w:r w:rsidR="006C6F09">
              <w:t xml:space="preserve"> </w:t>
            </w:r>
            <w:r>
              <w:t>9.2,</w:t>
            </w:r>
            <w:r w:rsidR="006C6F09">
              <w:t xml:space="preserve"> </w:t>
            </w:r>
            <w:r>
              <w:t>“Final</w:t>
            </w:r>
            <w:r w:rsidR="006C6F09">
              <w:t xml:space="preserve"> </w:t>
            </w:r>
            <w:r>
              <w:t>EA</w:t>
            </w:r>
            <w:r w:rsidR="006C6F09">
              <w:t xml:space="preserve"> </w:t>
            </w:r>
            <w:r>
              <w:t>(ONLY</w:t>
            </w:r>
            <w:r w:rsidR="006C6F09">
              <w:t xml:space="preserve"> </w:t>
            </w:r>
            <w:r>
              <w:t>for</w:t>
            </w:r>
            <w:r w:rsidR="006C6F09">
              <w:t xml:space="preserve"> </w:t>
            </w:r>
            <w:r>
              <w:t>an</w:t>
            </w:r>
            <w:r w:rsidR="006C6F09">
              <w:t xml:space="preserve"> </w:t>
            </w:r>
            <w:r>
              <w:t>FHWA</w:t>
            </w:r>
            <w:r w:rsidR="006C6F09">
              <w:t xml:space="preserve"> </w:t>
            </w:r>
            <w:r>
              <w:t>project</w:t>
            </w:r>
            <w:r w:rsidR="006C6F09">
              <w:t xml:space="preserve"> </w:t>
            </w:r>
            <w:r>
              <w:t>that</w:t>
            </w:r>
            <w:r w:rsidR="006C6F09">
              <w:t xml:space="preserve"> </w:t>
            </w:r>
            <w:r>
              <w:t>normally</w:t>
            </w:r>
            <w:r w:rsidR="006C6F09">
              <w:t xml:space="preserve"> </w:t>
            </w:r>
            <w:r>
              <w:t>requires</w:t>
            </w:r>
            <w:r w:rsidR="006C6F09">
              <w:t xml:space="preserve"> </w:t>
            </w:r>
            <w:r>
              <w:t>an</w:t>
            </w:r>
            <w:r w:rsidR="006C6F09">
              <w:t xml:space="preserve"> </w:t>
            </w:r>
            <w:r>
              <w:t>EIS</w:t>
            </w:r>
            <w:r w:rsidR="006C6F09">
              <w:t xml:space="preserve"> </w:t>
            </w:r>
            <w:r>
              <w:t>per</w:t>
            </w:r>
            <w:r w:rsidR="006C6F09">
              <w:t xml:space="preserve"> </w:t>
            </w:r>
            <w:r>
              <w:t>23</w:t>
            </w:r>
            <w:r w:rsidR="006C6F09">
              <w:t xml:space="preserve"> </w:t>
            </w:r>
            <w:r>
              <w:t>CFR</w:t>
            </w:r>
            <w:r w:rsidR="006C6F09">
              <w:t xml:space="preserve"> </w:t>
            </w:r>
            <w:r>
              <w:t>771.115(a))”</w:t>
            </w:r>
            <w:r w:rsidR="006C6F09">
              <w:t xml:space="preserve"> </w:t>
            </w:r>
            <w:r>
              <w:t>to</w:t>
            </w:r>
            <w:r w:rsidR="006C6F09">
              <w:t xml:space="preserve"> </w:t>
            </w:r>
            <w:r>
              <w:t>clarify</w:t>
            </w:r>
            <w:r w:rsidR="006C6F09">
              <w:t xml:space="preserve"> </w:t>
            </w:r>
            <w:r>
              <w:t>that</w:t>
            </w:r>
            <w:r w:rsidR="006C6F09">
              <w:t xml:space="preserve"> </w:t>
            </w:r>
            <w:r>
              <w:t>the</w:t>
            </w:r>
            <w:r w:rsidR="006C6F09">
              <w:t xml:space="preserve"> </w:t>
            </w:r>
            <w:r>
              <w:t>Final</w:t>
            </w:r>
            <w:r w:rsidR="006C6F09">
              <w:t xml:space="preserve"> </w:t>
            </w:r>
            <w:r>
              <w:t>EA</w:t>
            </w:r>
            <w:r w:rsidR="006C6F09">
              <w:t xml:space="preserve"> </w:t>
            </w:r>
            <w:r>
              <w:t>NOA</w:t>
            </w:r>
            <w:r w:rsidR="006C6F09">
              <w:t xml:space="preserve"> </w:t>
            </w:r>
            <w:r>
              <w:t>is</w:t>
            </w:r>
            <w:r w:rsidR="006C6F09">
              <w:t xml:space="preserve"> </w:t>
            </w:r>
            <w:r>
              <w:t>only</w:t>
            </w:r>
            <w:r w:rsidR="006C6F09">
              <w:t xml:space="preserve"> </w:t>
            </w:r>
            <w:r>
              <w:t>required</w:t>
            </w:r>
            <w:r w:rsidR="006C6F09">
              <w:t xml:space="preserve"> </w:t>
            </w:r>
            <w:r>
              <w:t>under</w:t>
            </w:r>
            <w:r w:rsidR="006C6F09">
              <w:t xml:space="preserve"> </w:t>
            </w:r>
            <w:r>
              <w:t>certain</w:t>
            </w:r>
            <w:r w:rsidR="006C6F09">
              <w:t xml:space="preserve"> </w:t>
            </w:r>
            <w:r>
              <w:t>circumstances,</w:t>
            </w:r>
            <w:r w:rsidR="006C6F09">
              <w:t xml:space="preserve"> </w:t>
            </w:r>
            <w:r>
              <w:t>and</w:t>
            </w:r>
            <w:r w:rsidR="006C6F09">
              <w:t xml:space="preserve"> </w:t>
            </w:r>
            <w:r>
              <w:t>to</w:t>
            </w:r>
            <w:r w:rsidR="006C6F09">
              <w:t xml:space="preserve"> </w:t>
            </w:r>
            <w:r>
              <w:t>distinguish</w:t>
            </w:r>
            <w:r w:rsidR="006C6F09">
              <w:t xml:space="preserve"> </w:t>
            </w:r>
            <w:r>
              <w:t>these</w:t>
            </w:r>
            <w:r w:rsidR="006C6F09">
              <w:t xml:space="preserve"> </w:t>
            </w:r>
            <w:r>
              <w:t>instructions</w:t>
            </w:r>
            <w:r w:rsidR="006C6F09">
              <w:t xml:space="preserve"> </w:t>
            </w:r>
            <w:r>
              <w:t>from</w:t>
            </w:r>
            <w:r w:rsidR="006C6F09">
              <w:t xml:space="preserve"> </w:t>
            </w:r>
            <w:r>
              <w:t>the</w:t>
            </w:r>
            <w:r w:rsidR="006C6F09">
              <w:t xml:space="preserve"> </w:t>
            </w:r>
            <w:r>
              <w:t>instructions</w:t>
            </w:r>
            <w:r w:rsidR="006C6F09">
              <w:t xml:space="preserve"> </w:t>
            </w:r>
            <w:r>
              <w:t>for</w:t>
            </w:r>
            <w:r w:rsidR="006C6F09">
              <w:t xml:space="preserve"> </w:t>
            </w:r>
            <w:r>
              <w:t>the</w:t>
            </w:r>
            <w:r w:rsidR="006C6F09">
              <w:t xml:space="preserve"> </w:t>
            </w:r>
            <w:r>
              <w:t>FONSI</w:t>
            </w:r>
            <w:r w:rsidR="006C6F09">
              <w:t xml:space="preserve"> </w:t>
            </w:r>
            <w:r>
              <w:t>NOA.</w:t>
            </w:r>
          </w:p>
          <w:p w14:paraId="48E245BB" w14:textId="7F512677"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Clarified</w:t>
            </w:r>
            <w:r w:rsidR="006C6F09">
              <w:t xml:space="preserve"> </w:t>
            </w:r>
            <w:r>
              <w:t>that</w:t>
            </w:r>
            <w:r w:rsidR="006C6F09">
              <w:t xml:space="preserve"> </w:t>
            </w:r>
            <w:r>
              <w:t>there</w:t>
            </w:r>
            <w:r w:rsidR="006C6F09">
              <w:t xml:space="preserve"> </w:t>
            </w:r>
            <w:r>
              <w:t>is</w:t>
            </w:r>
            <w:r w:rsidR="006C6F09">
              <w:t xml:space="preserve"> </w:t>
            </w:r>
            <w:r>
              <w:t>no</w:t>
            </w:r>
            <w:r w:rsidR="006C6F09">
              <w:t xml:space="preserve"> </w:t>
            </w:r>
            <w:r>
              <w:t>newspaper</w:t>
            </w:r>
            <w:r w:rsidR="006C6F09">
              <w:t xml:space="preserve"> </w:t>
            </w:r>
            <w:r>
              <w:t>notice</w:t>
            </w:r>
            <w:r w:rsidR="006C6F09">
              <w:t xml:space="preserve"> </w:t>
            </w:r>
            <w:r>
              <w:t>requirement</w:t>
            </w:r>
            <w:r w:rsidR="006C6F09">
              <w:t xml:space="preserve"> </w:t>
            </w:r>
            <w:r>
              <w:t>for</w:t>
            </w:r>
            <w:r w:rsidR="006C6F09">
              <w:t xml:space="preserve"> </w:t>
            </w:r>
            <w:proofErr w:type="gramStart"/>
            <w:r>
              <w:t>the</w:t>
            </w:r>
            <w:r w:rsidR="006C6F09">
              <w:t xml:space="preserve"> </w:t>
            </w:r>
            <w:r>
              <w:t>FONSI</w:t>
            </w:r>
            <w:proofErr w:type="gramEnd"/>
            <w:r w:rsidR="006C6F09">
              <w:t xml:space="preserve"> </w:t>
            </w:r>
            <w:r>
              <w:t>NOA</w:t>
            </w:r>
            <w:r w:rsidR="006C6F09">
              <w:t xml:space="preserve"> </w:t>
            </w:r>
            <w:r>
              <w:t>(Section</w:t>
            </w:r>
            <w:r w:rsidR="006C6F09">
              <w:t xml:space="preserve"> </w:t>
            </w:r>
            <w:r>
              <w:t>9.2).</w:t>
            </w:r>
          </w:p>
          <w:p w14:paraId="2B99F618" w14:textId="5E0D15F2"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Updated</w:t>
            </w:r>
            <w:r w:rsidR="006C6F09">
              <w:t xml:space="preserve"> </w:t>
            </w:r>
            <w:r>
              <w:t>instructions</w:t>
            </w:r>
            <w:r w:rsidR="006C6F09">
              <w:t xml:space="preserve"> </w:t>
            </w:r>
            <w:r>
              <w:t>for</w:t>
            </w:r>
            <w:r w:rsidR="006C6F09">
              <w:t xml:space="preserve"> </w:t>
            </w:r>
            <w:r>
              <w:t>providing</w:t>
            </w:r>
            <w:r w:rsidR="006C6F09">
              <w:t xml:space="preserve"> </w:t>
            </w:r>
            <w:r>
              <w:t>a</w:t>
            </w:r>
            <w:r w:rsidR="006C6F09">
              <w:t xml:space="preserve"> </w:t>
            </w:r>
            <w:r>
              <w:t>DEIS</w:t>
            </w:r>
            <w:r w:rsidR="006C6F09">
              <w:t xml:space="preserve"> </w:t>
            </w:r>
            <w:r>
              <w:t>and</w:t>
            </w:r>
            <w:r w:rsidR="006C6F09">
              <w:t xml:space="preserve"> </w:t>
            </w:r>
            <w:r>
              <w:t>FEIS</w:t>
            </w:r>
            <w:r w:rsidR="006C6F09">
              <w:t xml:space="preserve"> </w:t>
            </w:r>
            <w:r>
              <w:t>to</w:t>
            </w:r>
            <w:r w:rsidR="006C6F09">
              <w:t xml:space="preserve"> </w:t>
            </w:r>
            <w:r>
              <w:t>EPA</w:t>
            </w:r>
            <w:r w:rsidR="006C6F09">
              <w:t xml:space="preserve"> </w:t>
            </w:r>
            <w:r>
              <w:t>Region</w:t>
            </w:r>
            <w:r w:rsidR="006C6F09">
              <w:t xml:space="preserve"> </w:t>
            </w:r>
            <w:r>
              <w:t>6</w:t>
            </w:r>
            <w:r w:rsidR="006C6F09">
              <w:t xml:space="preserve"> </w:t>
            </w:r>
            <w:r>
              <w:t>(Sections</w:t>
            </w:r>
            <w:r w:rsidR="006C6F09">
              <w:t xml:space="preserve"> </w:t>
            </w:r>
            <w:r>
              <w:t>9.4</w:t>
            </w:r>
            <w:r w:rsidR="006C6F09">
              <w:t xml:space="preserve"> </w:t>
            </w:r>
            <w:r>
              <w:t>and</w:t>
            </w:r>
            <w:r w:rsidR="006C6F09">
              <w:t xml:space="preserve"> </w:t>
            </w:r>
            <w:r>
              <w:t>9.5).</w:t>
            </w:r>
          </w:p>
          <w:p w14:paraId="4C82C46B" w14:textId="6AB6D17F"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Clarified</w:t>
            </w:r>
            <w:r w:rsidR="006C6F09">
              <w:t xml:space="preserve"> </w:t>
            </w:r>
            <w:r>
              <w:t>that</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on</w:t>
            </w:r>
            <w:r w:rsidR="006C6F09">
              <w:t xml:space="preserve"> </w:t>
            </w:r>
            <w:r>
              <w:t>a</w:t>
            </w:r>
            <w:r w:rsidR="006C6F09">
              <w:t xml:space="preserve"> </w:t>
            </w:r>
            <w:r>
              <w:t>bypass</w:t>
            </w:r>
            <w:r w:rsidR="006C6F09">
              <w:t xml:space="preserve"> </w:t>
            </w:r>
            <w:r>
              <w:t>project,</w:t>
            </w:r>
            <w:r w:rsidR="006C6F09">
              <w:t xml:space="preserve"> </w:t>
            </w:r>
            <w:r>
              <w:t>the</w:t>
            </w:r>
            <w:r w:rsidR="006C6F09">
              <w:t xml:space="preserve"> </w:t>
            </w:r>
            <w:r>
              <w:t>statutory</w:t>
            </w:r>
            <w:r w:rsidR="006C6F09">
              <w:t xml:space="preserve"> </w:t>
            </w:r>
            <w:r>
              <w:t>requirement</w:t>
            </w:r>
            <w:r w:rsidR="006C6F09">
              <w:t xml:space="preserve"> </w:t>
            </w:r>
            <w:r>
              <w:t>to</w:t>
            </w:r>
            <w:r w:rsidR="006C6F09">
              <w:t xml:space="preserve"> </w:t>
            </w:r>
            <w:r>
              <w:t>provide</w:t>
            </w:r>
            <w:r w:rsidR="006C6F09">
              <w:t xml:space="preserve"> </w:t>
            </w:r>
            <w:r>
              <w:t>newspaper</w:t>
            </w:r>
            <w:r w:rsidR="006C6F09">
              <w:t xml:space="preserve"> </w:t>
            </w:r>
            <w:r>
              <w:t>notice</w:t>
            </w:r>
            <w:r w:rsidR="006C6F09">
              <w:t xml:space="preserve"> </w:t>
            </w:r>
            <w:r>
              <w:t>between</w:t>
            </w:r>
            <w:r w:rsidR="006C6F09">
              <w:t xml:space="preserve"> </w:t>
            </w:r>
            <w:r>
              <w:t>3</w:t>
            </w:r>
            <w:r w:rsidR="006C6F09">
              <w:t xml:space="preserve"> </w:t>
            </w:r>
            <w:r>
              <w:t>and</w:t>
            </w:r>
            <w:r w:rsidR="006C6F09">
              <w:t xml:space="preserve"> </w:t>
            </w:r>
            <w:r>
              <w:t>10</w:t>
            </w:r>
            <w:r w:rsidR="006C6F09">
              <w:t xml:space="preserve"> </w:t>
            </w:r>
            <w:r>
              <w:t>days</w:t>
            </w:r>
            <w:r w:rsidR="006C6F09">
              <w:t xml:space="preserve"> </w:t>
            </w:r>
            <w:r>
              <w:t>of</w:t>
            </w:r>
            <w:r w:rsidR="006C6F09">
              <w:t xml:space="preserve"> </w:t>
            </w:r>
            <w:r>
              <w:t>the</w:t>
            </w:r>
            <w:r w:rsidR="006C6F09">
              <w:t xml:space="preserve"> </w:t>
            </w:r>
            <w:r>
              <w:t>hearing</w:t>
            </w:r>
            <w:r w:rsidR="006C6F09">
              <w:t xml:space="preserve"> </w:t>
            </w:r>
            <w:r>
              <w:t>is</w:t>
            </w:r>
            <w:r w:rsidR="006C6F09">
              <w:t xml:space="preserve"> </w:t>
            </w:r>
            <w:r>
              <w:t>in</w:t>
            </w:r>
            <w:r w:rsidR="006C6F09">
              <w:t xml:space="preserve"> </w:t>
            </w:r>
            <w:proofErr w:type="gramStart"/>
            <w:r>
              <w:t>addition</w:t>
            </w:r>
            <w:proofErr w:type="gramEnd"/>
            <w:r w:rsidR="006C6F09">
              <w:t xml:space="preserve"> </w:t>
            </w:r>
            <w:r>
              <w:t>the</w:t>
            </w:r>
            <w:r w:rsidR="006C6F09">
              <w:t xml:space="preserve"> </w:t>
            </w:r>
            <w:r>
              <w:t>normal</w:t>
            </w:r>
            <w:r w:rsidR="006C6F09">
              <w:t xml:space="preserve"> </w:t>
            </w:r>
            <w:r>
              <w:t>150-day</w:t>
            </w:r>
            <w:r w:rsidR="006C6F09">
              <w:t xml:space="preserve"> </w:t>
            </w:r>
            <w:r>
              <w:t>notice</w:t>
            </w:r>
            <w:r w:rsidR="006C6F09">
              <w:t xml:space="preserve"> </w:t>
            </w:r>
            <w:r>
              <w:t>for</w:t>
            </w:r>
            <w:r w:rsidR="006C6F09">
              <w:t xml:space="preserve"> </w:t>
            </w:r>
            <w:r>
              <w:t>public</w:t>
            </w:r>
            <w:r w:rsidR="006C6F09">
              <w:t xml:space="preserve"> </w:t>
            </w:r>
            <w:r>
              <w:t>hearings</w:t>
            </w:r>
            <w:r w:rsidR="006C6F09">
              <w:t xml:space="preserve"> </w:t>
            </w:r>
            <w:r>
              <w:t>(Section</w:t>
            </w:r>
            <w:r w:rsidR="006C6F09">
              <w:t xml:space="preserve"> </w:t>
            </w:r>
            <w:r>
              <w:t>13.2).</w:t>
            </w:r>
          </w:p>
          <w:p w14:paraId="4FB62492" w14:textId="655A84CB"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Regarding</w:t>
            </w:r>
            <w:r w:rsidR="006C6F09">
              <w:t xml:space="preserve"> </w:t>
            </w:r>
            <w:r>
              <w:t>the</w:t>
            </w:r>
            <w:r w:rsidR="006C6F09">
              <w:t xml:space="preserve"> </w:t>
            </w:r>
            <w:r>
              <w:t>preparation</w:t>
            </w:r>
            <w:r w:rsidR="006C6F09">
              <w:t xml:space="preserve"> </w:t>
            </w:r>
            <w:r>
              <w:t>of</w:t>
            </w:r>
            <w:r w:rsidR="006C6F09">
              <w:t xml:space="preserve"> </w:t>
            </w:r>
            <w:r>
              <w:t>documentation</w:t>
            </w:r>
            <w:r w:rsidR="006C6F09">
              <w:t xml:space="preserve"> </w:t>
            </w:r>
            <w:r>
              <w:t>for</w:t>
            </w:r>
            <w:r w:rsidR="006C6F09">
              <w:t xml:space="preserve"> </w:t>
            </w:r>
            <w:r>
              <w:t>a</w:t>
            </w:r>
            <w:r w:rsidR="006C6F09">
              <w:t xml:space="preserve"> </w:t>
            </w:r>
            <w:r>
              <w:t>public</w:t>
            </w:r>
            <w:r w:rsidR="006C6F09">
              <w:t xml:space="preserve"> </w:t>
            </w:r>
            <w:r>
              <w:t>involvement</w:t>
            </w:r>
            <w:r w:rsidR="006C6F09">
              <w:t xml:space="preserve"> </w:t>
            </w:r>
            <w:r>
              <w:t>event,</w:t>
            </w:r>
            <w:r w:rsidR="006C6F09">
              <w:t xml:space="preserve"> </w:t>
            </w:r>
            <w:r>
              <w:t>explained</w:t>
            </w:r>
            <w:r w:rsidR="006C6F09">
              <w:t xml:space="preserve"> </w:t>
            </w:r>
            <w:r>
              <w:t>that</w:t>
            </w:r>
            <w:r w:rsidR="006C6F09">
              <w:t xml:space="preserve"> </w:t>
            </w:r>
            <w:r>
              <w:t>when</w:t>
            </w:r>
            <w:r w:rsidR="006C6F09">
              <w:t xml:space="preserve"> </w:t>
            </w:r>
            <w:r>
              <w:t>there</w:t>
            </w:r>
            <w:r w:rsidR="006C6F09">
              <w:t xml:space="preserve"> </w:t>
            </w:r>
            <w:r>
              <w:t>are</w:t>
            </w:r>
            <w:r w:rsidR="006C6F09">
              <w:t xml:space="preserve"> </w:t>
            </w:r>
            <w:r>
              <w:t>large</w:t>
            </w:r>
            <w:r w:rsidR="006C6F09">
              <w:t xml:space="preserve"> </w:t>
            </w:r>
            <w:r>
              <w:t>numbers</w:t>
            </w:r>
            <w:r w:rsidR="006C6F09">
              <w:t xml:space="preserve"> </w:t>
            </w:r>
            <w:r>
              <w:t>of</w:t>
            </w:r>
            <w:r w:rsidR="006C6F09">
              <w:t xml:space="preserve"> </w:t>
            </w:r>
            <w:r>
              <w:t>identical</w:t>
            </w:r>
            <w:r w:rsidR="006C6F09">
              <w:t xml:space="preserve"> </w:t>
            </w:r>
            <w:r>
              <w:t>comments,</w:t>
            </w:r>
            <w:r w:rsidR="006C6F09">
              <w:t xml:space="preserve"> </w:t>
            </w:r>
            <w:r>
              <w:t>it</w:t>
            </w:r>
            <w:r w:rsidR="006C6F09">
              <w:t xml:space="preserve"> </w:t>
            </w:r>
            <w:r>
              <w:t>may</w:t>
            </w:r>
            <w:r w:rsidR="006C6F09">
              <w:t xml:space="preserve"> </w:t>
            </w:r>
            <w:r>
              <w:t>be</w:t>
            </w:r>
            <w:r w:rsidR="006C6F09">
              <w:t xml:space="preserve"> </w:t>
            </w:r>
            <w:r>
              <w:t>appropriate</w:t>
            </w:r>
            <w:r w:rsidR="006C6F09">
              <w:t xml:space="preserve"> </w:t>
            </w:r>
            <w:r>
              <w:t>to</w:t>
            </w:r>
            <w:r w:rsidR="006C6F09">
              <w:t xml:space="preserve"> </w:t>
            </w:r>
            <w:r>
              <w:t>include</w:t>
            </w:r>
            <w:r w:rsidR="006C6F09">
              <w:t xml:space="preserve"> </w:t>
            </w:r>
            <w:r>
              <w:t>only</w:t>
            </w:r>
            <w:r w:rsidR="006C6F09">
              <w:t xml:space="preserve"> </w:t>
            </w:r>
            <w:r>
              <w:t>a</w:t>
            </w:r>
            <w:r w:rsidR="006C6F09">
              <w:t xml:space="preserve"> </w:t>
            </w:r>
            <w:r>
              <w:t>single</w:t>
            </w:r>
            <w:r w:rsidR="006C6F09">
              <w:t xml:space="preserve"> </w:t>
            </w:r>
            <w:r>
              <w:t>copy</w:t>
            </w:r>
            <w:r w:rsidR="006C6F09">
              <w:t xml:space="preserve"> </w:t>
            </w:r>
            <w:r>
              <w:t>in</w:t>
            </w:r>
            <w:r w:rsidR="006C6F09">
              <w:t xml:space="preserve"> </w:t>
            </w:r>
            <w:r>
              <w:t>the</w:t>
            </w:r>
            <w:r w:rsidR="006C6F09">
              <w:t xml:space="preserve"> </w:t>
            </w:r>
            <w:r>
              <w:t>documentation</w:t>
            </w:r>
            <w:r w:rsidR="006C6F09">
              <w:t xml:space="preserve"> </w:t>
            </w:r>
            <w:r>
              <w:t>–</w:t>
            </w:r>
            <w:r w:rsidR="006C6F09">
              <w:t xml:space="preserve"> </w:t>
            </w:r>
            <w:r>
              <w:t>consult</w:t>
            </w:r>
            <w:r w:rsidR="006C6F09">
              <w:t xml:space="preserve"> </w:t>
            </w:r>
            <w:r>
              <w:t>with</w:t>
            </w:r>
            <w:r w:rsidR="006C6F09">
              <w:t xml:space="preserve"> </w:t>
            </w:r>
            <w:r>
              <w:t>ENV’s</w:t>
            </w:r>
            <w:r w:rsidR="006C6F09">
              <w:t xml:space="preserve"> </w:t>
            </w:r>
            <w:r>
              <w:t>Project</w:t>
            </w:r>
            <w:r w:rsidR="006C6F09">
              <w:t xml:space="preserve"> </w:t>
            </w:r>
            <w:r>
              <w:t>Delivery</w:t>
            </w:r>
            <w:r w:rsidR="006C6F09">
              <w:t xml:space="preserve"> </w:t>
            </w:r>
            <w:r>
              <w:t>Section</w:t>
            </w:r>
            <w:r w:rsidR="006C6F09">
              <w:t xml:space="preserve"> </w:t>
            </w:r>
            <w:r>
              <w:t>to</w:t>
            </w:r>
            <w:r w:rsidR="006C6F09">
              <w:t xml:space="preserve"> </w:t>
            </w:r>
            <w:r>
              <w:lastRenderedPageBreak/>
              <w:t>discuss</w:t>
            </w:r>
            <w:r w:rsidR="006C6F09">
              <w:t xml:space="preserve"> </w:t>
            </w:r>
            <w:r>
              <w:t>the</w:t>
            </w:r>
            <w:r w:rsidR="006C6F09">
              <w:t xml:space="preserve"> </w:t>
            </w:r>
            <w:r>
              <w:t>best</w:t>
            </w:r>
            <w:r w:rsidR="006C6F09">
              <w:t xml:space="preserve"> </w:t>
            </w:r>
            <w:r>
              <w:t>approach</w:t>
            </w:r>
            <w:r w:rsidR="006C6F09">
              <w:t xml:space="preserve"> </w:t>
            </w:r>
            <w:r>
              <w:t>(Sections</w:t>
            </w:r>
            <w:r w:rsidR="006C6F09">
              <w:t xml:space="preserve"> </w:t>
            </w:r>
            <w:r>
              <w:t>14.1,</w:t>
            </w:r>
            <w:r w:rsidR="006C6F09">
              <w:t xml:space="preserve"> </w:t>
            </w:r>
            <w:r>
              <w:t>14.2,</w:t>
            </w:r>
            <w:r w:rsidR="006C6F09">
              <w:t xml:space="preserve"> </w:t>
            </w:r>
            <w:r>
              <w:t>14.3,</w:t>
            </w:r>
            <w:r w:rsidR="006C6F09">
              <w:t xml:space="preserve"> </w:t>
            </w:r>
            <w:r>
              <w:t>and</w:t>
            </w:r>
            <w:r w:rsidR="006C6F09">
              <w:t xml:space="preserve"> </w:t>
            </w:r>
            <w:r>
              <w:t>14.4).</w:t>
            </w:r>
          </w:p>
          <w:p w14:paraId="19A5DDDE" w14:textId="176987B4"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Added</w:t>
            </w:r>
            <w:r w:rsidR="006C6F09">
              <w:t xml:space="preserve"> </w:t>
            </w:r>
            <w:r>
              <w:t>instructions</w:t>
            </w:r>
            <w:r w:rsidR="006C6F09">
              <w:t xml:space="preserve"> </w:t>
            </w:r>
            <w:r>
              <w:t>for</w:t>
            </w:r>
            <w:r w:rsidR="006C6F09">
              <w:t xml:space="preserve"> </w:t>
            </w:r>
            <w:r>
              <w:t>what</w:t>
            </w:r>
            <w:r w:rsidR="006C6F09">
              <w:t xml:space="preserve"> </w:t>
            </w:r>
            <w:r>
              <w:t>information</w:t>
            </w:r>
            <w:r w:rsidR="006C6F09">
              <w:t xml:space="preserve"> </w:t>
            </w:r>
            <w:r>
              <w:t>to</w:t>
            </w:r>
            <w:r w:rsidR="006C6F09">
              <w:t xml:space="preserve"> </w:t>
            </w:r>
            <w:r>
              <w:t>include</w:t>
            </w:r>
            <w:r w:rsidR="006C6F09">
              <w:t xml:space="preserve"> </w:t>
            </w:r>
            <w:r>
              <w:t>on</w:t>
            </w:r>
            <w:r w:rsidR="006C6F09">
              <w:t xml:space="preserve"> </w:t>
            </w:r>
            <w:r>
              <w:t>the</w:t>
            </w:r>
            <w:r w:rsidR="006C6F09">
              <w:t xml:space="preserve"> </w:t>
            </w:r>
            <w:r>
              <w:t>public</w:t>
            </w:r>
            <w:r w:rsidR="006C6F09">
              <w:t xml:space="preserve"> </w:t>
            </w:r>
            <w:r>
              <w:t>meeting</w:t>
            </w:r>
            <w:r w:rsidR="006C6F09">
              <w:t xml:space="preserve"> </w:t>
            </w:r>
            <w:r>
              <w:t>or</w:t>
            </w:r>
            <w:r w:rsidR="006C6F09">
              <w:t xml:space="preserve"> </w:t>
            </w:r>
            <w:r>
              <w:t>hearing</w:t>
            </w:r>
            <w:r w:rsidR="006C6F09">
              <w:t xml:space="preserve"> </w:t>
            </w:r>
            <w:r>
              <w:t>documentation</w:t>
            </w:r>
            <w:r w:rsidR="006C6F09">
              <w:t xml:space="preserve"> </w:t>
            </w:r>
            <w:r>
              <w:t>cover</w:t>
            </w:r>
            <w:r w:rsidR="006C6F09">
              <w:t xml:space="preserve"> </w:t>
            </w:r>
            <w:r>
              <w:t>sheet</w:t>
            </w:r>
            <w:r w:rsidR="006C6F09">
              <w:t xml:space="preserve"> </w:t>
            </w:r>
            <w:r>
              <w:t>for</w:t>
            </w:r>
            <w:r w:rsidR="006C6F09">
              <w:t xml:space="preserve"> </w:t>
            </w:r>
            <w:r>
              <w:t>a</w:t>
            </w:r>
            <w:r w:rsidR="006C6F09">
              <w:t xml:space="preserve"> </w:t>
            </w:r>
            <w:r>
              <w:t>virtual</w:t>
            </w:r>
            <w:r w:rsidR="006C6F09">
              <w:t xml:space="preserve"> </w:t>
            </w:r>
            <w:r>
              <w:t>meeting</w:t>
            </w:r>
            <w:r w:rsidR="006C6F09">
              <w:t xml:space="preserve"> </w:t>
            </w:r>
            <w:r>
              <w:t>or</w:t>
            </w:r>
            <w:r w:rsidR="006C6F09">
              <w:t xml:space="preserve"> </w:t>
            </w:r>
            <w:r>
              <w:t>hearing</w:t>
            </w:r>
            <w:r w:rsidR="006C6F09">
              <w:t xml:space="preserve"> </w:t>
            </w:r>
            <w:r>
              <w:t>(Sections</w:t>
            </w:r>
            <w:r w:rsidR="006C6F09">
              <w:t xml:space="preserve"> </w:t>
            </w:r>
            <w:r>
              <w:t>14.2</w:t>
            </w:r>
            <w:r w:rsidR="006C6F09">
              <w:t xml:space="preserve"> </w:t>
            </w:r>
            <w:r>
              <w:t>and</w:t>
            </w:r>
            <w:r w:rsidR="006C6F09">
              <w:t xml:space="preserve"> </w:t>
            </w:r>
            <w:r>
              <w:t>14.4).</w:t>
            </w:r>
          </w:p>
          <w:p w14:paraId="0B3D458C" w14:textId="686B2F13"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Regarding</w:t>
            </w:r>
            <w:r w:rsidR="006C6F09">
              <w:t xml:space="preserve"> </w:t>
            </w:r>
            <w:r>
              <w:t>the</w:t>
            </w:r>
            <w:r w:rsidR="006C6F09">
              <w:t xml:space="preserve"> </w:t>
            </w:r>
            <w:r>
              <w:t>preparation</w:t>
            </w:r>
            <w:r w:rsidR="006C6F09">
              <w:t xml:space="preserve"> </w:t>
            </w:r>
            <w:r>
              <w:t>of</w:t>
            </w:r>
            <w:r w:rsidR="006C6F09">
              <w:t xml:space="preserve"> </w:t>
            </w:r>
            <w:r>
              <w:t>documentation</w:t>
            </w:r>
            <w:r w:rsidR="006C6F09">
              <w:t xml:space="preserve"> </w:t>
            </w:r>
            <w:r>
              <w:t>for</w:t>
            </w:r>
            <w:r w:rsidR="006C6F09">
              <w:t xml:space="preserve"> </w:t>
            </w:r>
            <w:r>
              <w:t>a</w:t>
            </w:r>
            <w:r w:rsidR="006C6F09">
              <w:t xml:space="preserve"> </w:t>
            </w:r>
            <w:r>
              <w:t>public</w:t>
            </w:r>
            <w:r w:rsidR="006C6F09">
              <w:t xml:space="preserve"> </w:t>
            </w:r>
            <w:r>
              <w:t>meeting,</w:t>
            </w:r>
            <w:r w:rsidR="006C6F09">
              <w:t xml:space="preserve"> </w:t>
            </w:r>
            <w:r>
              <w:t>opportunity</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and</w:t>
            </w:r>
            <w:r w:rsidR="006C6F09">
              <w:t xml:space="preserve"> </w:t>
            </w:r>
            <w:r>
              <w:t>public</w:t>
            </w:r>
            <w:r w:rsidR="006C6F09">
              <w:t xml:space="preserve"> </w:t>
            </w:r>
            <w:r>
              <w:t>hearing),</w:t>
            </w:r>
            <w:r w:rsidR="006C6F09">
              <w:t xml:space="preserve"> </w:t>
            </w:r>
            <w:r>
              <w:t>added</w:t>
            </w:r>
            <w:r w:rsidR="006C6F09">
              <w:t xml:space="preserve"> </w:t>
            </w:r>
            <w:r w:rsidR="00E612ED">
              <w:t>instructions</w:t>
            </w:r>
            <w:r w:rsidR="006C6F09">
              <w:t xml:space="preserve"> </w:t>
            </w:r>
            <w:r>
              <w:t>to</w:t>
            </w:r>
            <w:r w:rsidR="006C6F09">
              <w:t xml:space="preserve"> </w:t>
            </w:r>
            <w:r>
              <w:t>include</w:t>
            </w:r>
            <w:r w:rsidR="006C6F09">
              <w:t xml:space="preserve"> </w:t>
            </w:r>
            <w:r>
              <w:t>a</w:t>
            </w:r>
            <w:r w:rsidR="006C6F09">
              <w:t xml:space="preserve"> </w:t>
            </w:r>
            <w:r>
              <w:t>copy</w:t>
            </w:r>
            <w:r w:rsidR="006C6F09">
              <w:t xml:space="preserve"> </w:t>
            </w:r>
            <w:r>
              <w:t>of</w:t>
            </w:r>
            <w:r w:rsidR="006C6F09">
              <w:t xml:space="preserve"> </w:t>
            </w:r>
            <w:r>
              <w:t>the</w:t>
            </w:r>
            <w:r w:rsidR="006C6F09">
              <w:t xml:space="preserve"> </w:t>
            </w:r>
            <w:r>
              <w:t>website</w:t>
            </w:r>
            <w:r w:rsidR="006C6F09">
              <w:t xml:space="preserve"> </w:t>
            </w:r>
            <w:r>
              <w:t>notice</w:t>
            </w:r>
            <w:r w:rsidR="006C6F09">
              <w:t xml:space="preserve"> </w:t>
            </w:r>
            <w:r>
              <w:t>(Sections</w:t>
            </w:r>
            <w:r w:rsidR="006C6F09">
              <w:t xml:space="preserve"> </w:t>
            </w:r>
            <w:r>
              <w:t>14.2,</w:t>
            </w:r>
            <w:r w:rsidR="006C6F09">
              <w:t xml:space="preserve"> </w:t>
            </w:r>
            <w:r>
              <w:t>14.3,</w:t>
            </w:r>
            <w:r w:rsidR="006C6F09">
              <w:t xml:space="preserve"> </w:t>
            </w:r>
            <w:r>
              <w:t>and</w:t>
            </w:r>
            <w:r w:rsidR="006C6F09">
              <w:t xml:space="preserve"> </w:t>
            </w:r>
            <w:r>
              <w:t>14.4).</w:t>
            </w:r>
          </w:p>
          <w:p w14:paraId="48A1D2AB" w14:textId="1E26B50E"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Regarding</w:t>
            </w:r>
            <w:r w:rsidR="006C6F09">
              <w:t xml:space="preserve"> </w:t>
            </w:r>
            <w:r>
              <w:t>the</w:t>
            </w:r>
            <w:r w:rsidR="006C6F09">
              <w:t xml:space="preserve"> </w:t>
            </w:r>
            <w:r>
              <w:t>preparation</w:t>
            </w:r>
            <w:r w:rsidR="006C6F09">
              <w:t xml:space="preserve"> </w:t>
            </w:r>
            <w:r>
              <w:t>of</w:t>
            </w:r>
            <w:r w:rsidR="006C6F09">
              <w:t xml:space="preserve"> </w:t>
            </w:r>
            <w:r>
              <w:t>documentation</w:t>
            </w:r>
            <w:r w:rsidR="006C6F09">
              <w:t xml:space="preserve"> </w:t>
            </w:r>
            <w:r>
              <w:t>for</w:t>
            </w:r>
            <w:r w:rsidR="006C6F09">
              <w:t xml:space="preserve"> </w:t>
            </w:r>
            <w:r>
              <w:t>a</w:t>
            </w:r>
            <w:r w:rsidR="006C6F09">
              <w:t xml:space="preserve"> </w:t>
            </w:r>
            <w:r>
              <w:t>public</w:t>
            </w:r>
            <w:r w:rsidR="006C6F09">
              <w:t xml:space="preserve"> </w:t>
            </w:r>
            <w:r>
              <w:t>meeting,</w:t>
            </w:r>
            <w:r w:rsidR="006C6F09">
              <w:t xml:space="preserve"> </w:t>
            </w:r>
            <w:r>
              <w:t>opportunity</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and</w:t>
            </w:r>
            <w:r w:rsidR="006C6F09">
              <w:t xml:space="preserve"> </w:t>
            </w:r>
            <w:r>
              <w:t>public</w:t>
            </w:r>
            <w:r w:rsidR="006C6F09">
              <w:t xml:space="preserve"> </w:t>
            </w:r>
            <w:r>
              <w:t>hearing,</w:t>
            </w:r>
            <w:r w:rsidR="006C6F09">
              <w:t xml:space="preserve"> </w:t>
            </w:r>
            <w:r>
              <w:t>added</w:t>
            </w:r>
            <w:r w:rsidR="006C6F09">
              <w:t xml:space="preserve"> </w:t>
            </w:r>
            <w:r>
              <w:t>an</w:t>
            </w:r>
            <w:r w:rsidR="006C6F09">
              <w:t xml:space="preserve"> </w:t>
            </w:r>
            <w:r>
              <w:t>instruction</w:t>
            </w:r>
            <w:r w:rsidR="006C6F09">
              <w:t xml:space="preserve"> </w:t>
            </w:r>
            <w:r>
              <w:t>regarding</w:t>
            </w:r>
            <w:r w:rsidR="006C6F09">
              <w:t xml:space="preserve"> </w:t>
            </w:r>
            <w:r>
              <w:t>redacting</w:t>
            </w:r>
            <w:r w:rsidR="006C6F09">
              <w:t xml:space="preserve"> </w:t>
            </w:r>
            <w:r>
              <w:t>public</w:t>
            </w:r>
            <w:r w:rsidR="006C6F09">
              <w:t xml:space="preserve"> </w:t>
            </w:r>
            <w:r>
              <w:t>email</w:t>
            </w:r>
            <w:r w:rsidR="006C6F09">
              <w:t xml:space="preserve"> </w:t>
            </w:r>
            <w:r>
              <w:t>addresses</w:t>
            </w:r>
            <w:r w:rsidR="006C6F09">
              <w:t xml:space="preserve"> </w:t>
            </w:r>
            <w:r>
              <w:t>from</w:t>
            </w:r>
            <w:r w:rsidR="006C6F09">
              <w:t xml:space="preserve"> </w:t>
            </w:r>
            <w:r>
              <w:t>the</w:t>
            </w:r>
            <w:r w:rsidR="006C6F09">
              <w:t xml:space="preserve"> </w:t>
            </w:r>
            <w:r>
              <w:t>“Notices”</w:t>
            </w:r>
            <w:r w:rsidR="006C6F09">
              <w:t xml:space="preserve"> </w:t>
            </w:r>
            <w:r>
              <w:t>section</w:t>
            </w:r>
            <w:r w:rsidR="006C6F09">
              <w:t xml:space="preserve"> </w:t>
            </w:r>
            <w:r>
              <w:t>of</w:t>
            </w:r>
            <w:r w:rsidR="006C6F09">
              <w:t xml:space="preserve"> </w:t>
            </w:r>
            <w:r>
              <w:t>the</w:t>
            </w:r>
            <w:r w:rsidR="006C6F09">
              <w:t xml:space="preserve"> </w:t>
            </w:r>
            <w:r>
              <w:t>documentation</w:t>
            </w:r>
            <w:r w:rsidR="006C6F09">
              <w:t xml:space="preserve"> </w:t>
            </w:r>
            <w:r>
              <w:t>(Sections</w:t>
            </w:r>
            <w:r w:rsidR="006C6F09">
              <w:t xml:space="preserve"> </w:t>
            </w:r>
            <w:r>
              <w:t>14.2,</w:t>
            </w:r>
            <w:r w:rsidR="006C6F09">
              <w:t xml:space="preserve"> </w:t>
            </w:r>
            <w:r>
              <w:t>14.3,</w:t>
            </w:r>
            <w:r w:rsidR="006C6F09">
              <w:t xml:space="preserve"> </w:t>
            </w:r>
            <w:r>
              <w:t>and</w:t>
            </w:r>
            <w:r w:rsidR="006C6F09">
              <w:t xml:space="preserve"> </w:t>
            </w:r>
            <w:r>
              <w:t>14.4)</w:t>
            </w:r>
          </w:p>
          <w:p w14:paraId="031BB68D" w14:textId="24765A29"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Revised</w:t>
            </w:r>
            <w:r w:rsidR="006C6F09">
              <w:t xml:space="preserve"> </w:t>
            </w:r>
            <w:r>
              <w:t>throughout</w:t>
            </w:r>
            <w:r w:rsidR="006C6F09">
              <w:t xml:space="preserve"> </w:t>
            </w:r>
            <w:r>
              <w:t>to</w:t>
            </w:r>
            <w:r w:rsidR="006C6F09">
              <w:t xml:space="preserve"> </w:t>
            </w:r>
            <w:r>
              <w:t>refer</w:t>
            </w:r>
            <w:r w:rsidR="006C6F09">
              <w:t xml:space="preserve"> </w:t>
            </w:r>
            <w:r>
              <w:t>to</w:t>
            </w:r>
            <w:r w:rsidR="006C6F09">
              <w:t xml:space="preserve"> </w:t>
            </w:r>
            <w:r>
              <w:t>“LEP</w:t>
            </w:r>
            <w:r w:rsidR="006C6F09">
              <w:t xml:space="preserve"> </w:t>
            </w:r>
            <w:r>
              <w:t>populations</w:t>
            </w:r>
            <w:r w:rsidR="006C6F09">
              <w:t xml:space="preserve"> </w:t>
            </w:r>
            <w:r>
              <w:t>and</w:t>
            </w:r>
            <w:r w:rsidR="006C6F09">
              <w:t xml:space="preserve"> </w:t>
            </w:r>
            <w:r>
              <w:t>or</w:t>
            </w:r>
            <w:r w:rsidR="006C6F09">
              <w:t xml:space="preserve"> </w:t>
            </w:r>
            <w:r>
              <w:t>EJ</w:t>
            </w:r>
            <w:r w:rsidR="006C6F09">
              <w:t xml:space="preserve"> </w:t>
            </w:r>
            <w:r>
              <w:t>populations”</w:t>
            </w:r>
            <w:r w:rsidR="006C6F09">
              <w:t xml:space="preserve"> </w:t>
            </w:r>
            <w:r>
              <w:t>instead</w:t>
            </w:r>
            <w:r w:rsidR="006C6F09">
              <w:t xml:space="preserve"> </w:t>
            </w:r>
            <w:r>
              <w:t>of</w:t>
            </w:r>
            <w:r w:rsidR="006C6F09">
              <w:t xml:space="preserve"> </w:t>
            </w:r>
            <w:r>
              <w:t>“underserved</w:t>
            </w:r>
            <w:r w:rsidR="006C6F09">
              <w:t xml:space="preserve"> </w:t>
            </w:r>
            <w:r>
              <w:t>and</w:t>
            </w:r>
            <w:r w:rsidR="006C6F09">
              <w:t xml:space="preserve"> </w:t>
            </w:r>
            <w:r>
              <w:t>LEP</w:t>
            </w:r>
            <w:r w:rsidR="006C6F09">
              <w:t xml:space="preserve"> </w:t>
            </w:r>
            <w:r>
              <w:t>populations”</w:t>
            </w:r>
            <w:r w:rsidR="006C6F09">
              <w:t xml:space="preserve"> </w:t>
            </w:r>
            <w:r>
              <w:t>or</w:t>
            </w:r>
            <w:r w:rsidR="006C6F09">
              <w:t xml:space="preserve"> </w:t>
            </w:r>
            <w:r>
              <w:t>just</w:t>
            </w:r>
            <w:r w:rsidR="006C6F09">
              <w:t xml:space="preserve"> </w:t>
            </w:r>
            <w:r>
              <w:t>“LEP</w:t>
            </w:r>
            <w:r w:rsidR="006C6F09">
              <w:t xml:space="preserve"> </w:t>
            </w:r>
            <w:r>
              <w:t>populations.”</w:t>
            </w:r>
          </w:p>
          <w:p w14:paraId="5936FD30" w14:textId="677BA37E"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Other</w:t>
            </w:r>
            <w:r w:rsidR="006C6F09">
              <w:t xml:space="preserve"> </w:t>
            </w:r>
            <w:r>
              <w:t>clarifying</w:t>
            </w:r>
            <w:r w:rsidR="006C6F09">
              <w:t xml:space="preserve"> </w:t>
            </w:r>
            <w:r>
              <w:t>revisions.</w:t>
            </w:r>
          </w:p>
        </w:tc>
      </w:tr>
      <w:tr w:rsidR="00457754" w14:paraId="040C209B"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5436421D" w14:textId="0D3BF6A9" w:rsidR="00457754" w:rsidRPr="009D4C4D" w:rsidRDefault="00457754" w:rsidP="00263E76">
            <w:pPr>
              <w:rPr>
                <w:b w:val="0"/>
                <w:bCs w:val="0"/>
              </w:rPr>
            </w:pPr>
            <w:r>
              <w:rPr>
                <w:b w:val="0"/>
                <w:bCs w:val="0"/>
              </w:rPr>
              <w:lastRenderedPageBreak/>
              <w:t>May</w:t>
            </w:r>
            <w:r w:rsidR="006C6F09">
              <w:rPr>
                <w:b w:val="0"/>
                <w:bCs w:val="0"/>
              </w:rPr>
              <w:t xml:space="preserve"> </w:t>
            </w:r>
            <w:r>
              <w:rPr>
                <w:b w:val="0"/>
                <w:bCs w:val="0"/>
              </w:rPr>
              <w:t>2022</w:t>
            </w:r>
          </w:p>
        </w:tc>
        <w:tc>
          <w:tcPr>
            <w:tcW w:w="3339" w:type="pct"/>
            <w:shd w:val="clear" w:color="auto" w:fill="DADEE5"/>
          </w:tcPr>
          <w:p w14:paraId="409325C8" w14:textId="5301493D" w:rsidR="00457754" w:rsidRDefault="00457754" w:rsidP="004D695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Version</w:t>
            </w:r>
            <w:r w:rsidR="006C6F09">
              <w:t xml:space="preserve"> </w:t>
            </w:r>
            <w:r>
              <w:t>16</w:t>
            </w:r>
            <w:r w:rsidR="006C6F09">
              <w:t xml:space="preserve"> </w:t>
            </w:r>
          </w:p>
          <w:p w14:paraId="681D3BED" w14:textId="723E16BE"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Added</w:t>
            </w:r>
            <w:r w:rsidR="006C6F09">
              <w:t xml:space="preserve"> </w:t>
            </w:r>
            <w:r>
              <w:t>reference</w:t>
            </w:r>
            <w:r w:rsidR="006C6F09">
              <w:t xml:space="preserve"> </w:t>
            </w:r>
            <w:r>
              <w:t>in</w:t>
            </w:r>
            <w:r w:rsidR="006C6F09">
              <w:t xml:space="preserve"> </w:t>
            </w:r>
            <w:r>
              <w:t>Section</w:t>
            </w:r>
            <w:r w:rsidR="006C6F09">
              <w:t xml:space="preserve"> </w:t>
            </w:r>
            <w:r>
              <w:t>1.2.3</w:t>
            </w:r>
            <w:r w:rsidR="006C6F09">
              <w:t xml:space="preserve"> </w:t>
            </w:r>
            <w:r>
              <w:t>to</w:t>
            </w:r>
            <w:r w:rsidR="006C6F09">
              <w:t xml:space="preserve"> </w:t>
            </w:r>
            <w:r>
              <w:t>TPP</w:t>
            </w:r>
            <w:r w:rsidR="006C6F09">
              <w:t xml:space="preserve"> </w:t>
            </w:r>
            <w:r>
              <w:t>Public</w:t>
            </w:r>
            <w:r w:rsidR="006C6F09">
              <w:t xml:space="preserve"> </w:t>
            </w:r>
            <w:r>
              <w:t>Involvement</w:t>
            </w:r>
            <w:r w:rsidR="006C6F09">
              <w:t xml:space="preserve"> </w:t>
            </w:r>
            <w:r>
              <w:t>Section’s</w:t>
            </w:r>
            <w:r w:rsidR="006C6F09">
              <w:t xml:space="preserve"> </w:t>
            </w:r>
            <w:r>
              <w:t>new</w:t>
            </w:r>
            <w:r w:rsidR="006C6F09">
              <w:t xml:space="preserve"> </w:t>
            </w:r>
            <w:r>
              <w:t>Public</w:t>
            </w:r>
            <w:r w:rsidR="006C6F09">
              <w:t xml:space="preserve"> </w:t>
            </w:r>
            <w:r>
              <w:t>Involvement</w:t>
            </w:r>
            <w:r w:rsidR="006C6F09">
              <w:t xml:space="preserve"> </w:t>
            </w:r>
            <w:r>
              <w:t>Materials</w:t>
            </w:r>
            <w:r w:rsidR="006C6F09">
              <w:t xml:space="preserve"> </w:t>
            </w:r>
            <w:r>
              <w:t>Toolkit,</w:t>
            </w:r>
            <w:r w:rsidR="006C6F09">
              <w:t xml:space="preserve"> </w:t>
            </w:r>
            <w:r>
              <w:t>which</w:t>
            </w:r>
            <w:r w:rsidR="006C6F09">
              <w:t xml:space="preserve"> </w:t>
            </w:r>
            <w:r>
              <w:t>contains</w:t>
            </w:r>
            <w:r w:rsidR="006C6F09">
              <w:t xml:space="preserve"> </w:t>
            </w:r>
            <w:r>
              <w:t>templates</w:t>
            </w:r>
            <w:r w:rsidR="006C6F09">
              <w:t xml:space="preserve"> </w:t>
            </w:r>
            <w:r>
              <w:t>with</w:t>
            </w:r>
            <w:r w:rsidR="006C6F09">
              <w:t xml:space="preserve"> </w:t>
            </w:r>
            <w:r>
              <w:t>approved</w:t>
            </w:r>
            <w:r w:rsidR="006C6F09">
              <w:t xml:space="preserve"> </w:t>
            </w:r>
            <w:r>
              <w:t>English</w:t>
            </w:r>
            <w:r w:rsidR="006C6F09">
              <w:t xml:space="preserve"> </w:t>
            </w:r>
            <w:r>
              <w:t>and</w:t>
            </w:r>
            <w:r w:rsidR="006C6F09">
              <w:t xml:space="preserve"> </w:t>
            </w:r>
            <w:r>
              <w:t>Spanish</w:t>
            </w:r>
            <w:r w:rsidR="006C6F09">
              <w:t xml:space="preserve"> </w:t>
            </w:r>
            <w:r>
              <w:t>branding</w:t>
            </w:r>
            <w:r w:rsidR="006C6F09">
              <w:t xml:space="preserve"> </w:t>
            </w:r>
            <w:r>
              <w:t>and</w:t>
            </w:r>
            <w:r w:rsidR="006C6F09">
              <w:t xml:space="preserve"> </w:t>
            </w:r>
            <w:r>
              <w:t>agency-wide</w:t>
            </w:r>
            <w:r w:rsidR="006C6F09">
              <w:t xml:space="preserve"> </w:t>
            </w:r>
            <w:r>
              <w:t>consistency</w:t>
            </w:r>
            <w:r w:rsidR="006C6F09">
              <w:t xml:space="preserve"> </w:t>
            </w:r>
            <w:r>
              <w:t>that</w:t>
            </w:r>
            <w:r w:rsidR="006C6F09">
              <w:t xml:space="preserve"> </w:t>
            </w:r>
            <w:r>
              <w:t>can</w:t>
            </w:r>
            <w:r w:rsidR="006C6F09">
              <w:t xml:space="preserve"> </w:t>
            </w:r>
            <w:r>
              <w:t>be</w:t>
            </w:r>
            <w:r w:rsidR="006C6F09">
              <w:t xml:space="preserve"> </w:t>
            </w:r>
            <w:r>
              <w:t>used</w:t>
            </w:r>
            <w:r w:rsidR="006C6F09">
              <w:t xml:space="preserve"> </w:t>
            </w:r>
            <w:r>
              <w:t>on</w:t>
            </w:r>
            <w:r w:rsidR="006C6F09">
              <w:t xml:space="preserve"> </w:t>
            </w:r>
            <w:r>
              <w:t>environmental</w:t>
            </w:r>
            <w:r w:rsidR="006C6F09">
              <w:t xml:space="preserve"> </w:t>
            </w:r>
            <w:r>
              <w:t>review-related</w:t>
            </w:r>
            <w:r w:rsidR="006C6F09">
              <w:t xml:space="preserve"> </w:t>
            </w:r>
            <w:r>
              <w:t>public</w:t>
            </w:r>
            <w:r w:rsidR="006C6F09">
              <w:t xml:space="preserve"> </w:t>
            </w:r>
            <w:r>
              <w:t>outreach.</w:t>
            </w:r>
          </w:p>
          <w:p w14:paraId="4490DDDF" w14:textId="060B7172"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Revised</w:t>
            </w:r>
            <w:r w:rsidR="006C6F09">
              <w:t xml:space="preserve"> </w:t>
            </w:r>
            <w:r>
              <w:t>Section</w:t>
            </w:r>
            <w:r w:rsidR="006C6F09">
              <w:t xml:space="preserve"> </w:t>
            </w:r>
            <w:r>
              <w:t>3.2</w:t>
            </w:r>
            <w:r w:rsidR="006C6F09">
              <w:t xml:space="preserve"> </w:t>
            </w:r>
            <w:r>
              <w:t>to</w:t>
            </w:r>
            <w:r w:rsidR="006C6F09">
              <w:t xml:space="preserve"> </w:t>
            </w:r>
            <w:r>
              <w:t>clarify</w:t>
            </w:r>
            <w:r w:rsidR="006C6F09">
              <w:t xml:space="preserve"> </w:t>
            </w:r>
            <w:r>
              <w:t>that</w:t>
            </w:r>
            <w:r w:rsidR="006C6F09">
              <w:t xml:space="preserve"> </w:t>
            </w:r>
            <w:r>
              <w:t>a</w:t>
            </w:r>
            <w:r w:rsidR="006C6F09">
              <w:t xml:space="preserve"> </w:t>
            </w:r>
            <w:r>
              <w:t>notice</w:t>
            </w:r>
            <w:r w:rsidR="006C6F09">
              <w:t xml:space="preserve"> </w:t>
            </w:r>
            <w:r>
              <w:t>and</w:t>
            </w:r>
            <w:r w:rsidR="006C6F09">
              <w:t xml:space="preserve"> </w:t>
            </w:r>
            <w:r>
              <w:t>opportunity</w:t>
            </w:r>
            <w:r w:rsidR="006C6F09">
              <w:t xml:space="preserve"> </w:t>
            </w:r>
            <w:r>
              <w:t>to</w:t>
            </w:r>
            <w:r w:rsidR="006C6F09">
              <w:t xml:space="preserve"> </w:t>
            </w:r>
            <w:r>
              <w:t>comment</w:t>
            </w:r>
            <w:r w:rsidR="006C6F09">
              <w:t xml:space="preserve"> </w:t>
            </w:r>
            <w:r>
              <w:t>may</w:t>
            </w:r>
            <w:r w:rsidR="006C6F09">
              <w:t xml:space="preserve"> </w:t>
            </w:r>
            <w:r>
              <w:t>be</w:t>
            </w:r>
            <w:r w:rsidR="006C6F09">
              <w:t xml:space="preserve"> </w:t>
            </w:r>
            <w:r>
              <w:t>required</w:t>
            </w:r>
            <w:r w:rsidR="006C6F09">
              <w:t xml:space="preserve"> </w:t>
            </w:r>
            <w:r>
              <w:t>in</w:t>
            </w:r>
            <w:r w:rsidR="006C6F09">
              <w:t xml:space="preserve"> </w:t>
            </w:r>
            <w:r>
              <w:t>connection</w:t>
            </w:r>
            <w:r w:rsidR="006C6F09">
              <w:t xml:space="preserve"> </w:t>
            </w:r>
            <w:r>
              <w:t>with</w:t>
            </w:r>
            <w:r w:rsidR="006C6F09">
              <w:t xml:space="preserve"> </w:t>
            </w:r>
            <w:r>
              <w:t>a</w:t>
            </w:r>
            <w:r w:rsidR="006C6F09">
              <w:t xml:space="preserve"> </w:t>
            </w:r>
            <w:r>
              <w:t>reevaluation</w:t>
            </w:r>
            <w:r w:rsidR="006C6F09">
              <w:t xml:space="preserve"> </w:t>
            </w:r>
            <w:r>
              <w:t>under</w:t>
            </w:r>
            <w:r w:rsidR="006C6F09">
              <w:t xml:space="preserve"> </w:t>
            </w:r>
            <w:r>
              <w:t>certain</w:t>
            </w:r>
            <w:r w:rsidR="006C6F09">
              <w:t xml:space="preserve"> </w:t>
            </w:r>
            <w:r>
              <w:t>circumstances.</w:t>
            </w:r>
          </w:p>
          <w:p w14:paraId="049C87A3" w14:textId="1FF831E7"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Amended</w:t>
            </w:r>
            <w:r w:rsidR="006C6F09">
              <w:t xml:space="preserve"> </w:t>
            </w:r>
            <w:r>
              <w:t>Section</w:t>
            </w:r>
            <w:r w:rsidR="006C6F09">
              <w:t xml:space="preserve"> </w:t>
            </w:r>
            <w:r>
              <w:t>5.5</w:t>
            </w:r>
            <w:r w:rsidR="006C6F09">
              <w:t xml:space="preserve"> </w:t>
            </w:r>
            <w:r>
              <w:t>to</w:t>
            </w:r>
            <w:r w:rsidR="006C6F09">
              <w:t xml:space="preserve"> </w:t>
            </w:r>
            <w:r>
              <w:t>include</w:t>
            </w:r>
            <w:r w:rsidR="006C6F09">
              <w:t xml:space="preserve"> </w:t>
            </w:r>
            <w:r>
              <w:t>a</w:t>
            </w:r>
            <w:r w:rsidR="006C6F09">
              <w:t xml:space="preserve"> </w:t>
            </w:r>
            <w:r>
              <w:t>definition</w:t>
            </w:r>
            <w:r w:rsidR="006C6F09">
              <w:t xml:space="preserve"> </w:t>
            </w:r>
            <w:r>
              <w:t>of</w:t>
            </w:r>
            <w:r w:rsidR="006C6F09">
              <w:t xml:space="preserve"> </w:t>
            </w:r>
            <w:r>
              <w:t>“agency</w:t>
            </w:r>
            <w:r w:rsidR="006C6F09">
              <w:t xml:space="preserve"> </w:t>
            </w:r>
            <w:r>
              <w:t>with</w:t>
            </w:r>
            <w:r w:rsidR="006C6F09">
              <w:t xml:space="preserve"> </w:t>
            </w:r>
            <w:r>
              <w:t>jurisdiction.”</w:t>
            </w:r>
          </w:p>
        </w:tc>
      </w:tr>
      <w:tr w:rsidR="00457754" w14:paraId="54E5B5B7" w14:textId="77777777" w:rsidTr="00263E76">
        <w:trPr>
          <w:cantSplit/>
        </w:trPr>
        <w:tc>
          <w:tcPr>
            <w:cnfStyle w:val="001000000000" w:firstRow="0" w:lastRow="0" w:firstColumn="1" w:lastColumn="0" w:oddVBand="0" w:evenVBand="0" w:oddHBand="0" w:evenHBand="0" w:firstRowFirstColumn="0" w:firstRowLastColumn="0" w:lastRowFirstColumn="0" w:lastRowLastColumn="0"/>
            <w:tcW w:w="1661" w:type="pct"/>
            <w:vAlign w:val="center"/>
          </w:tcPr>
          <w:p w14:paraId="604B8A1C" w14:textId="0F9F412A" w:rsidR="00457754" w:rsidRPr="009D4C4D" w:rsidRDefault="00457754" w:rsidP="00263E76">
            <w:pPr>
              <w:rPr>
                <w:b w:val="0"/>
                <w:bCs w:val="0"/>
              </w:rPr>
            </w:pPr>
            <w:r>
              <w:rPr>
                <w:b w:val="0"/>
                <w:bCs w:val="0"/>
              </w:rPr>
              <w:t>December</w:t>
            </w:r>
            <w:r w:rsidR="006C6F09">
              <w:rPr>
                <w:b w:val="0"/>
                <w:bCs w:val="0"/>
              </w:rPr>
              <w:t xml:space="preserve"> </w:t>
            </w:r>
            <w:r>
              <w:rPr>
                <w:b w:val="0"/>
                <w:bCs w:val="0"/>
              </w:rPr>
              <w:t>2021</w:t>
            </w:r>
          </w:p>
        </w:tc>
        <w:tc>
          <w:tcPr>
            <w:tcW w:w="3339" w:type="pct"/>
          </w:tcPr>
          <w:p w14:paraId="4CFE5007" w14:textId="192EE872" w:rsidR="00457754" w:rsidRDefault="00457754" w:rsidP="004D6950">
            <w:pPr>
              <w:cnfStyle w:val="000000000000" w:firstRow="0" w:lastRow="0" w:firstColumn="0" w:lastColumn="0" w:oddVBand="0" w:evenVBand="0" w:oddHBand="0" w:evenHBand="0" w:firstRowFirstColumn="0" w:firstRowLastColumn="0" w:lastRowFirstColumn="0" w:lastRowLastColumn="0"/>
            </w:pPr>
            <w:r>
              <w:t>Version</w:t>
            </w:r>
            <w:r w:rsidR="006C6F09">
              <w:t xml:space="preserve"> </w:t>
            </w:r>
            <w:r>
              <w:t>15.2</w:t>
            </w:r>
            <w:r w:rsidR="006C6F09">
              <w:t xml:space="preserve"> </w:t>
            </w:r>
          </w:p>
          <w:p w14:paraId="5351000C" w14:textId="4A580FC4"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In</w:t>
            </w:r>
            <w:r w:rsidR="006C6F09">
              <w:t xml:space="preserve"> </w:t>
            </w:r>
            <w:r>
              <w:t>Section</w:t>
            </w:r>
            <w:r w:rsidR="006C6F09">
              <w:t xml:space="preserve"> </w:t>
            </w:r>
            <w:r>
              <w:t>4.3</w:t>
            </w:r>
            <w:r w:rsidR="006C6F09">
              <w:t xml:space="preserve"> </w:t>
            </w:r>
            <w:r>
              <w:t>regarding</w:t>
            </w:r>
            <w:r w:rsidR="006C6F09">
              <w:t xml:space="preserve"> </w:t>
            </w:r>
            <w:r>
              <w:t>notices</w:t>
            </w:r>
            <w:r w:rsidR="006C6F09">
              <w:t xml:space="preserve"> </w:t>
            </w:r>
            <w:r>
              <w:t>for</w:t>
            </w:r>
            <w:r w:rsidR="006C6F09">
              <w:t xml:space="preserve"> </w:t>
            </w:r>
            <w:r>
              <w:t>public</w:t>
            </w:r>
            <w:r w:rsidR="006C6F09">
              <w:t xml:space="preserve"> </w:t>
            </w:r>
            <w:r>
              <w:t>meetings,</w:t>
            </w:r>
            <w:r w:rsidR="006C6F09">
              <w:t xml:space="preserve"> </w:t>
            </w:r>
            <w:r w:rsidR="00E612ED">
              <w:t>it</w:t>
            </w:r>
            <w:r w:rsidR="006C6F09">
              <w:t xml:space="preserve"> </w:t>
            </w:r>
            <w:r w:rsidR="00E612ED">
              <w:t>is</w:t>
            </w:r>
            <w:r w:rsidR="006C6F09">
              <w:t xml:space="preserve"> </w:t>
            </w:r>
            <w:r w:rsidR="00E612ED">
              <w:t>clarified</w:t>
            </w:r>
            <w:r w:rsidR="006C6F09">
              <w:t xml:space="preserve"> </w:t>
            </w:r>
            <w:r>
              <w:t>that</w:t>
            </w:r>
            <w:r w:rsidR="006C6F09">
              <w:t xml:space="preserve"> </w:t>
            </w:r>
            <w:r>
              <w:t>the</w:t>
            </w:r>
            <w:r w:rsidR="006C6F09">
              <w:t xml:space="preserve"> </w:t>
            </w:r>
            <w:r>
              <w:t>TxDOT</w:t>
            </w:r>
            <w:r w:rsidR="006C6F09">
              <w:t xml:space="preserve"> </w:t>
            </w:r>
            <w:r>
              <w:t>website</w:t>
            </w:r>
            <w:r w:rsidR="006C6F09">
              <w:t xml:space="preserve"> </w:t>
            </w:r>
            <w:r>
              <w:t>notice</w:t>
            </w:r>
            <w:r w:rsidR="006C6F09">
              <w:t xml:space="preserve"> </w:t>
            </w:r>
            <w:r>
              <w:t>must</w:t>
            </w:r>
            <w:r w:rsidR="006C6F09">
              <w:t xml:space="preserve"> </w:t>
            </w:r>
            <w:r>
              <w:t>be</w:t>
            </w:r>
            <w:r w:rsidR="006C6F09">
              <w:t xml:space="preserve"> </w:t>
            </w:r>
            <w:r>
              <w:t>posted</w:t>
            </w:r>
            <w:r w:rsidR="006C6F09">
              <w:t xml:space="preserve"> </w:t>
            </w:r>
            <w:r>
              <w:t>15</w:t>
            </w:r>
            <w:r w:rsidR="006C6F09">
              <w:t xml:space="preserve"> </w:t>
            </w:r>
            <w:r>
              <w:t>days</w:t>
            </w:r>
            <w:r w:rsidR="006C6F09">
              <w:t xml:space="preserve"> </w:t>
            </w:r>
            <w:r>
              <w:t>prior,</w:t>
            </w:r>
            <w:r w:rsidR="006C6F09">
              <w:t xml:space="preserve"> </w:t>
            </w:r>
            <w:r>
              <w:t>but</w:t>
            </w:r>
            <w:r w:rsidR="006C6F09">
              <w:t xml:space="preserve"> </w:t>
            </w:r>
            <w:r>
              <w:t>for</w:t>
            </w:r>
            <w:r w:rsidR="006C6F09">
              <w:t xml:space="preserve"> </w:t>
            </w:r>
            <w:r>
              <w:t>other</w:t>
            </w:r>
            <w:r w:rsidR="006C6F09">
              <w:t xml:space="preserve"> </w:t>
            </w:r>
            <w:r>
              <w:t>types</w:t>
            </w:r>
            <w:r w:rsidR="006C6F09">
              <w:t xml:space="preserve"> </w:t>
            </w:r>
            <w:r>
              <w:t>of</w:t>
            </w:r>
            <w:r w:rsidR="006C6F09">
              <w:t xml:space="preserve"> </w:t>
            </w:r>
            <w:r>
              <w:t>notices</w:t>
            </w:r>
            <w:r w:rsidR="006C6F09">
              <w:t xml:space="preserve"> </w:t>
            </w:r>
            <w:r>
              <w:t>of</w:t>
            </w:r>
            <w:r w:rsidR="006C6F09">
              <w:t xml:space="preserve"> </w:t>
            </w:r>
            <w:r>
              <w:t>public</w:t>
            </w:r>
            <w:r w:rsidR="006C6F09">
              <w:t xml:space="preserve"> </w:t>
            </w:r>
            <w:r>
              <w:t>meetings,</w:t>
            </w:r>
            <w:r w:rsidR="006C6F09">
              <w:t xml:space="preserve"> </w:t>
            </w:r>
            <w:r>
              <w:t>it</w:t>
            </w:r>
            <w:r w:rsidR="006C6F09">
              <w:t xml:space="preserve"> </w:t>
            </w:r>
            <w:r>
              <w:t>is</w:t>
            </w:r>
            <w:r w:rsidR="006C6F09">
              <w:t xml:space="preserve"> </w:t>
            </w:r>
            <w:r>
              <w:t>only</w:t>
            </w:r>
            <w:r w:rsidR="006C6F09">
              <w:t xml:space="preserve"> </w:t>
            </w:r>
            <w:r>
              <w:t>recommended</w:t>
            </w:r>
            <w:r w:rsidR="006C6F09">
              <w:t xml:space="preserve"> </w:t>
            </w:r>
            <w:r>
              <w:t>that</w:t>
            </w:r>
            <w:r w:rsidR="006C6F09">
              <w:t xml:space="preserve"> </w:t>
            </w:r>
            <w:r>
              <w:t>they</w:t>
            </w:r>
            <w:r w:rsidR="006C6F09">
              <w:t xml:space="preserve"> </w:t>
            </w:r>
            <w:r>
              <w:t>be</w:t>
            </w:r>
            <w:r w:rsidR="006C6F09">
              <w:t xml:space="preserve"> </w:t>
            </w:r>
            <w:r>
              <w:t>provided</w:t>
            </w:r>
            <w:r w:rsidR="006C6F09">
              <w:t xml:space="preserve"> </w:t>
            </w:r>
            <w:r>
              <w:t>15</w:t>
            </w:r>
            <w:r w:rsidR="006C6F09">
              <w:t xml:space="preserve"> </w:t>
            </w:r>
            <w:r>
              <w:t>days</w:t>
            </w:r>
            <w:r w:rsidR="006C6F09">
              <w:t xml:space="preserve"> </w:t>
            </w:r>
            <w:r>
              <w:t>prior.</w:t>
            </w:r>
            <w:r w:rsidR="006C6F09">
              <w:t xml:space="preserve"> </w:t>
            </w:r>
          </w:p>
          <w:p w14:paraId="657BAE97" w14:textId="324984C0"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In</w:t>
            </w:r>
            <w:r w:rsidR="006C6F09">
              <w:t xml:space="preserve"> </w:t>
            </w:r>
            <w:r>
              <w:t>Section</w:t>
            </w:r>
            <w:r w:rsidR="006C6F09">
              <w:t xml:space="preserve"> </w:t>
            </w:r>
            <w:r>
              <w:t>14</w:t>
            </w:r>
            <w:r w:rsidR="006C6F09">
              <w:t xml:space="preserve"> </w:t>
            </w:r>
            <w:r>
              <w:t>regarding</w:t>
            </w:r>
            <w:r w:rsidR="006C6F09">
              <w:t xml:space="preserve"> </w:t>
            </w:r>
            <w:r>
              <w:t>“Documentation,”</w:t>
            </w:r>
            <w:r w:rsidR="006C6F09">
              <w:t xml:space="preserve"> </w:t>
            </w:r>
            <w:r>
              <w:t>clarified</w:t>
            </w:r>
            <w:r w:rsidR="006C6F09">
              <w:t xml:space="preserve"> </w:t>
            </w:r>
            <w:r>
              <w:t>that</w:t>
            </w:r>
            <w:r w:rsidR="006C6F09">
              <w:t xml:space="preserve"> </w:t>
            </w:r>
            <w:r>
              <w:t>the</w:t>
            </w:r>
            <w:r w:rsidR="006C6F09">
              <w:t xml:space="preserve"> </w:t>
            </w:r>
            <w:r>
              <w:t>documentation</w:t>
            </w:r>
            <w:r w:rsidR="006C6F09">
              <w:t xml:space="preserve"> </w:t>
            </w:r>
            <w:r>
              <w:t>should</w:t>
            </w:r>
            <w:r w:rsidR="006C6F09">
              <w:t xml:space="preserve"> </w:t>
            </w:r>
            <w:r>
              <w:t>include</w:t>
            </w:r>
            <w:r w:rsidR="006C6F09">
              <w:t xml:space="preserve"> </w:t>
            </w:r>
            <w:r>
              <w:t>all</w:t>
            </w:r>
            <w:r w:rsidR="006C6F09">
              <w:t xml:space="preserve"> </w:t>
            </w:r>
            <w:r>
              <w:t>comments</w:t>
            </w:r>
            <w:r w:rsidR="006C6F09">
              <w:t xml:space="preserve"> </w:t>
            </w:r>
            <w:r>
              <w:t>received</w:t>
            </w:r>
            <w:r w:rsidR="006C6F09">
              <w:t xml:space="preserve"> </w:t>
            </w:r>
            <w:r>
              <w:t>between</w:t>
            </w:r>
            <w:r w:rsidR="006C6F09">
              <w:t xml:space="preserve"> </w:t>
            </w:r>
            <w:r>
              <w:t>the</w:t>
            </w:r>
            <w:r w:rsidR="006C6F09">
              <w:t xml:space="preserve"> </w:t>
            </w:r>
            <w:r>
              <w:t>date</w:t>
            </w:r>
            <w:r w:rsidR="006C6F09">
              <w:t xml:space="preserve"> </w:t>
            </w:r>
            <w:r>
              <w:t>the</w:t>
            </w:r>
            <w:r w:rsidR="006C6F09">
              <w:t xml:space="preserve"> </w:t>
            </w:r>
            <w:r>
              <w:t>notice</w:t>
            </w:r>
            <w:r w:rsidR="006C6F09">
              <w:t xml:space="preserve"> </w:t>
            </w:r>
            <w:r>
              <w:t>was</w:t>
            </w:r>
            <w:r w:rsidR="006C6F09">
              <w:t xml:space="preserve"> </w:t>
            </w:r>
            <w:r>
              <w:t>provided</w:t>
            </w:r>
            <w:r w:rsidR="006C6F09">
              <w:t xml:space="preserve"> </w:t>
            </w:r>
            <w:r>
              <w:t>and</w:t>
            </w:r>
            <w:r w:rsidR="006C6F09">
              <w:t xml:space="preserve"> </w:t>
            </w:r>
            <w:r>
              <w:t>the</w:t>
            </w:r>
            <w:r w:rsidR="006C6F09">
              <w:t xml:space="preserve"> </w:t>
            </w:r>
            <w:r>
              <w:t>deadline</w:t>
            </w:r>
            <w:r w:rsidR="006C6F09">
              <w:t xml:space="preserve"> </w:t>
            </w:r>
            <w:r>
              <w:t>specified</w:t>
            </w:r>
            <w:r w:rsidR="006C6F09">
              <w:t xml:space="preserve"> </w:t>
            </w:r>
            <w:r>
              <w:t>in</w:t>
            </w:r>
            <w:r w:rsidR="006C6F09">
              <w:t xml:space="preserve"> </w:t>
            </w:r>
            <w:r>
              <w:t>the</w:t>
            </w:r>
            <w:r w:rsidR="006C6F09">
              <w:t xml:space="preserve"> </w:t>
            </w:r>
            <w:r>
              <w:t>notice.</w:t>
            </w:r>
          </w:p>
        </w:tc>
      </w:tr>
      <w:tr w:rsidR="00457754" w14:paraId="70BA33F9"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0B7905AD" w14:textId="49769649" w:rsidR="00457754" w:rsidRPr="009D4C4D" w:rsidRDefault="00457754" w:rsidP="00263E76">
            <w:pPr>
              <w:rPr>
                <w:b w:val="0"/>
                <w:bCs w:val="0"/>
              </w:rPr>
            </w:pPr>
            <w:r>
              <w:rPr>
                <w:b w:val="0"/>
                <w:bCs w:val="0"/>
              </w:rPr>
              <w:lastRenderedPageBreak/>
              <w:t>December</w:t>
            </w:r>
            <w:r w:rsidR="006C6F09">
              <w:rPr>
                <w:b w:val="0"/>
                <w:bCs w:val="0"/>
              </w:rPr>
              <w:t xml:space="preserve"> </w:t>
            </w:r>
            <w:r>
              <w:rPr>
                <w:b w:val="0"/>
                <w:bCs w:val="0"/>
              </w:rPr>
              <w:t>2021</w:t>
            </w:r>
          </w:p>
        </w:tc>
        <w:tc>
          <w:tcPr>
            <w:tcW w:w="3339" w:type="pct"/>
            <w:shd w:val="clear" w:color="auto" w:fill="DADEE5"/>
          </w:tcPr>
          <w:p w14:paraId="3CDB694E" w14:textId="2174CD80" w:rsidR="00457754" w:rsidRDefault="00457754" w:rsidP="004D6950">
            <w:pPr>
              <w:cnfStyle w:val="000000100000" w:firstRow="0" w:lastRow="0" w:firstColumn="0" w:lastColumn="0" w:oddVBand="0" w:evenVBand="0" w:oddHBand="1" w:evenHBand="0" w:firstRowFirstColumn="0" w:firstRowLastColumn="0" w:lastRowFirstColumn="0" w:lastRowLastColumn="0"/>
            </w:pPr>
            <w:r>
              <w:t>Version</w:t>
            </w:r>
            <w:r w:rsidR="006C6F09">
              <w:t xml:space="preserve"> </w:t>
            </w:r>
            <w:r>
              <w:t>15.1</w:t>
            </w:r>
            <w:r w:rsidR="006C6F09">
              <w:t xml:space="preserve"> </w:t>
            </w:r>
          </w:p>
          <w:p w14:paraId="4863BCA9" w14:textId="75456283"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Added</w:t>
            </w:r>
            <w:r w:rsidR="006C6F09">
              <w:t xml:space="preserve"> </w:t>
            </w:r>
            <w:r>
              <w:t>Section</w:t>
            </w:r>
            <w:r w:rsidR="006C6F09">
              <w:t xml:space="preserve"> </w:t>
            </w:r>
            <w:r>
              <w:t>2.1,</w:t>
            </w:r>
            <w:r w:rsidR="006C6F09">
              <w:t xml:space="preserve"> </w:t>
            </w:r>
            <w:r>
              <w:t>“Formal”</w:t>
            </w:r>
            <w:r w:rsidR="006C6F09">
              <w:t xml:space="preserve"> </w:t>
            </w:r>
            <w:r>
              <w:t>Public</w:t>
            </w:r>
            <w:r w:rsidR="006C6F09">
              <w:t xml:space="preserve"> </w:t>
            </w:r>
            <w:r>
              <w:t>Involvement</w:t>
            </w:r>
            <w:r w:rsidR="006C6F09">
              <w:t xml:space="preserve"> </w:t>
            </w:r>
            <w:r>
              <w:t>Versus</w:t>
            </w:r>
            <w:r w:rsidR="006C6F09">
              <w:t xml:space="preserve"> </w:t>
            </w:r>
            <w:r>
              <w:t>“Additional</w:t>
            </w:r>
            <w:r w:rsidR="006C6F09">
              <w:t xml:space="preserve"> </w:t>
            </w:r>
            <w:r>
              <w:t>Public</w:t>
            </w:r>
            <w:r w:rsidR="006C6F09">
              <w:t xml:space="preserve"> </w:t>
            </w:r>
            <w:r>
              <w:t>Outreach”</w:t>
            </w:r>
          </w:p>
          <w:p w14:paraId="35498BBE" w14:textId="53FDE603"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Clarified</w:t>
            </w:r>
            <w:r w:rsidR="006C6F09">
              <w:t xml:space="preserve"> </w:t>
            </w:r>
            <w:r>
              <w:t>that</w:t>
            </w:r>
            <w:r w:rsidR="006C6F09">
              <w:t xml:space="preserve"> </w:t>
            </w:r>
            <w:r>
              <w:t>when</w:t>
            </w:r>
            <w:r w:rsidR="006C6F09">
              <w:t xml:space="preserve"> </w:t>
            </w:r>
            <w:r>
              <w:t>redacting</w:t>
            </w:r>
            <w:r w:rsidR="006C6F09">
              <w:t xml:space="preserve"> </w:t>
            </w:r>
            <w:r>
              <w:t>email</w:t>
            </w:r>
            <w:r w:rsidR="006C6F09">
              <w:t xml:space="preserve"> </w:t>
            </w:r>
            <w:r>
              <w:t>addresses,</w:t>
            </w:r>
            <w:r w:rsidR="006C6F09">
              <w:t xml:space="preserve"> </w:t>
            </w:r>
            <w:r>
              <w:t>redact</w:t>
            </w:r>
            <w:r w:rsidR="006C6F09">
              <w:t xml:space="preserve"> </w:t>
            </w:r>
            <w:r>
              <w:t>all</w:t>
            </w:r>
            <w:r w:rsidR="006C6F09">
              <w:t xml:space="preserve"> </w:t>
            </w:r>
            <w:r>
              <w:t>email</w:t>
            </w:r>
            <w:r w:rsidR="006C6F09">
              <w:t xml:space="preserve"> </w:t>
            </w:r>
            <w:r>
              <w:t>addresses</w:t>
            </w:r>
            <w:r w:rsidR="006C6F09">
              <w:t xml:space="preserve"> </w:t>
            </w:r>
            <w:r>
              <w:t>except</w:t>
            </w:r>
            <w:r w:rsidR="006C6F09">
              <w:t xml:space="preserve"> </w:t>
            </w:r>
            <w:r>
              <w:t>for</w:t>
            </w:r>
            <w:r w:rsidR="006C6F09">
              <w:t xml:space="preserve"> </w:t>
            </w:r>
            <w:r>
              <w:t>TxDOT</w:t>
            </w:r>
            <w:r w:rsidR="006C6F09">
              <w:t xml:space="preserve"> </w:t>
            </w:r>
            <w:r>
              <w:t>employees,</w:t>
            </w:r>
            <w:r w:rsidR="006C6F09">
              <w:t xml:space="preserve"> </w:t>
            </w:r>
            <w:r>
              <w:t>our</w:t>
            </w:r>
            <w:r w:rsidR="006C6F09">
              <w:t xml:space="preserve"> </w:t>
            </w:r>
            <w:r>
              <w:t>consultants,</w:t>
            </w:r>
            <w:r w:rsidR="006C6F09">
              <w:t xml:space="preserve"> </w:t>
            </w:r>
            <w:r>
              <w:t>government</w:t>
            </w:r>
            <w:r w:rsidR="006C6F09">
              <w:t xml:space="preserve"> </w:t>
            </w:r>
            <w:r>
              <w:t>employees’</w:t>
            </w:r>
            <w:r w:rsidR="006C6F09">
              <w:t xml:space="preserve"> </w:t>
            </w:r>
            <w:r>
              <w:t>work</w:t>
            </w:r>
            <w:r w:rsidR="006C6F09">
              <w:t xml:space="preserve"> </w:t>
            </w:r>
            <w:r>
              <w:t>email</w:t>
            </w:r>
            <w:r w:rsidR="006C6F09">
              <w:t xml:space="preserve"> </w:t>
            </w:r>
            <w:r>
              <w:t>addresses,</w:t>
            </w:r>
            <w:r w:rsidR="006C6F09">
              <w:t xml:space="preserve"> </w:t>
            </w:r>
            <w:r>
              <w:t>and</w:t>
            </w:r>
            <w:r w:rsidR="006C6F09">
              <w:t xml:space="preserve"> </w:t>
            </w:r>
            <w:r>
              <w:t>private</w:t>
            </w:r>
            <w:r w:rsidR="006C6F09">
              <w:t xml:space="preserve"> </w:t>
            </w:r>
            <w:r>
              <w:t>email</w:t>
            </w:r>
            <w:r w:rsidR="006C6F09">
              <w:t xml:space="preserve"> </w:t>
            </w:r>
            <w:r>
              <w:t>addresses</w:t>
            </w:r>
            <w:r w:rsidR="006C6F09">
              <w:t xml:space="preserve"> </w:t>
            </w:r>
            <w:r>
              <w:t>of</w:t>
            </w:r>
            <w:r w:rsidR="006C6F09">
              <w:t xml:space="preserve"> </w:t>
            </w:r>
            <w:r>
              <w:t>government</w:t>
            </w:r>
            <w:r w:rsidR="006C6F09">
              <w:t xml:space="preserve"> </w:t>
            </w:r>
            <w:r>
              <w:t>officials</w:t>
            </w:r>
            <w:r w:rsidR="006C6F09">
              <w:t xml:space="preserve"> </w:t>
            </w:r>
            <w:r>
              <w:t>who</w:t>
            </w:r>
            <w:r w:rsidR="006C6F09">
              <w:t xml:space="preserve"> </w:t>
            </w:r>
            <w:r>
              <w:t>use</w:t>
            </w:r>
            <w:r w:rsidR="006C6F09">
              <w:t xml:space="preserve"> </w:t>
            </w:r>
            <w:r>
              <w:t>their</w:t>
            </w:r>
            <w:r w:rsidR="006C6F09">
              <w:t xml:space="preserve"> </w:t>
            </w:r>
            <w:r>
              <w:t>private</w:t>
            </w:r>
            <w:r w:rsidR="006C6F09">
              <w:t xml:space="preserve"> </w:t>
            </w:r>
            <w:r>
              <w:t>email</w:t>
            </w:r>
            <w:r w:rsidR="006C6F09">
              <w:t xml:space="preserve"> </w:t>
            </w:r>
            <w:r>
              <w:t>address</w:t>
            </w:r>
            <w:r w:rsidR="006C6F09">
              <w:t xml:space="preserve"> </w:t>
            </w:r>
            <w:r>
              <w:t>to</w:t>
            </w:r>
            <w:r w:rsidR="006C6F09">
              <w:t xml:space="preserve"> </w:t>
            </w:r>
            <w:r>
              <w:t>conduct</w:t>
            </w:r>
            <w:r w:rsidR="006C6F09">
              <w:t xml:space="preserve"> </w:t>
            </w:r>
            <w:r>
              <w:t>official</w:t>
            </w:r>
            <w:r w:rsidR="006C6F09">
              <w:t xml:space="preserve"> </w:t>
            </w:r>
            <w:r>
              <w:t>government</w:t>
            </w:r>
            <w:r w:rsidR="006C6F09">
              <w:t xml:space="preserve"> </w:t>
            </w:r>
            <w:r>
              <w:t>business</w:t>
            </w:r>
            <w:r w:rsidR="006C6F09">
              <w:t xml:space="preserve"> </w:t>
            </w:r>
            <w:r>
              <w:t>–</w:t>
            </w:r>
            <w:r w:rsidR="006C6F09">
              <w:t xml:space="preserve"> </w:t>
            </w:r>
            <w:r>
              <w:t>see</w:t>
            </w:r>
            <w:r w:rsidR="006C6F09">
              <w:t xml:space="preserve"> </w:t>
            </w:r>
            <w:r>
              <w:t>the</w:t>
            </w:r>
            <w:r w:rsidR="006C6F09">
              <w:t xml:space="preserve"> </w:t>
            </w:r>
            <w:r>
              <w:t>Texas</w:t>
            </w:r>
            <w:r w:rsidR="006C6F09">
              <w:t xml:space="preserve"> </w:t>
            </w:r>
            <w:r>
              <w:t>Attorney</w:t>
            </w:r>
            <w:r w:rsidR="006C6F09">
              <w:t xml:space="preserve"> </w:t>
            </w:r>
            <w:r>
              <w:t>General’s</w:t>
            </w:r>
            <w:r w:rsidR="006C6F09">
              <w:t xml:space="preserve"> </w:t>
            </w:r>
            <w:r>
              <w:t>2020</w:t>
            </w:r>
            <w:r w:rsidR="006C6F09">
              <w:t xml:space="preserve"> </w:t>
            </w:r>
            <w:r>
              <w:t>Public</w:t>
            </w:r>
            <w:r w:rsidR="006C6F09">
              <w:t xml:space="preserve"> </w:t>
            </w:r>
            <w:r>
              <w:t>Information</w:t>
            </w:r>
            <w:r w:rsidR="006C6F09">
              <w:t xml:space="preserve"> </w:t>
            </w:r>
            <w:r>
              <w:t>Act</w:t>
            </w:r>
            <w:r w:rsidR="006C6F09">
              <w:t xml:space="preserve"> </w:t>
            </w:r>
            <w:r>
              <w:t>Handbook</w:t>
            </w:r>
            <w:r w:rsidR="006C6F09">
              <w:t xml:space="preserve"> </w:t>
            </w:r>
            <w:r>
              <w:t>at</w:t>
            </w:r>
            <w:r w:rsidR="006C6F09">
              <w:t xml:space="preserve"> </w:t>
            </w:r>
            <w:r>
              <w:t>pages</w:t>
            </w:r>
            <w:r w:rsidR="006C6F09">
              <w:t xml:space="preserve"> </w:t>
            </w:r>
            <w:r>
              <w:t>161-162.</w:t>
            </w:r>
          </w:p>
          <w:p w14:paraId="6182C486" w14:textId="5F46B03E"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Clarified</w:t>
            </w:r>
            <w:r w:rsidR="006C6F09">
              <w:t xml:space="preserve"> </w:t>
            </w:r>
            <w:r>
              <w:t>that</w:t>
            </w:r>
            <w:r w:rsidR="006C6F09">
              <w:t xml:space="preserve"> </w:t>
            </w:r>
            <w:r>
              <w:t>there</w:t>
            </w:r>
            <w:r w:rsidR="006C6F09">
              <w:t xml:space="preserve"> </w:t>
            </w:r>
            <w:r>
              <w:t>is</w:t>
            </w:r>
            <w:r w:rsidR="006C6F09">
              <w:t xml:space="preserve"> </w:t>
            </w:r>
            <w:r>
              <w:t>no</w:t>
            </w:r>
            <w:r w:rsidR="006C6F09">
              <w:t xml:space="preserve"> </w:t>
            </w:r>
            <w:r>
              <w:t>legal</w:t>
            </w:r>
            <w:r w:rsidR="006C6F09">
              <w:t xml:space="preserve"> </w:t>
            </w:r>
            <w:r>
              <w:t>requirement</w:t>
            </w:r>
            <w:r w:rsidR="006C6F09">
              <w:t xml:space="preserve"> </w:t>
            </w:r>
            <w:r>
              <w:t>to</w:t>
            </w:r>
            <w:r w:rsidR="006C6F09">
              <w:t xml:space="preserve"> </w:t>
            </w:r>
            <w:r>
              <w:t>redact</w:t>
            </w:r>
            <w:r w:rsidR="006C6F09">
              <w:t xml:space="preserve"> </w:t>
            </w:r>
            <w:r>
              <w:t>physical</w:t>
            </w:r>
            <w:r w:rsidR="006C6F09">
              <w:t xml:space="preserve"> </w:t>
            </w:r>
            <w:r>
              <w:t>addresses,</w:t>
            </w:r>
            <w:r w:rsidR="006C6F09">
              <w:t xml:space="preserve"> </w:t>
            </w:r>
            <w:r>
              <w:t>but</w:t>
            </w:r>
            <w:r w:rsidR="006C6F09">
              <w:t xml:space="preserve"> </w:t>
            </w:r>
            <w:r>
              <w:t>that</w:t>
            </w:r>
            <w:r w:rsidR="006C6F09">
              <w:t xml:space="preserve"> </w:t>
            </w:r>
            <w:r>
              <w:t>physical</w:t>
            </w:r>
            <w:r w:rsidR="006C6F09">
              <w:t xml:space="preserve"> </w:t>
            </w:r>
            <w:r>
              <w:t>addresses</w:t>
            </w:r>
            <w:r w:rsidR="006C6F09">
              <w:t xml:space="preserve"> </w:t>
            </w:r>
            <w:r>
              <w:t>may</w:t>
            </w:r>
            <w:r w:rsidR="006C6F09">
              <w:t xml:space="preserve"> </w:t>
            </w:r>
            <w:r>
              <w:t>be</w:t>
            </w:r>
            <w:r w:rsidR="006C6F09">
              <w:t xml:space="preserve"> </w:t>
            </w:r>
            <w:r>
              <w:t>redacted</w:t>
            </w:r>
            <w:r w:rsidR="006C6F09">
              <w:t xml:space="preserve"> </w:t>
            </w:r>
            <w:r>
              <w:t>on</w:t>
            </w:r>
            <w:r w:rsidR="006C6F09">
              <w:t xml:space="preserve"> </w:t>
            </w:r>
            <w:r>
              <w:t>a</w:t>
            </w:r>
            <w:r w:rsidR="006C6F09">
              <w:t xml:space="preserve"> </w:t>
            </w:r>
            <w:r>
              <w:t>discretionary</w:t>
            </w:r>
            <w:r w:rsidR="006C6F09">
              <w:t xml:space="preserve"> </w:t>
            </w:r>
            <w:r>
              <w:t>basis.</w:t>
            </w:r>
          </w:p>
        </w:tc>
      </w:tr>
      <w:tr w:rsidR="00457754" w14:paraId="0ED28B48" w14:textId="77777777" w:rsidTr="00263E76">
        <w:trPr>
          <w:cantSplit/>
        </w:trPr>
        <w:tc>
          <w:tcPr>
            <w:cnfStyle w:val="001000000000" w:firstRow="0" w:lastRow="0" w:firstColumn="1" w:lastColumn="0" w:oddVBand="0" w:evenVBand="0" w:oddHBand="0" w:evenHBand="0" w:firstRowFirstColumn="0" w:firstRowLastColumn="0" w:lastRowFirstColumn="0" w:lastRowLastColumn="0"/>
            <w:tcW w:w="1661" w:type="pct"/>
            <w:vAlign w:val="center"/>
          </w:tcPr>
          <w:p w14:paraId="3268DBDB" w14:textId="35E43602" w:rsidR="00457754" w:rsidRPr="009D4C4D" w:rsidRDefault="00457754" w:rsidP="00263E76">
            <w:pPr>
              <w:rPr>
                <w:b w:val="0"/>
                <w:bCs w:val="0"/>
              </w:rPr>
            </w:pPr>
            <w:r>
              <w:rPr>
                <w:b w:val="0"/>
                <w:bCs w:val="0"/>
              </w:rPr>
              <w:lastRenderedPageBreak/>
              <w:t>September</w:t>
            </w:r>
            <w:r w:rsidR="006C6F09">
              <w:rPr>
                <w:b w:val="0"/>
                <w:bCs w:val="0"/>
              </w:rPr>
              <w:t xml:space="preserve"> </w:t>
            </w:r>
            <w:r>
              <w:rPr>
                <w:b w:val="0"/>
                <w:bCs w:val="0"/>
              </w:rPr>
              <w:t>2021</w:t>
            </w:r>
          </w:p>
        </w:tc>
        <w:tc>
          <w:tcPr>
            <w:tcW w:w="3339" w:type="pct"/>
          </w:tcPr>
          <w:p w14:paraId="7BC738E5" w14:textId="74D3EBCC" w:rsidR="00457754" w:rsidRDefault="00457754" w:rsidP="004D6950">
            <w:pPr>
              <w:cnfStyle w:val="000000000000" w:firstRow="0" w:lastRow="0" w:firstColumn="0" w:lastColumn="0" w:oddVBand="0" w:evenVBand="0" w:oddHBand="0" w:evenHBand="0" w:firstRowFirstColumn="0" w:firstRowLastColumn="0" w:lastRowFirstColumn="0" w:lastRowLastColumn="0"/>
            </w:pPr>
            <w:r>
              <w:t>Version</w:t>
            </w:r>
            <w:r w:rsidR="006C6F09">
              <w:t xml:space="preserve"> </w:t>
            </w:r>
            <w:r>
              <w:t>14</w:t>
            </w:r>
            <w:r w:rsidR="006C6F09">
              <w:t xml:space="preserve"> </w:t>
            </w:r>
          </w:p>
          <w:p w14:paraId="24DEAF51" w14:textId="7CB33D55"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Amended</w:t>
            </w:r>
            <w:r w:rsidR="006C6F09">
              <w:t xml:space="preserve"> </w:t>
            </w:r>
            <w:r>
              <w:t>Section</w:t>
            </w:r>
            <w:r w:rsidR="006C6F09">
              <w:t xml:space="preserve"> </w:t>
            </w:r>
            <w:r>
              <w:t>9.1</w:t>
            </w:r>
            <w:r w:rsidR="006C6F09">
              <w:t xml:space="preserve"> </w:t>
            </w:r>
            <w:r>
              <w:t>and</w:t>
            </w:r>
            <w:r w:rsidR="006C6F09">
              <w:t xml:space="preserve"> </w:t>
            </w:r>
            <w:r>
              <w:t>9.2</w:t>
            </w:r>
            <w:r w:rsidR="006C6F09">
              <w:t xml:space="preserve"> </w:t>
            </w:r>
            <w:r>
              <w:t>to</w:t>
            </w:r>
            <w:r w:rsidR="006C6F09">
              <w:t xml:space="preserve"> </w:t>
            </w:r>
            <w:r>
              <w:t>specifically</w:t>
            </w:r>
            <w:r w:rsidR="006C6F09">
              <w:t xml:space="preserve"> </w:t>
            </w:r>
            <w:r>
              <w:t>mention</w:t>
            </w:r>
            <w:r w:rsidR="006C6F09">
              <w:t xml:space="preserve"> </w:t>
            </w:r>
            <w:r>
              <w:t>TCEQ</w:t>
            </w:r>
            <w:r w:rsidR="006C6F09">
              <w:t xml:space="preserve"> </w:t>
            </w:r>
            <w:r>
              <w:t>and</w:t>
            </w:r>
            <w:r w:rsidR="006C6F09">
              <w:t xml:space="preserve"> </w:t>
            </w:r>
            <w:r>
              <w:t>TPWD</w:t>
            </w:r>
            <w:r w:rsidR="006C6F09">
              <w:t xml:space="preserve"> </w:t>
            </w:r>
            <w:r>
              <w:t>coordination</w:t>
            </w:r>
            <w:r w:rsidR="006C6F09">
              <w:t xml:space="preserve"> </w:t>
            </w:r>
            <w:r>
              <w:t>for</w:t>
            </w:r>
            <w:r w:rsidR="006C6F09">
              <w:t xml:space="preserve"> </w:t>
            </w:r>
            <w:r>
              <w:t>EAs</w:t>
            </w:r>
            <w:r w:rsidR="006C6F09">
              <w:t xml:space="preserve"> </w:t>
            </w:r>
            <w:r>
              <w:t>and</w:t>
            </w:r>
            <w:r w:rsidR="006C6F09">
              <w:t xml:space="preserve"> </w:t>
            </w:r>
            <w:r>
              <w:t>EISs.</w:t>
            </w:r>
          </w:p>
          <w:p w14:paraId="0DF86F4D" w14:textId="7DFB3824" w:rsidR="00457754" w:rsidRDefault="00457754" w:rsidP="00263E76">
            <w:pPr>
              <w:pStyle w:val="ListBullet"/>
              <w:cnfStyle w:val="000000000000" w:firstRow="0" w:lastRow="0" w:firstColumn="0" w:lastColumn="0" w:oddVBand="0" w:evenVBand="0" w:oddHBand="0" w:evenHBand="0" w:firstRowFirstColumn="0" w:firstRowLastColumn="0" w:lastRowFirstColumn="0" w:lastRowLastColumn="0"/>
            </w:pPr>
            <w:r>
              <w:t>Amended</w:t>
            </w:r>
            <w:r w:rsidR="006C6F09">
              <w:t xml:space="preserve"> </w:t>
            </w:r>
            <w:r>
              <w:t>Sections</w:t>
            </w:r>
            <w:r w:rsidR="006C6F09">
              <w:t xml:space="preserve"> </w:t>
            </w:r>
            <w:r>
              <w:t>14.3</w:t>
            </w:r>
            <w:r w:rsidR="006C6F09">
              <w:t xml:space="preserve"> </w:t>
            </w:r>
            <w:r>
              <w:t>and</w:t>
            </w:r>
            <w:r w:rsidR="006C6F09">
              <w:t xml:space="preserve"> </w:t>
            </w:r>
            <w:r>
              <w:t>14.4</w:t>
            </w:r>
            <w:r w:rsidR="006C6F09">
              <w:t xml:space="preserve"> </w:t>
            </w:r>
            <w:r>
              <w:t>to</w:t>
            </w:r>
            <w:r w:rsidR="006C6F09">
              <w:t xml:space="preserve"> </w:t>
            </w:r>
            <w:r>
              <w:t>specifically</w:t>
            </w:r>
            <w:r w:rsidR="006C6F09">
              <w:t xml:space="preserve"> </w:t>
            </w:r>
            <w:proofErr w:type="gramStart"/>
            <w:r>
              <w:t>mention</w:t>
            </w:r>
            <w:r w:rsidR="006C6F09">
              <w:t xml:space="preserve"> </w:t>
            </w:r>
            <w:r>
              <w:t>including</w:t>
            </w:r>
            <w:proofErr w:type="gramEnd"/>
            <w:r w:rsidR="006C6F09">
              <w:t xml:space="preserve"> </w:t>
            </w:r>
            <w:r>
              <w:t>the</w:t>
            </w:r>
            <w:r w:rsidR="006C6F09">
              <w:t xml:space="preserve"> </w:t>
            </w:r>
            <w:r>
              <w:t>emails</w:t>
            </w:r>
            <w:r w:rsidR="006C6F09">
              <w:t xml:space="preserve"> </w:t>
            </w:r>
            <w:r>
              <w:t>to</w:t>
            </w:r>
            <w:r w:rsidR="006C6F09">
              <w:t xml:space="preserve"> </w:t>
            </w:r>
            <w:r>
              <w:t>TCEQ</w:t>
            </w:r>
            <w:r w:rsidR="006C6F09">
              <w:t xml:space="preserve"> </w:t>
            </w:r>
            <w:r>
              <w:t>and</w:t>
            </w:r>
            <w:r w:rsidR="006C6F09">
              <w:t xml:space="preserve"> </w:t>
            </w:r>
            <w:r>
              <w:t>TPWD</w:t>
            </w:r>
            <w:r w:rsidR="006C6F09">
              <w:t xml:space="preserve"> </w:t>
            </w:r>
            <w:r>
              <w:t>in</w:t>
            </w:r>
            <w:r w:rsidR="006C6F09">
              <w:t xml:space="preserve"> </w:t>
            </w:r>
            <w:r>
              <w:t>the</w:t>
            </w:r>
            <w:r w:rsidR="006C6F09">
              <w:t xml:space="preserve"> </w:t>
            </w:r>
            <w:r>
              <w:t>documentation</w:t>
            </w:r>
            <w:r w:rsidR="006C6F09">
              <w:t xml:space="preserve"> </w:t>
            </w:r>
            <w:r>
              <w:t>of</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r>
              <w:t>or</w:t>
            </w:r>
            <w:r w:rsidR="006C6F09">
              <w:t xml:space="preserve"> </w:t>
            </w:r>
            <w:r>
              <w:t>documentation</w:t>
            </w:r>
            <w:r w:rsidR="006C6F09">
              <w:t xml:space="preserve"> </w:t>
            </w:r>
            <w:r>
              <w:t>of</w:t>
            </w:r>
            <w:r w:rsidR="006C6F09">
              <w:t xml:space="preserve"> </w:t>
            </w:r>
            <w:r>
              <w:t>public</w:t>
            </w:r>
            <w:r w:rsidR="006C6F09">
              <w:t xml:space="preserve"> </w:t>
            </w:r>
            <w:r>
              <w:t>hearing</w:t>
            </w:r>
            <w:r w:rsidR="006C6F09">
              <w:t xml:space="preserve"> </w:t>
            </w:r>
            <w:r>
              <w:t>for</w:t>
            </w:r>
            <w:r w:rsidR="006C6F09">
              <w:t xml:space="preserve"> </w:t>
            </w:r>
            <w:r>
              <w:t>EAs</w:t>
            </w:r>
            <w:r w:rsidR="006C6F09">
              <w:t xml:space="preserve"> </w:t>
            </w:r>
            <w:r>
              <w:t>and</w:t>
            </w:r>
            <w:r w:rsidR="006C6F09">
              <w:t xml:space="preserve"> </w:t>
            </w:r>
            <w:r>
              <w:t>EISs.</w:t>
            </w:r>
          </w:p>
        </w:tc>
      </w:tr>
      <w:tr w:rsidR="00457754" w14:paraId="7E49B4B2"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3E360660" w14:textId="29A5BF74" w:rsidR="00457754" w:rsidRPr="009D4C4D" w:rsidRDefault="00457754" w:rsidP="00263E76">
            <w:pPr>
              <w:rPr>
                <w:b w:val="0"/>
                <w:bCs w:val="0"/>
              </w:rPr>
            </w:pPr>
            <w:r>
              <w:rPr>
                <w:b w:val="0"/>
                <w:bCs w:val="0"/>
              </w:rPr>
              <w:t>September</w:t>
            </w:r>
            <w:r w:rsidR="006C6F09">
              <w:rPr>
                <w:b w:val="0"/>
                <w:bCs w:val="0"/>
              </w:rPr>
              <w:t xml:space="preserve"> </w:t>
            </w:r>
            <w:r>
              <w:rPr>
                <w:b w:val="0"/>
                <w:bCs w:val="0"/>
              </w:rPr>
              <w:t>2020</w:t>
            </w:r>
          </w:p>
        </w:tc>
        <w:tc>
          <w:tcPr>
            <w:tcW w:w="3339" w:type="pct"/>
            <w:shd w:val="clear" w:color="auto" w:fill="DADEE5"/>
          </w:tcPr>
          <w:p w14:paraId="399F53B6" w14:textId="0466513D" w:rsidR="00457754" w:rsidRDefault="00457754" w:rsidP="004D6950">
            <w:pPr>
              <w:cnfStyle w:val="000000100000" w:firstRow="0" w:lastRow="0" w:firstColumn="0" w:lastColumn="0" w:oddVBand="0" w:evenVBand="0" w:oddHBand="1" w:evenHBand="0" w:firstRowFirstColumn="0" w:firstRowLastColumn="0" w:lastRowFirstColumn="0" w:lastRowLastColumn="0"/>
            </w:pPr>
            <w:r>
              <w:t>Version</w:t>
            </w:r>
            <w:r w:rsidR="006C6F09">
              <w:t xml:space="preserve"> </w:t>
            </w:r>
            <w:r>
              <w:t>13</w:t>
            </w:r>
            <w:r w:rsidR="006C6F09">
              <w:t xml:space="preserve"> </w:t>
            </w:r>
          </w:p>
          <w:p w14:paraId="305B47DB" w14:textId="4C1022E2"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Revised</w:t>
            </w:r>
            <w:r w:rsidR="006C6F09">
              <w:t xml:space="preserve"> </w:t>
            </w:r>
            <w:r>
              <w:t>to</w:t>
            </w:r>
            <w:r w:rsidR="006C6F09">
              <w:t xml:space="preserve"> </w:t>
            </w:r>
            <w:r>
              <w:t>require</w:t>
            </w:r>
            <w:r w:rsidR="006C6F09">
              <w:t xml:space="preserve"> </w:t>
            </w:r>
            <w:r>
              <w:t>notices</w:t>
            </w:r>
            <w:r w:rsidR="006C6F09">
              <w:t xml:space="preserve"> </w:t>
            </w:r>
            <w:r>
              <w:t>of</w:t>
            </w:r>
            <w:r w:rsidR="006C6F09">
              <w:t xml:space="preserve"> </w:t>
            </w:r>
            <w:r>
              <w:t>availability</w:t>
            </w:r>
            <w:r w:rsidR="006C6F09">
              <w:t xml:space="preserve"> </w:t>
            </w:r>
            <w:r>
              <w:t>of</w:t>
            </w:r>
            <w:r w:rsidR="006C6F09">
              <w:t xml:space="preserve"> </w:t>
            </w:r>
            <w:r>
              <w:t>EAs</w:t>
            </w:r>
            <w:r w:rsidR="006C6F09">
              <w:t xml:space="preserve"> </w:t>
            </w:r>
            <w:r>
              <w:t>and</w:t>
            </w:r>
            <w:r w:rsidR="006C6F09">
              <w:t xml:space="preserve"> </w:t>
            </w:r>
            <w:r>
              <w:t>EISs</w:t>
            </w:r>
            <w:r w:rsidR="006C6F09">
              <w:t xml:space="preserve"> </w:t>
            </w:r>
            <w:r>
              <w:t>to</w:t>
            </w:r>
            <w:r w:rsidR="006C6F09">
              <w:t xml:space="preserve"> </w:t>
            </w:r>
            <w:r>
              <w:t>be</w:t>
            </w:r>
            <w:r w:rsidR="006C6F09">
              <w:t xml:space="preserve"> </w:t>
            </w:r>
            <w:r>
              <w:t>provided</w:t>
            </w:r>
            <w:r w:rsidR="006C6F09">
              <w:t xml:space="preserve"> </w:t>
            </w:r>
            <w:r>
              <w:t>to</w:t>
            </w:r>
            <w:r w:rsidR="006C6F09">
              <w:t xml:space="preserve"> </w:t>
            </w:r>
            <w:r>
              <w:t>tribes</w:t>
            </w:r>
          </w:p>
          <w:p w14:paraId="38E07520" w14:textId="073D8C47"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Revised</w:t>
            </w:r>
            <w:r w:rsidR="006C6F09">
              <w:t xml:space="preserve"> </w:t>
            </w:r>
            <w:r>
              <w:t>ADA</w:t>
            </w:r>
            <w:r w:rsidR="006C6F09">
              <w:t xml:space="preserve"> </w:t>
            </w:r>
            <w:r>
              <w:t>translation</w:t>
            </w:r>
            <w:r w:rsidR="006C6F09">
              <w:t xml:space="preserve"> </w:t>
            </w:r>
            <w:r>
              <w:t>request</w:t>
            </w:r>
            <w:r w:rsidR="006C6F09">
              <w:t xml:space="preserve"> </w:t>
            </w:r>
            <w:r>
              <w:t>language</w:t>
            </w:r>
          </w:p>
          <w:p w14:paraId="15FA1AEE" w14:textId="0F08A005"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Clarified</w:t>
            </w:r>
            <w:r w:rsidR="006C6F09">
              <w:t xml:space="preserve"> </w:t>
            </w:r>
            <w:r>
              <w:t>that</w:t>
            </w:r>
            <w:r w:rsidR="006C6F09">
              <w:t xml:space="preserve"> </w:t>
            </w:r>
            <w:r>
              <w:t>bicycle</w:t>
            </w:r>
            <w:r w:rsidR="006C6F09">
              <w:t xml:space="preserve"> </w:t>
            </w:r>
            <w:r>
              <w:t>lanes</w:t>
            </w:r>
            <w:r w:rsidR="006C6F09">
              <w:t xml:space="preserve"> </w:t>
            </w:r>
            <w:r>
              <w:t>that</w:t>
            </w:r>
            <w:r w:rsidR="006C6F09">
              <w:t xml:space="preserve"> </w:t>
            </w:r>
            <w:r>
              <w:t>are</w:t>
            </w:r>
            <w:r w:rsidR="006C6F09">
              <w:t xml:space="preserve"> </w:t>
            </w:r>
            <w:r>
              <w:t>separated</w:t>
            </w:r>
            <w:r w:rsidR="006C6F09">
              <w:t xml:space="preserve"> </w:t>
            </w:r>
            <w:r>
              <w:t>from</w:t>
            </w:r>
            <w:r w:rsidR="006C6F09">
              <w:t xml:space="preserve"> </w:t>
            </w:r>
            <w:r>
              <w:t>travel</w:t>
            </w:r>
            <w:r w:rsidR="006C6F09">
              <w:t xml:space="preserve"> </w:t>
            </w:r>
            <w:r>
              <w:t>lanes</w:t>
            </w:r>
            <w:r w:rsidR="006C6F09">
              <w:t xml:space="preserve"> </w:t>
            </w:r>
            <w:r>
              <w:t>by</w:t>
            </w:r>
            <w:r w:rsidR="006C6F09">
              <w:t xml:space="preserve"> </w:t>
            </w:r>
            <w:r>
              <w:t>landscaping,</w:t>
            </w:r>
            <w:r w:rsidR="006C6F09">
              <w:t xml:space="preserve"> </w:t>
            </w:r>
            <w:r>
              <w:t>a</w:t>
            </w:r>
            <w:r w:rsidR="006C6F09">
              <w:t xml:space="preserve"> </w:t>
            </w:r>
            <w:r>
              <w:t>median,</w:t>
            </w:r>
            <w:r w:rsidR="006C6F09">
              <w:t xml:space="preserve"> </w:t>
            </w:r>
            <w:r>
              <w:t>or</w:t>
            </w:r>
            <w:r w:rsidR="006C6F09">
              <w:t xml:space="preserve"> </w:t>
            </w:r>
            <w:r>
              <w:t>other</w:t>
            </w:r>
            <w:r w:rsidR="006C6F09">
              <w:t xml:space="preserve"> </w:t>
            </w:r>
            <w:r>
              <w:t>buffer</w:t>
            </w:r>
            <w:r w:rsidR="006C6F09">
              <w:t xml:space="preserve"> </w:t>
            </w:r>
            <w:r>
              <w:t>are</w:t>
            </w:r>
            <w:r w:rsidR="006C6F09">
              <w:t xml:space="preserve"> </w:t>
            </w:r>
            <w:r>
              <w:t>still</w:t>
            </w:r>
            <w:r w:rsidR="006C6F09">
              <w:t xml:space="preserve"> </w:t>
            </w:r>
            <w:r>
              <w:t>considered</w:t>
            </w:r>
            <w:r w:rsidR="006C6F09">
              <w:t xml:space="preserve"> </w:t>
            </w:r>
            <w:r>
              <w:t>“bicycle</w:t>
            </w:r>
            <w:r w:rsidR="006C6F09">
              <w:t xml:space="preserve"> </w:t>
            </w:r>
            <w:r>
              <w:t>lanes”</w:t>
            </w:r>
          </w:p>
          <w:p w14:paraId="36E7C8D2" w14:textId="0CC0C6DB"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Revised</w:t>
            </w:r>
            <w:r w:rsidR="006C6F09">
              <w:t xml:space="preserve"> </w:t>
            </w:r>
            <w:r>
              <w:t>explanations</w:t>
            </w:r>
            <w:r w:rsidR="006C6F09">
              <w:t xml:space="preserve"> </w:t>
            </w:r>
            <w:r>
              <w:t>of</w:t>
            </w:r>
            <w:r w:rsidR="006C6F09">
              <w:t xml:space="preserve"> </w:t>
            </w:r>
            <w:r>
              <w:t>DEIS</w:t>
            </w:r>
            <w:r w:rsidR="006C6F09">
              <w:t xml:space="preserve"> </w:t>
            </w:r>
            <w:r>
              <w:t>and</w:t>
            </w:r>
            <w:r w:rsidR="006C6F09">
              <w:t xml:space="preserve"> </w:t>
            </w:r>
            <w:r>
              <w:t>FEIS</w:t>
            </w:r>
            <w:r w:rsidR="006C6F09">
              <w:t xml:space="preserve"> </w:t>
            </w:r>
            <w:r>
              <w:t>notices</w:t>
            </w:r>
            <w:r w:rsidR="006C6F09">
              <w:t xml:space="preserve"> </w:t>
            </w:r>
            <w:r>
              <w:t>of</w:t>
            </w:r>
            <w:r w:rsidR="006C6F09">
              <w:t xml:space="preserve"> </w:t>
            </w:r>
            <w:r>
              <w:t>availability</w:t>
            </w:r>
            <w:r w:rsidR="006C6F09">
              <w:t xml:space="preserve"> </w:t>
            </w:r>
            <w:r>
              <w:t>for</w:t>
            </w:r>
            <w:r w:rsidR="006C6F09">
              <w:t xml:space="preserve"> </w:t>
            </w:r>
            <w:r>
              <w:t>clarity</w:t>
            </w:r>
            <w:r w:rsidR="006C6F09">
              <w:t xml:space="preserve"> </w:t>
            </w:r>
            <w:r>
              <w:t>and</w:t>
            </w:r>
            <w:r w:rsidR="006C6F09">
              <w:t xml:space="preserve"> </w:t>
            </w:r>
            <w:r>
              <w:t>accuracy,</w:t>
            </w:r>
            <w:r w:rsidR="006C6F09">
              <w:t xml:space="preserve"> </w:t>
            </w:r>
            <w:r>
              <w:t>and</w:t>
            </w:r>
            <w:r w:rsidR="006C6F09">
              <w:t xml:space="preserve"> </w:t>
            </w:r>
            <w:r>
              <w:t>added</w:t>
            </w:r>
            <w:r w:rsidR="006C6F09">
              <w:t xml:space="preserve"> </w:t>
            </w:r>
            <w:r>
              <w:t>instruction</w:t>
            </w:r>
            <w:r w:rsidR="006C6F09">
              <w:t xml:space="preserve"> </w:t>
            </w:r>
            <w:r>
              <w:t>about</w:t>
            </w:r>
            <w:r w:rsidR="006C6F09">
              <w:t xml:space="preserve"> </w:t>
            </w:r>
            <w:r>
              <w:t>mailing</w:t>
            </w:r>
            <w:r w:rsidR="006C6F09">
              <w:t xml:space="preserve"> </w:t>
            </w:r>
            <w:r>
              <w:t>hard</w:t>
            </w:r>
            <w:r w:rsidR="006C6F09">
              <w:t xml:space="preserve"> </w:t>
            </w:r>
            <w:r>
              <w:t>copy</w:t>
            </w:r>
            <w:r w:rsidR="006C6F09">
              <w:t xml:space="preserve"> </w:t>
            </w:r>
            <w:r>
              <w:t>and</w:t>
            </w:r>
            <w:r w:rsidR="006C6F09">
              <w:t xml:space="preserve"> </w:t>
            </w:r>
            <w:r>
              <w:t>electronic</w:t>
            </w:r>
            <w:r w:rsidR="006C6F09">
              <w:t xml:space="preserve"> </w:t>
            </w:r>
            <w:r>
              <w:t>copy</w:t>
            </w:r>
            <w:r w:rsidR="006C6F09">
              <w:t xml:space="preserve"> </w:t>
            </w:r>
            <w:r>
              <w:t>to</w:t>
            </w:r>
            <w:r w:rsidR="006C6F09">
              <w:t xml:space="preserve"> </w:t>
            </w:r>
            <w:r>
              <w:t>EPA</w:t>
            </w:r>
            <w:r w:rsidR="006C6F09">
              <w:t xml:space="preserve"> </w:t>
            </w:r>
            <w:r>
              <w:t>Region</w:t>
            </w:r>
            <w:r w:rsidR="006C6F09">
              <w:t xml:space="preserve"> </w:t>
            </w:r>
            <w:r>
              <w:t>6</w:t>
            </w:r>
          </w:p>
          <w:p w14:paraId="750FE824" w14:textId="1E489096"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Other</w:t>
            </w:r>
            <w:r w:rsidR="006C6F09">
              <w:t xml:space="preserve"> </w:t>
            </w:r>
            <w:r>
              <w:t>minor</w:t>
            </w:r>
            <w:r w:rsidR="006C6F09">
              <w:t xml:space="preserve"> </w:t>
            </w:r>
            <w:r>
              <w:t>updates</w:t>
            </w:r>
            <w:r w:rsidR="006C6F09">
              <w:t xml:space="preserve"> </w:t>
            </w:r>
            <w:r>
              <w:t>and</w:t>
            </w:r>
            <w:r w:rsidR="006C6F09">
              <w:t xml:space="preserve"> </w:t>
            </w:r>
            <w:r>
              <w:t>revisions</w:t>
            </w:r>
          </w:p>
        </w:tc>
      </w:tr>
      <w:tr w:rsidR="00457754" w14:paraId="7147F22C" w14:textId="77777777" w:rsidTr="00263E76">
        <w:trPr>
          <w:cantSplit/>
        </w:trPr>
        <w:tc>
          <w:tcPr>
            <w:cnfStyle w:val="001000000000" w:firstRow="0" w:lastRow="0" w:firstColumn="1" w:lastColumn="0" w:oddVBand="0" w:evenVBand="0" w:oddHBand="0" w:evenHBand="0" w:firstRowFirstColumn="0" w:firstRowLastColumn="0" w:lastRowFirstColumn="0" w:lastRowLastColumn="0"/>
            <w:tcW w:w="1661" w:type="pct"/>
            <w:vAlign w:val="center"/>
          </w:tcPr>
          <w:p w14:paraId="6CA6082C" w14:textId="60DF8349" w:rsidR="00457754" w:rsidRPr="009D4C4D" w:rsidRDefault="00457754" w:rsidP="00263E76">
            <w:pPr>
              <w:rPr>
                <w:b w:val="0"/>
                <w:bCs w:val="0"/>
              </w:rPr>
            </w:pPr>
            <w:r>
              <w:rPr>
                <w:b w:val="0"/>
                <w:bCs w:val="0"/>
              </w:rPr>
              <w:lastRenderedPageBreak/>
              <w:t>March</w:t>
            </w:r>
            <w:r w:rsidR="006C6F09">
              <w:rPr>
                <w:b w:val="0"/>
                <w:bCs w:val="0"/>
              </w:rPr>
              <w:t xml:space="preserve"> </w:t>
            </w:r>
            <w:r>
              <w:rPr>
                <w:b w:val="0"/>
                <w:bCs w:val="0"/>
              </w:rPr>
              <w:t>2020</w:t>
            </w:r>
          </w:p>
        </w:tc>
        <w:tc>
          <w:tcPr>
            <w:tcW w:w="3339" w:type="pct"/>
          </w:tcPr>
          <w:p w14:paraId="38947566" w14:textId="4EDDEAD4" w:rsidR="00457754" w:rsidRDefault="00457754" w:rsidP="004D6950">
            <w:pPr>
              <w:cnfStyle w:val="000000000000" w:firstRow="0" w:lastRow="0" w:firstColumn="0" w:lastColumn="0" w:oddVBand="0" w:evenVBand="0" w:oddHBand="0" w:evenHBand="0" w:firstRowFirstColumn="0" w:firstRowLastColumn="0" w:lastRowFirstColumn="0" w:lastRowLastColumn="0"/>
            </w:pPr>
            <w:r>
              <w:t>Version</w:t>
            </w:r>
            <w:r w:rsidR="006C6F09">
              <w:t xml:space="preserve"> </w:t>
            </w:r>
            <w:r>
              <w:t>12</w:t>
            </w:r>
            <w:r w:rsidR="006C6F09">
              <w:t xml:space="preserve"> </w:t>
            </w:r>
          </w:p>
          <w:p w14:paraId="326895CF" w14:textId="3C625056"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Revised</w:t>
            </w:r>
            <w:r w:rsidR="006C6F09">
              <w:t xml:space="preserve"> </w:t>
            </w:r>
            <w:r>
              <w:t>to</w:t>
            </w:r>
            <w:r w:rsidR="006C6F09">
              <w:t xml:space="preserve"> </w:t>
            </w:r>
            <w:r>
              <w:t>allow</w:t>
            </w:r>
            <w:r w:rsidR="006C6F09">
              <w:t xml:space="preserve"> </w:t>
            </w:r>
            <w:r>
              <w:t>for</w:t>
            </w:r>
            <w:r w:rsidR="006C6F09">
              <w:t xml:space="preserve"> </w:t>
            </w:r>
            <w:r>
              <w:t>“virtual”</w:t>
            </w:r>
            <w:r w:rsidR="006C6F09">
              <w:t xml:space="preserve"> </w:t>
            </w:r>
            <w:r>
              <w:t>online</w:t>
            </w:r>
            <w:r w:rsidR="006C6F09">
              <w:t xml:space="preserve"> </w:t>
            </w:r>
            <w:r>
              <w:t>only</w:t>
            </w:r>
            <w:r w:rsidR="006C6F09">
              <w:t xml:space="preserve"> </w:t>
            </w:r>
            <w:r>
              <w:t>public</w:t>
            </w:r>
            <w:r w:rsidR="006C6F09">
              <w:t xml:space="preserve"> </w:t>
            </w:r>
            <w:r>
              <w:t>meetings</w:t>
            </w:r>
            <w:r w:rsidR="006C6F09">
              <w:t xml:space="preserve"> </w:t>
            </w:r>
            <w:r>
              <w:t>and</w:t>
            </w:r>
            <w:r w:rsidR="006C6F09">
              <w:t xml:space="preserve"> </w:t>
            </w:r>
            <w:r>
              <w:t>hearings</w:t>
            </w:r>
            <w:r w:rsidR="006C6F09">
              <w:t xml:space="preserve"> </w:t>
            </w:r>
            <w:r>
              <w:t>under</w:t>
            </w:r>
            <w:r w:rsidR="006C6F09">
              <w:t xml:space="preserve"> </w:t>
            </w:r>
            <w:r>
              <w:t>certain</w:t>
            </w:r>
            <w:r w:rsidR="006C6F09">
              <w:t xml:space="preserve"> </w:t>
            </w:r>
            <w:r>
              <w:t>circumstances.</w:t>
            </w:r>
          </w:p>
        </w:tc>
      </w:tr>
      <w:tr w:rsidR="00457754" w14:paraId="2E6E036F"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7022893A" w14:textId="22B0BDA6" w:rsidR="00457754" w:rsidRPr="009D4C4D" w:rsidRDefault="00457754" w:rsidP="00263E76">
            <w:pPr>
              <w:rPr>
                <w:b w:val="0"/>
                <w:bCs w:val="0"/>
              </w:rPr>
            </w:pPr>
            <w:r>
              <w:rPr>
                <w:b w:val="0"/>
                <w:bCs w:val="0"/>
              </w:rPr>
              <w:t>December</w:t>
            </w:r>
            <w:r w:rsidR="006C6F09">
              <w:rPr>
                <w:b w:val="0"/>
                <w:bCs w:val="0"/>
              </w:rPr>
              <w:t xml:space="preserve"> </w:t>
            </w:r>
            <w:r>
              <w:rPr>
                <w:b w:val="0"/>
                <w:bCs w:val="0"/>
              </w:rPr>
              <w:t>2019</w:t>
            </w:r>
          </w:p>
        </w:tc>
        <w:tc>
          <w:tcPr>
            <w:tcW w:w="3339" w:type="pct"/>
            <w:shd w:val="clear" w:color="auto" w:fill="DADEE5"/>
          </w:tcPr>
          <w:p w14:paraId="77F77106" w14:textId="490FDDE3" w:rsidR="00457754" w:rsidRDefault="00457754" w:rsidP="004D6950">
            <w:pPr>
              <w:cnfStyle w:val="000000100000" w:firstRow="0" w:lastRow="0" w:firstColumn="0" w:lastColumn="0" w:oddVBand="0" w:evenVBand="0" w:oddHBand="1" w:evenHBand="0" w:firstRowFirstColumn="0" w:firstRowLastColumn="0" w:lastRowFirstColumn="0" w:lastRowLastColumn="0"/>
            </w:pPr>
            <w:r>
              <w:t>Version</w:t>
            </w:r>
            <w:r w:rsidR="006C6F09">
              <w:t xml:space="preserve"> </w:t>
            </w:r>
            <w:r>
              <w:t>11</w:t>
            </w:r>
            <w:r w:rsidR="006C6F09">
              <w:t xml:space="preserve"> </w:t>
            </w:r>
          </w:p>
          <w:p w14:paraId="6AB7F63A" w14:textId="3FF1A22C"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Updated</w:t>
            </w:r>
            <w:r w:rsidR="006C6F09">
              <w:t xml:space="preserve"> </w:t>
            </w:r>
            <w:r>
              <w:t>NEPA</w:t>
            </w:r>
            <w:r w:rsidR="006C6F09">
              <w:t xml:space="preserve"> </w:t>
            </w:r>
            <w:r>
              <w:t>assignment</w:t>
            </w:r>
            <w:r w:rsidR="006C6F09">
              <w:t xml:space="preserve"> </w:t>
            </w:r>
            <w:r>
              <w:t>disclaimer</w:t>
            </w:r>
            <w:r w:rsidR="006C6F09">
              <w:t xml:space="preserve"> </w:t>
            </w:r>
            <w:r>
              <w:t>language</w:t>
            </w:r>
            <w:r w:rsidR="006C6F09">
              <w:t xml:space="preserve"> </w:t>
            </w:r>
            <w:r>
              <w:t>to</w:t>
            </w:r>
            <w:r w:rsidR="006C6F09">
              <w:t xml:space="preserve"> </w:t>
            </w:r>
            <w:r>
              <w:t>reflect</w:t>
            </w:r>
            <w:r w:rsidR="006C6F09">
              <w:t xml:space="preserve"> </w:t>
            </w:r>
            <w:r>
              <w:t>first</w:t>
            </w:r>
            <w:r w:rsidR="006C6F09">
              <w:t xml:space="preserve"> </w:t>
            </w:r>
            <w:r>
              <w:t>renewed</w:t>
            </w:r>
            <w:r w:rsidR="006C6F09">
              <w:t xml:space="preserve"> </w:t>
            </w:r>
            <w:r>
              <w:t>NEPA</w:t>
            </w:r>
            <w:r w:rsidR="006C6F09">
              <w:t xml:space="preserve"> </w:t>
            </w:r>
            <w:r>
              <w:t>assignment</w:t>
            </w:r>
            <w:r w:rsidR="006C6F09">
              <w:t xml:space="preserve"> </w:t>
            </w:r>
            <w:r>
              <w:t>MOU</w:t>
            </w:r>
            <w:r w:rsidR="006C6F09">
              <w:t xml:space="preserve"> </w:t>
            </w:r>
            <w:r>
              <w:t>date</w:t>
            </w:r>
            <w:r w:rsidR="006C6F09">
              <w:t xml:space="preserve"> </w:t>
            </w:r>
            <w:r>
              <w:t>of</w:t>
            </w:r>
            <w:r w:rsidR="006C6F09">
              <w:t xml:space="preserve"> </w:t>
            </w:r>
            <w:r>
              <w:t>December</w:t>
            </w:r>
            <w:r w:rsidR="006C6F09">
              <w:t xml:space="preserve"> </w:t>
            </w:r>
            <w:r>
              <w:t>9,</w:t>
            </w:r>
            <w:r w:rsidR="006C6F09">
              <w:t xml:space="preserve"> </w:t>
            </w:r>
            <w:r>
              <w:t>2019.</w:t>
            </w:r>
          </w:p>
        </w:tc>
      </w:tr>
      <w:tr w:rsidR="00457754" w14:paraId="54CF048B" w14:textId="77777777" w:rsidTr="00263E76">
        <w:trPr>
          <w:cantSplit/>
        </w:trPr>
        <w:tc>
          <w:tcPr>
            <w:cnfStyle w:val="001000000000" w:firstRow="0" w:lastRow="0" w:firstColumn="1" w:lastColumn="0" w:oddVBand="0" w:evenVBand="0" w:oddHBand="0" w:evenHBand="0" w:firstRowFirstColumn="0" w:firstRowLastColumn="0" w:lastRowFirstColumn="0" w:lastRowLastColumn="0"/>
            <w:tcW w:w="1661" w:type="pct"/>
            <w:vAlign w:val="center"/>
          </w:tcPr>
          <w:p w14:paraId="4D869689" w14:textId="33E7380B" w:rsidR="00457754" w:rsidRPr="009D4C4D" w:rsidRDefault="00457754" w:rsidP="00263E76">
            <w:pPr>
              <w:rPr>
                <w:b w:val="0"/>
                <w:bCs w:val="0"/>
              </w:rPr>
            </w:pPr>
            <w:r>
              <w:rPr>
                <w:b w:val="0"/>
                <w:bCs w:val="0"/>
              </w:rPr>
              <w:t>May</w:t>
            </w:r>
            <w:r w:rsidR="006C6F09">
              <w:rPr>
                <w:b w:val="0"/>
                <w:bCs w:val="0"/>
              </w:rPr>
              <w:t xml:space="preserve"> </w:t>
            </w:r>
            <w:r>
              <w:rPr>
                <w:b w:val="0"/>
                <w:bCs w:val="0"/>
              </w:rPr>
              <w:t>2019</w:t>
            </w:r>
          </w:p>
        </w:tc>
        <w:tc>
          <w:tcPr>
            <w:tcW w:w="3339" w:type="pct"/>
          </w:tcPr>
          <w:p w14:paraId="3F49DE1C" w14:textId="5239A968" w:rsidR="00457754" w:rsidRDefault="00457754" w:rsidP="004D6950">
            <w:pPr>
              <w:cnfStyle w:val="000000000000" w:firstRow="0" w:lastRow="0" w:firstColumn="0" w:lastColumn="0" w:oddVBand="0" w:evenVBand="0" w:oddHBand="0" w:evenHBand="0" w:firstRowFirstColumn="0" w:firstRowLastColumn="0" w:lastRowFirstColumn="0" w:lastRowLastColumn="0"/>
            </w:pPr>
            <w:r>
              <w:t>Version</w:t>
            </w:r>
            <w:r w:rsidR="006C6F09">
              <w:t xml:space="preserve"> </w:t>
            </w:r>
            <w:r>
              <w:t>10</w:t>
            </w:r>
            <w:r w:rsidR="006C6F09">
              <w:t xml:space="preserve"> </w:t>
            </w:r>
          </w:p>
          <w:p w14:paraId="0FDAB7EF" w14:textId="3A826065"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Various</w:t>
            </w:r>
            <w:r w:rsidR="006C6F09">
              <w:t xml:space="preserve"> </w:t>
            </w:r>
            <w:r>
              <w:t>changes,</w:t>
            </w:r>
            <w:r w:rsidR="006C6F09">
              <w:t xml:space="preserve"> </w:t>
            </w:r>
            <w:r>
              <w:t>mostly</w:t>
            </w:r>
            <w:r w:rsidR="006C6F09">
              <w:t xml:space="preserve"> </w:t>
            </w:r>
            <w:r>
              <w:t>to</w:t>
            </w:r>
            <w:r w:rsidR="006C6F09">
              <w:t xml:space="preserve"> </w:t>
            </w:r>
            <w:r>
              <w:t>incorporate</w:t>
            </w:r>
            <w:r w:rsidR="006C6F09">
              <w:t xml:space="preserve"> </w:t>
            </w:r>
            <w:r>
              <w:t>changes</w:t>
            </w:r>
            <w:r w:rsidR="006C6F09">
              <w:t xml:space="preserve"> </w:t>
            </w:r>
            <w:r>
              <w:t>to</w:t>
            </w:r>
            <w:r w:rsidR="006C6F09">
              <w:t xml:space="preserve"> </w:t>
            </w:r>
            <w:r>
              <w:t>TxDOT’s</w:t>
            </w:r>
            <w:r w:rsidR="006C6F09">
              <w:t xml:space="preserve"> </w:t>
            </w:r>
            <w:r>
              <w:t>environmental</w:t>
            </w:r>
            <w:r w:rsidR="006C6F09">
              <w:t xml:space="preserve"> </w:t>
            </w:r>
            <w:r>
              <w:t>review</w:t>
            </w:r>
            <w:r w:rsidR="006C6F09">
              <w:t xml:space="preserve"> </w:t>
            </w:r>
            <w:r>
              <w:t>rules</w:t>
            </w:r>
            <w:r w:rsidR="006C6F09">
              <w:t xml:space="preserve"> </w:t>
            </w:r>
            <w:r>
              <w:t>(43</w:t>
            </w:r>
            <w:r w:rsidR="006C6F09">
              <w:t xml:space="preserve"> </w:t>
            </w:r>
            <w:r>
              <w:t>TAC</w:t>
            </w:r>
            <w:r w:rsidR="006C6F09">
              <w:t xml:space="preserve"> </w:t>
            </w:r>
            <w:r>
              <w:t>Chapter</w:t>
            </w:r>
            <w:r w:rsidR="006C6F09">
              <w:t xml:space="preserve"> </w:t>
            </w:r>
            <w:r>
              <w:t>2)</w:t>
            </w:r>
            <w:r w:rsidR="006C6F09">
              <w:t xml:space="preserve"> </w:t>
            </w:r>
            <w:r>
              <w:t>approved</w:t>
            </w:r>
            <w:r w:rsidR="006C6F09">
              <w:t xml:space="preserve"> </w:t>
            </w:r>
            <w:r>
              <w:t>by</w:t>
            </w:r>
            <w:r w:rsidR="006C6F09">
              <w:t xml:space="preserve"> </w:t>
            </w:r>
            <w:r>
              <w:t>the</w:t>
            </w:r>
            <w:r w:rsidR="006C6F09">
              <w:t xml:space="preserve"> </w:t>
            </w:r>
            <w:r>
              <w:t>Texas</w:t>
            </w:r>
            <w:r w:rsidR="006C6F09">
              <w:t xml:space="preserve"> </w:t>
            </w:r>
            <w:r>
              <w:t>Transportation</w:t>
            </w:r>
            <w:r w:rsidR="006C6F09">
              <w:t xml:space="preserve"> </w:t>
            </w:r>
            <w:r>
              <w:t>Commission</w:t>
            </w:r>
            <w:r w:rsidR="006C6F09">
              <w:t xml:space="preserve"> </w:t>
            </w:r>
            <w:r>
              <w:t>on</w:t>
            </w:r>
            <w:r w:rsidR="006C6F09">
              <w:t xml:space="preserve"> </w:t>
            </w:r>
            <w:r>
              <w:t>August</w:t>
            </w:r>
            <w:r w:rsidR="006C6F09">
              <w:t xml:space="preserve"> </w:t>
            </w:r>
            <w:r>
              <w:t>30,</w:t>
            </w:r>
            <w:r w:rsidR="006C6F09">
              <w:t xml:space="preserve"> </w:t>
            </w:r>
            <w:r>
              <w:t>2018.</w:t>
            </w:r>
          </w:p>
        </w:tc>
      </w:tr>
      <w:tr w:rsidR="00457754" w14:paraId="63EF9E8D"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24EE3598" w14:textId="36B8CE12" w:rsidR="00457754" w:rsidRPr="009D4C4D" w:rsidRDefault="00457754" w:rsidP="00263E76">
            <w:pPr>
              <w:rPr>
                <w:b w:val="0"/>
                <w:bCs w:val="0"/>
              </w:rPr>
            </w:pPr>
            <w:r>
              <w:rPr>
                <w:b w:val="0"/>
                <w:bCs w:val="0"/>
              </w:rPr>
              <w:lastRenderedPageBreak/>
              <w:t>March</w:t>
            </w:r>
            <w:r w:rsidR="006C6F09">
              <w:rPr>
                <w:b w:val="0"/>
                <w:bCs w:val="0"/>
              </w:rPr>
              <w:t xml:space="preserve"> </w:t>
            </w:r>
            <w:r>
              <w:rPr>
                <w:b w:val="0"/>
                <w:bCs w:val="0"/>
              </w:rPr>
              <w:t>2018</w:t>
            </w:r>
          </w:p>
        </w:tc>
        <w:tc>
          <w:tcPr>
            <w:tcW w:w="3339" w:type="pct"/>
            <w:shd w:val="clear" w:color="auto" w:fill="DADEE5"/>
          </w:tcPr>
          <w:p w14:paraId="618ACDAD" w14:textId="562C46C2" w:rsidR="00457754" w:rsidRDefault="00457754" w:rsidP="004D695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Version</w:t>
            </w:r>
            <w:r w:rsidR="006C6F09">
              <w:t xml:space="preserve"> </w:t>
            </w:r>
            <w:r>
              <w:t>9</w:t>
            </w:r>
            <w:r w:rsidR="006C6F09">
              <w:t xml:space="preserve"> </w:t>
            </w:r>
          </w:p>
          <w:p w14:paraId="25014E4D" w14:textId="67C410A9"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Clarified</w:t>
            </w:r>
            <w:r w:rsidR="006C6F09">
              <w:t xml:space="preserve"> </w:t>
            </w:r>
            <w:r>
              <w:t>in</w:t>
            </w:r>
            <w:r w:rsidR="006C6F09">
              <w:t xml:space="preserve"> </w:t>
            </w:r>
            <w:r>
              <w:t>Sections</w:t>
            </w:r>
            <w:r w:rsidR="006C6F09">
              <w:t xml:space="preserve"> </w:t>
            </w:r>
            <w:r>
              <w:t>3.2</w:t>
            </w:r>
            <w:r w:rsidR="006C6F09">
              <w:t xml:space="preserve"> </w:t>
            </w:r>
            <w:r>
              <w:t>and</w:t>
            </w:r>
            <w:r w:rsidR="006C6F09">
              <w:t xml:space="preserve"> </w:t>
            </w:r>
            <w:r>
              <w:t>14.1</w:t>
            </w:r>
            <w:r w:rsidR="006C6F09">
              <w:t xml:space="preserve"> </w:t>
            </w:r>
            <w:r>
              <w:t>that</w:t>
            </w:r>
            <w:r w:rsidR="006C6F09">
              <w:t xml:space="preserve"> </w:t>
            </w:r>
            <w:r>
              <w:t>letters</w:t>
            </w:r>
            <w:r w:rsidR="006C6F09">
              <w:t xml:space="preserve"> </w:t>
            </w:r>
            <w:r>
              <w:t>used</w:t>
            </w:r>
            <w:r w:rsidR="006C6F09">
              <w:t xml:space="preserve"> </w:t>
            </w:r>
            <w:r>
              <w:t>to</w:t>
            </w:r>
            <w:r w:rsidR="006C6F09">
              <w:t xml:space="preserve"> </w:t>
            </w:r>
            <w:r>
              <w:t>conduct</w:t>
            </w:r>
            <w:r w:rsidR="006C6F09">
              <w:t xml:space="preserve"> </w:t>
            </w:r>
            <w:r>
              <w:t>MAPOs</w:t>
            </w:r>
            <w:r w:rsidR="006C6F09">
              <w:t xml:space="preserve"> </w:t>
            </w:r>
            <w:r>
              <w:t>may</w:t>
            </w:r>
            <w:r w:rsidR="006C6F09">
              <w:t xml:space="preserve"> </w:t>
            </w:r>
            <w:r>
              <w:t>be</w:t>
            </w:r>
            <w:r w:rsidR="006C6F09">
              <w:t xml:space="preserve"> </w:t>
            </w:r>
            <w:r>
              <w:t>certified</w:t>
            </w:r>
            <w:r w:rsidR="006C6F09">
              <w:t xml:space="preserve"> </w:t>
            </w:r>
            <w:r>
              <w:t>or</w:t>
            </w:r>
            <w:r w:rsidR="006C6F09">
              <w:t xml:space="preserve"> </w:t>
            </w:r>
            <w:r>
              <w:t>non-certified</w:t>
            </w:r>
          </w:p>
          <w:p w14:paraId="3E259B64" w14:textId="4FCB9827"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Moved</w:t>
            </w:r>
            <w:r w:rsidR="006C6F09">
              <w:t xml:space="preserve"> </w:t>
            </w:r>
            <w:r>
              <w:t>“substantial</w:t>
            </w:r>
            <w:r w:rsidR="006C6F09">
              <w:t xml:space="preserve"> </w:t>
            </w:r>
            <w:r>
              <w:t>change</w:t>
            </w:r>
            <w:r w:rsidR="006C6F09">
              <w:t xml:space="preserve"> </w:t>
            </w:r>
            <w:r>
              <w:t>in</w:t>
            </w:r>
            <w:r w:rsidR="006C6F09">
              <w:t xml:space="preserve"> </w:t>
            </w:r>
            <w:r>
              <w:t>layout</w:t>
            </w:r>
            <w:r w:rsidR="006C6F09">
              <w:t xml:space="preserve"> </w:t>
            </w:r>
            <w:r>
              <w:t>or</w:t>
            </w:r>
            <w:r w:rsidR="006C6F09">
              <w:t xml:space="preserve"> </w:t>
            </w:r>
            <w:r>
              <w:t>function”</w:t>
            </w:r>
            <w:r w:rsidR="006C6F09">
              <w:t xml:space="preserve"> </w:t>
            </w:r>
            <w:r>
              <w:t>trigger</w:t>
            </w:r>
            <w:r w:rsidR="006C6F09">
              <w:t xml:space="preserve"> </w:t>
            </w:r>
            <w:r>
              <w:t>from</w:t>
            </w:r>
            <w:r w:rsidR="006C6F09">
              <w:t xml:space="preserve"> </w:t>
            </w:r>
            <w:r>
              <w:t>Section</w:t>
            </w:r>
            <w:r w:rsidR="006C6F09">
              <w:t xml:space="preserve"> </w:t>
            </w:r>
            <w:r>
              <w:t>5.1</w:t>
            </w:r>
            <w:r w:rsidR="006C6F09">
              <w:t xml:space="preserve"> </w:t>
            </w:r>
            <w:r>
              <w:t>(regarding</w:t>
            </w:r>
            <w:r w:rsidR="006C6F09">
              <w:t xml:space="preserve"> </w:t>
            </w:r>
            <w:r>
              <w:t>opportunities</w:t>
            </w:r>
            <w:r w:rsidR="006C6F09">
              <w:t xml:space="preserve"> </w:t>
            </w:r>
            <w:r>
              <w:t>for</w:t>
            </w:r>
            <w:r w:rsidR="006C6F09">
              <w:t xml:space="preserve"> </w:t>
            </w:r>
            <w:r>
              <w:t>public</w:t>
            </w:r>
            <w:r w:rsidR="006C6F09">
              <w:t xml:space="preserve"> </w:t>
            </w:r>
            <w:r>
              <w:t>hearing)</w:t>
            </w:r>
            <w:r w:rsidR="006C6F09">
              <w:t xml:space="preserve"> </w:t>
            </w:r>
            <w:r>
              <w:t>to</w:t>
            </w:r>
            <w:r w:rsidR="006C6F09">
              <w:t xml:space="preserve"> </w:t>
            </w:r>
            <w:r>
              <w:t>Section</w:t>
            </w:r>
            <w:r w:rsidR="006C6F09">
              <w:t xml:space="preserve"> </w:t>
            </w:r>
            <w:r>
              <w:t>6.0</w:t>
            </w:r>
            <w:r w:rsidR="006C6F09">
              <w:t xml:space="preserve"> </w:t>
            </w:r>
            <w:r>
              <w:t>(regarding</w:t>
            </w:r>
            <w:r w:rsidR="006C6F09">
              <w:t xml:space="preserve"> </w:t>
            </w:r>
            <w:r>
              <w:t>public</w:t>
            </w:r>
            <w:r w:rsidR="006C6F09">
              <w:t xml:space="preserve"> </w:t>
            </w:r>
            <w:r>
              <w:t>hearings)</w:t>
            </w:r>
            <w:r w:rsidR="006C6F09">
              <w:t xml:space="preserve"> </w:t>
            </w:r>
            <w:r>
              <w:t>to</w:t>
            </w:r>
            <w:r w:rsidR="006C6F09">
              <w:t xml:space="preserve"> </w:t>
            </w:r>
            <w:r>
              <w:t>implement</w:t>
            </w:r>
            <w:r w:rsidR="006C6F09">
              <w:t xml:space="preserve"> </w:t>
            </w:r>
            <w:r>
              <w:t>newly</w:t>
            </w:r>
            <w:r w:rsidR="006C6F09">
              <w:t xml:space="preserve"> </w:t>
            </w:r>
            <w:r>
              <w:t>enacted</w:t>
            </w:r>
            <w:r w:rsidR="006C6F09">
              <w:t xml:space="preserve"> </w:t>
            </w:r>
            <w:r>
              <w:t>Transportation</w:t>
            </w:r>
            <w:r w:rsidR="006C6F09">
              <w:t xml:space="preserve"> </w:t>
            </w:r>
            <w:r>
              <w:t>Code,</w:t>
            </w:r>
            <w:r w:rsidR="006C6F09">
              <w:t xml:space="preserve"> </w:t>
            </w:r>
            <w:r>
              <w:t>§203.033,</w:t>
            </w:r>
            <w:r w:rsidR="006C6F09">
              <w:t xml:space="preserve"> </w:t>
            </w:r>
            <w:r>
              <w:t>and</w:t>
            </w:r>
            <w:r w:rsidR="006C6F09">
              <w:t xml:space="preserve"> </w:t>
            </w:r>
            <w:r>
              <w:t>added</w:t>
            </w:r>
            <w:r w:rsidR="006C6F09">
              <w:t xml:space="preserve"> </w:t>
            </w:r>
            <w:r>
              <w:t>guidance</w:t>
            </w:r>
            <w:r w:rsidR="006C6F09">
              <w:t xml:space="preserve"> </w:t>
            </w:r>
            <w:r>
              <w:t>in</w:t>
            </w:r>
            <w:r w:rsidR="006C6F09">
              <w:t xml:space="preserve"> </w:t>
            </w:r>
            <w:r>
              <w:t>Section</w:t>
            </w:r>
            <w:r w:rsidR="006C6F09">
              <w:t xml:space="preserve"> </w:t>
            </w:r>
            <w:r>
              <w:t>6.0</w:t>
            </w:r>
            <w:r w:rsidR="006C6F09">
              <w:t xml:space="preserve"> </w:t>
            </w:r>
            <w:r>
              <w:t>regarding</w:t>
            </w:r>
            <w:r w:rsidR="006C6F09">
              <w:t xml:space="preserve"> </w:t>
            </w:r>
            <w:r>
              <w:t>“substantial</w:t>
            </w:r>
            <w:r w:rsidR="006C6F09">
              <w:t xml:space="preserve"> </w:t>
            </w:r>
            <w:r>
              <w:t>change</w:t>
            </w:r>
            <w:r w:rsidR="006C6F09">
              <w:t xml:space="preserve"> </w:t>
            </w:r>
            <w:r>
              <w:t>in</w:t>
            </w:r>
            <w:r w:rsidR="006C6F09">
              <w:t xml:space="preserve"> </w:t>
            </w:r>
            <w:r>
              <w:t>layout</w:t>
            </w:r>
            <w:r w:rsidR="006C6F09">
              <w:t xml:space="preserve"> </w:t>
            </w:r>
            <w:r>
              <w:t>or</w:t>
            </w:r>
            <w:r w:rsidR="006C6F09">
              <w:t xml:space="preserve"> </w:t>
            </w:r>
            <w:r>
              <w:t>function,”</w:t>
            </w:r>
            <w:r w:rsidR="006C6F09">
              <w:t xml:space="preserve"> </w:t>
            </w:r>
            <w:r>
              <w:t>including</w:t>
            </w:r>
            <w:r w:rsidR="006C6F09">
              <w:t xml:space="preserve"> </w:t>
            </w:r>
            <w:r>
              <w:t>the</w:t>
            </w:r>
            <w:r w:rsidR="006C6F09">
              <w:t xml:space="preserve"> </w:t>
            </w:r>
            <w:r>
              <w:t>addition</w:t>
            </w:r>
            <w:r w:rsidR="006C6F09">
              <w:t xml:space="preserve"> </w:t>
            </w:r>
            <w:r>
              <w:t>of</w:t>
            </w:r>
            <w:r w:rsidR="006C6F09">
              <w:t xml:space="preserve"> </w:t>
            </w:r>
            <w:r>
              <w:t>a</w:t>
            </w:r>
            <w:r w:rsidR="006C6F09">
              <w:t xml:space="preserve"> </w:t>
            </w:r>
            <w:r>
              <w:t>bicycle</w:t>
            </w:r>
            <w:r w:rsidR="006C6F09">
              <w:t xml:space="preserve"> </w:t>
            </w:r>
            <w:r>
              <w:t>lane</w:t>
            </w:r>
          </w:p>
          <w:p w14:paraId="43C726BE" w14:textId="4A6C16D1"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Revised</w:t>
            </w:r>
            <w:r w:rsidR="006C6F09">
              <w:t xml:space="preserve"> </w:t>
            </w:r>
            <w:r>
              <w:t>Section</w:t>
            </w:r>
            <w:r w:rsidR="006C6F09">
              <w:t xml:space="preserve"> </w:t>
            </w:r>
            <w:r>
              <w:t>5.1</w:t>
            </w:r>
            <w:r w:rsidR="006C6F09">
              <w:t xml:space="preserve"> </w:t>
            </w:r>
            <w:r>
              <w:t>to</w:t>
            </w:r>
            <w:r w:rsidR="006C6F09">
              <w:t xml:space="preserve"> </w:t>
            </w:r>
            <w:r>
              <w:t>clarify</w:t>
            </w:r>
            <w:r w:rsidR="006C6F09">
              <w:t xml:space="preserve"> </w:t>
            </w:r>
            <w:r>
              <w:t>that</w:t>
            </w:r>
            <w:r w:rsidR="006C6F09">
              <w:t xml:space="preserve"> </w:t>
            </w:r>
            <w:r>
              <w:t>“added</w:t>
            </w:r>
            <w:r w:rsidR="006C6F09">
              <w:t xml:space="preserve"> </w:t>
            </w:r>
            <w:r>
              <w:t>capacity,”</w:t>
            </w:r>
            <w:r w:rsidR="006C6F09">
              <w:t xml:space="preserve"> </w:t>
            </w:r>
            <w:r>
              <w:t>rather</w:t>
            </w:r>
            <w:r w:rsidR="006C6F09">
              <w:t xml:space="preserve"> </w:t>
            </w:r>
            <w:r>
              <w:t>than</w:t>
            </w:r>
            <w:r w:rsidR="006C6F09">
              <w:t xml:space="preserve"> </w:t>
            </w:r>
            <w:r>
              <w:t>“addition</w:t>
            </w:r>
            <w:r w:rsidR="006C6F09">
              <w:t xml:space="preserve"> </w:t>
            </w:r>
            <w:r>
              <w:t>of</w:t>
            </w:r>
            <w:r w:rsidR="006C6F09">
              <w:t xml:space="preserve"> </w:t>
            </w:r>
            <w:r>
              <w:t>one</w:t>
            </w:r>
            <w:r w:rsidR="006C6F09">
              <w:t xml:space="preserve"> </w:t>
            </w:r>
            <w:r>
              <w:t>or</w:t>
            </w:r>
            <w:r w:rsidR="006C6F09">
              <w:t xml:space="preserve"> </w:t>
            </w:r>
            <w:r>
              <w:t>more</w:t>
            </w:r>
            <w:r w:rsidR="006C6F09">
              <w:t xml:space="preserve"> </w:t>
            </w:r>
            <w:r>
              <w:t>vehicular</w:t>
            </w:r>
            <w:r w:rsidR="006C6F09">
              <w:t xml:space="preserve"> </w:t>
            </w:r>
            <w:r>
              <w:t>lanes,”</w:t>
            </w:r>
            <w:r w:rsidR="006C6F09">
              <w:t xml:space="preserve"> </w:t>
            </w:r>
            <w:r>
              <w:t>is</w:t>
            </w:r>
            <w:r w:rsidR="006C6F09">
              <w:t xml:space="preserve"> </w:t>
            </w:r>
            <w:r>
              <w:t>one</w:t>
            </w:r>
            <w:r w:rsidR="006C6F09">
              <w:t xml:space="preserve"> </w:t>
            </w:r>
            <w:r>
              <w:t>of</w:t>
            </w:r>
            <w:r w:rsidR="006C6F09">
              <w:t xml:space="preserve"> </w:t>
            </w:r>
            <w:r>
              <w:t>the</w:t>
            </w:r>
            <w:r w:rsidR="006C6F09">
              <w:t xml:space="preserve"> </w:t>
            </w:r>
            <w:r>
              <w:t>pre-requisites</w:t>
            </w:r>
            <w:r w:rsidR="006C6F09">
              <w:t xml:space="preserve"> </w:t>
            </w:r>
            <w:r>
              <w:t>for</w:t>
            </w:r>
            <w:r w:rsidR="006C6F09">
              <w:t xml:space="preserve"> </w:t>
            </w:r>
            <w:r>
              <w:t>the</w:t>
            </w:r>
            <w:r w:rsidR="006C6F09">
              <w:t xml:space="preserve"> </w:t>
            </w:r>
            <w:r>
              <w:t>requirement</w:t>
            </w:r>
            <w:r w:rsidR="006C6F09">
              <w:t xml:space="preserve"> </w:t>
            </w:r>
            <w:r>
              <w:t>of</w:t>
            </w:r>
            <w:r w:rsidR="006C6F09">
              <w:t xml:space="preserve"> </w:t>
            </w:r>
            <w:r>
              <w:t>an</w:t>
            </w:r>
            <w:r w:rsidR="006C6F09">
              <w:t xml:space="preserve"> </w:t>
            </w:r>
            <w:r>
              <w:t>additional</w:t>
            </w:r>
            <w:r w:rsidR="006C6F09">
              <w:t xml:space="preserve"> </w:t>
            </w:r>
            <w:r>
              <w:t>opportunity</w:t>
            </w:r>
            <w:r w:rsidR="006C6F09">
              <w:t xml:space="preserve"> </w:t>
            </w:r>
            <w:r>
              <w:t>for</w:t>
            </w:r>
            <w:r w:rsidR="006C6F09">
              <w:t xml:space="preserve"> </w:t>
            </w:r>
            <w:r>
              <w:t>public</w:t>
            </w:r>
            <w:r w:rsidR="006C6F09">
              <w:t xml:space="preserve"> </w:t>
            </w:r>
            <w:r>
              <w:t>hearing</w:t>
            </w:r>
            <w:r w:rsidR="006C6F09">
              <w:t xml:space="preserve"> </w:t>
            </w:r>
            <w:r>
              <w:t>under</w:t>
            </w:r>
            <w:r w:rsidR="006C6F09">
              <w:t xml:space="preserve"> </w:t>
            </w:r>
            <w:r>
              <w:t>certain</w:t>
            </w:r>
            <w:r w:rsidR="006C6F09">
              <w:t xml:space="preserve"> </w:t>
            </w:r>
            <w:r>
              <w:t>circumstances</w:t>
            </w:r>
          </w:p>
          <w:p w14:paraId="4A261194" w14:textId="372D42CB"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Revised</w:t>
            </w:r>
            <w:r w:rsidR="006C6F09">
              <w:t xml:space="preserve"> </w:t>
            </w:r>
            <w:r>
              <w:t>definition</w:t>
            </w:r>
            <w:r w:rsidR="006C6F09">
              <w:t xml:space="preserve"> </w:t>
            </w:r>
            <w:r>
              <w:t>of</w:t>
            </w:r>
            <w:r w:rsidR="006C6F09">
              <w:t xml:space="preserve"> </w:t>
            </w:r>
            <w:r>
              <w:t>new</w:t>
            </w:r>
            <w:r w:rsidR="006C6F09">
              <w:t xml:space="preserve"> </w:t>
            </w:r>
            <w:r>
              <w:t>location</w:t>
            </w:r>
            <w:r w:rsidR="006C6F09">
              <w:t xml:space="preserve"> </w:t>
            </w:r>
            <w:r>
              <w:t>highway</w:t>
            </w:r>
            <w:r w:rsidR="006C6F09">
              <w:t xml:space="preserve"> </w:t>
            </w:r>
            <w:r>
              <w:t>in</w:t>
            </w:r>
            <w:r w:rsidR="006C6F09">
              <w:t xml:space="preserve"> </w:t>
            </w:r>
            <w:r>
              <w:t>Section</w:t>
            </w:r>
            <w:r w:rsidR="006C6F09">
              <w:t xml:space="preserve"> </w:t>
            </w:r>
            <w:r>
              <w:t>6.0</w:t>
            </w:r>
          </w:p>
          <w:p w14:paraId="317D2A57" w14:textId="1E69FCCC"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Amended</w:t>
            </w:r>
            <w:r w:rsidR="006C6F09">
              <w:t xml:space="preserve"> </w:t>
            </w:r>
            <w:r>
              <w:t>Section</w:t>
            </w:r>
            <w:r w:rsidR="006C6F09">
              <w:t xml:space="preserve"> </w:t>
            </w:r>
            <w:r>
              <w:t>6.6</w:t>
            </w:r>
            <w:r w:rsidR="006C6F09">
              <w:t xml:space="preserve"> </w:t>
            </w:r>
            <w:r>
              <w:t>to</w:t>
            </w:r>
            <w:r w:rsidR="006C6F09">
              <w:t xml:space="preserve"> </w:t>
            </w:r>
            <w:r>
              <w:t>specify</w:t>
            </w:r>
            <w:r w:rsidR="006C6F09">
              <w:t xml:space="preserve"> </w:t>
            </w:r>
            <w:r>
              <w:t>that</w:t>
            </w:r>
            <w:r w:rsidR="006C6F09">
              <w:t xml:space="preserve"> </w:t>
            </w:r>
            <w:r>
              <w:t>any</w:t>
            </w:r>
            <w:r w:rsidR="006C6F09">
              <w:t xml:space="preserve"> </w:t>
            </w:r>
            <w:proofErr w:type="gramStart"/>
            <w:r>
              <w:t>advance</w:t>
            </w:r>
            <w:proofErr w:type="gramEnd"/>
            <w:r w:rsidR="006C6F09">
              <w:t xml:space="preserve"> </w:t>
            </w:r>
            <w:r>
              <w:t>ROW</w:t>
            </w:r>
            <w:r w:rsidR="006C6F09">
              <w:t xml:space="preserve"> </w:t>
            </w:r>
            <w:r>
              <w:t>acquisitions</w:t>
            </w:r>
            <w:r w:rsidR="006C6F09">
              <w:t xml:space="preserve"> </w:t>
            </w:r>
            <w:r>
              <w:t>are</w:t>
            </w:r>
            <w:r w:rsidR="006C6F09">
              <w:t xml:space="preserve"> </w:t>
            </w:r>
            <w:r>
              <w:t>disclosed</w:t>
            </w:r>
            <w:r w:rsidR="006C6F09">
              <w:t xml:space="preserve"> </w:t>
            </w:r>
            <w:r>
              <w:t>at</w:t>
            </w:r>
            <w:r w:rsidR="006C6F09">
              <w:t xml:space="preserve"> </w:t>
            </w:r>
            <w:r>
              <w:t>a</w:t>
            </w:r>
            <w:r w:rsidR="006C6F09">
              <w:t xml:space="preserve"> </w:t>
            </w:r>
            <w:r>
              <w:t>public</w:t>
            </w:r>
            <w:r w:rsidR="006C6F09">
              <w:t xml:space="preserve"> </w:t>
            </w:r>
            <w:r>
              <w:t>hearing</w:t>
            </w:r>
          </w:p>
          <w:p w14:paraId="29CE21B3" w14:textId="6FD39066"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Revised</w:t>
            </w:r>
            <w:r w:rsidR="006C6F09">
              <w:t xml:space="preserve"> </w:t>
            </w:r>
            <w:r>
              <w:t>language</w:t>
            </w:r>
            <w:r w:rsidR="006C6F09">
              <w:t xml:space="preserve"> </w:t>
            </w:r>
            <w:r>
              <w:t>describing</w:t>
            </w:r>
            <w:r w:rsidR="006C6F09">
              <w:t xml:space="preserve"> </w:t>
            </w:r>
            <w:r>
              <w:t>need</w:t>
            </w:r>
            <w:r w:rsidR="006C6F09">
              <w:t xml:space="preserve"> </w:t>
            </w:r>
            <w:r>
              <w:t>to</w:t>
            </w:r>
            <w:r w:rsidR="006C6F09">
              <w:t xml:space="preserve"> </w:t>
            </w:r>
            <w:r>
              <w:t>publish</w:t>
            </w:r>
            <w:r w:rsidR="006C6F09">
              <w:t xml:space="preserve"> </w:t>
            </w:r>
            <w:r>
              <w:t>in</w:t>
            </w:r>
            <w:r w:rsidR="006C6F09">
              <w:t xml:space="preserve"> </w:t>
            </w:r>
            <w:r>
              <w:t>language</w:t>
            </w:r>
            <w:r w:rsidR="006C6F09">
              <w:t xml:space="preserve"> </w:t>
            </w:r>
            <w:r>
              <w:t>other</w:t>
            </w:r>
            <w:r w:rsidR="006C6F09">
              <w:t xml:space="preserve"> </w:t>
            </w:r>
            <w:r>
              <w:t>than</w:t>
            </w:r>
            <w:r w:rsidR="006C6F09">
              <w:t xml:space="preserve"> </w:t>
            </w:r>
            <w:r>
              <w:t>English</w:t>
            </w:r>
            <w:r w:rsidR="006C6F09">
              <w:t xml:space="preserve"> </w:t>
            </w:r>
            <w:r>
              <w:t>in</w:t>
            </w:r>
            <w:r w:rsidR="006C6F09">
              <w:t xml:space="preserve"> </w:t>
            </w:r>
            <w:r>
              <w:t>certain</w:t>
            </w:r>
            <w:r w:rsidR="006C6F09">
              <w:t xml:space="preserve"> </w:t>
            </w:r>
            <w:r>
              <w:t>situations</w:t>
            </w:r>
          </w:p>
        </w:tc>
      </w:tr>
      <w:tr w:rsidR="00457754" w14:paraId="363D05F7" w14:textId="77777777" w:rsidTr="00263E76">
        <w:trPr>
          <w:cantSplit/>
        </w:trPr>
        <w:tc>
          <w:tcPr>
            <w:cnfStyle w:val="001000000000" w:firstRow="0" w:lastRow="0" w:firstColumn="1" w:lastColumn="0" w:oddVBand="0" w:evenVBand="0" w:oddHBand="0" w:evenHBand="0" w:firstRowFirstColumn="0" w:firstRowLastColumn="0" w:lastRowFirstColumn="0" w:lastRowLastColumn="0"/>
            <w:tcW w:w="1661" w:type="pct"/>
            <w:vAlign w:val="center"/>
          </w:tcPr>
          <w:p w14:paraId="7AA26ED8" w14:textId="225798E2" w:rsidR="00457754" w:rsidRPr="009D4C4D" w:rsidRDefault="00457754" w:rsidP="00263E76">
            <w:pPr>
              <w:rPr>
                <w:b w:val="0"/>
                <w:bCs w:val="0"/>
              </w:rPr>
            </w:pPr>
            <w:r>
              <w:rPr>
                <w:b w:val="0"/>
                <w:bCs w:val="0"/>
              </w:rPr>
              <w:lastRenderedPageBreak/>
              <w:t>January</w:t>
            </w:r>
            <w:r w:rsidR="006C6F09">
              <w:rPr>
                <w:b w:val="0"/>
                <w:bCs w:val="0"/>
              </w:rPr>
              <w:t xml:space="preserve"> </w:t>
            </w:r>
            <w:r>
              <w:rPr>
                <w:b w:val="0"/>
                <w:bCs w:val="0"/>
              </w:rPr>
              <w:t>2018</w:t>
            </w:r>
          </w:p>
        </w:tc>
        <w:tc>
          <w:tcPr>
            <w:tcW w:w="3339" w:type="pct"/>
          </w:tcPr>
          <w:p w14:paraId="44835CB0" w14:textId="73A549FB" w:rsidR="00457754" w:rsidRDefault="00457754" w:rsidP="004D6950">
            <w:pPr>
              <w:cnfStyle w:val="000000000000" w:firstRow="0" w:lastRow="0" w:firstColumn="0" w:lastColumn="0" w:oddVBand="0" w:evenVBand="0" w:oddHBand="0" w:evenHBand="0" w:firstRowFirstColumn="0" w:firstRowLastColumn="0" w:lastRowFirstColumn="0" w:lastRowLastColumn="0"/>
            </w:pPr>
            <w:r>
              <w:t>Version</w:t>
            </w:r>
            <w:r w:rsidR="006C6F09">
              <w:t xml:space="preserve"> </w:t>
            </w:r>
            <w:r>
              <w:t>8</w:t>
            </w:r>
            <w:r w:rsidR="006C6F09">
              <w:t xml:space="preserve"> </w:t>
            </w:r>
          </w:p>
          <w:p w14:paraId="7E87AE77" w14:textId="62CC4BB6"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Updated</w:t>
            </w:r>
            <w:r w:rsidR="006C6F09">
              <w:t xml:space="preserve"> </w:t>
            </w:r>
            <w:r>
              <w:t>section</w:t>
            </w:r>
            <w:r w:rsidR="006C6F09">
              <w:t xml:space="preserve"> </w:t>
            </w:r>
            <w:r>
              <w:t>9.2</w:t>
            </w:r>
            <w:r w:rsidR="006C6F09">
              <w:t xml:space="preserve"> </w:t>
            </w:r>
            <w:r>
              <w:t>to</w:t>
            </w:r>
            <w:r w:rsidR="006C6F09">
              <w:t xml:space="preserve"> </w:t>
            </w:r>
            <w:r>
              <w:t>specify</w:t>
            </w:r>
            <w:r w:rsidR="006C6F09">
              <w:t xml:space="preserve"> </w:t>
            </w:r>
            <w:r>
              <w:t>when</w:t>
            </w:r>
            <w:r w:rsidR="006C6F09">
              <w:t xml:space="preserve"> </w:t>
            </w:r>
            <w:r>
              <w:t>to</w:t>
            </w:r>
            <w:r w:rsidR="006C6F09">
              <w:t xml:space="preserve"> </w:t>
            </w:r>
            <w:r>
              <w:t>use</w:t>
            </w:r>
            <w:r w:rsidR="006C6F09">
              <w:t xml:space="preserve"> </w:t>
            </w:r>
            <w:r>
              <w:t>the</w:t>
            </w:r>
            <w:r w:rsidR="006C6F09">
              <w:t xml:space="preserve"> </w:t>
            </w:r>
            <w:r>
              <w:t>two</w:t>
            </w:r>
            <w:r w:rsidR="006C6F09">
              <w:t xml:space="preserve"> </w:t>
            </w:r>
            <w:r>
              <w:t>separate</w:t>
            </w:r>
            <w:r w:rsidR="006C6F09">
              <w:t xml:space="preserve"> </w:t>
            </w:r>
            <w:r>
              <w:t>NOA</w:t>
            </w:r>
            <w:r w:rsidR="006C6F09">
              <w:t xml:space="preserve"> </w:t>
            </w:r>
            <w:r>
              <w:t>templates</w:t>
            </w:r>
            <w:r w:rsidR="006C6F09">
              <w:t xml:space="preserve"> </w:t>
            </w:r>
            <w:r>
              <w:t>developed</w:t>
            </w:r>
            <w:r w:rsidR="006C6F09">
              <w:t xml:space="preserve"> </w:t>
            </w:r>
            <w:r>
              <w:t>for</w:t>
            </w:r>
            <w:r w:rsidR="006C6F09">
              <w:t xml:space="preserve"> </w:t>
            </w:r>
            <w:r>
              <w:t>a</w:t>
            </w:r>
            <w:r w:rsidR="006C6F09">
              <w:t xml:space="preserve"> </w:t>
            </w:r>
            <w:r>
              <w:t>final</w:t>
            </w:r>
            <w:r w:rsidR="006C6F09">
              <w:t xml:space="preserve"> </w:t>
            </w:r>
            <w:r>
              <w:t>EA</w:t>
            </w:r>
            <w:r w:rsidR="006C6F09">
              <w:t xml:space="preserve"> </w:t>
            </w:r>
            <w:r>
              <w:t>and</w:t>
            </w:r>
            <w:r w:rsidR="006C6F09">
              <w:t xml:space="preserve"> </w:t>
            </w:r>
            <w:r>
              <w:t>a</w:t>
            </w:r>
            <w:r w:rsidR="006C6F09">
              <w:t xml:space="preserve"> </w:t>
            </w:r>
            <w:r>
              <w:t>FONSI:</w:t>
            </w:r>
          </w:p>
        </w:tc>
      </w:tr>
      <w:tr w:rsidR="00457754" w14:paraId="27CB2EA3"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5E1A9C96" w14:textId="5281603B" w:rsidR="00457754" w:rsidRPr="009E34DA" w:rsidRDefault="00457754" w:rsidP="00263E76">
            <w:pPr>
              <w:rPr>
                <w:b w:val="0"/>
                <w:bCs w:val="0"/>
              </w:rPr>
            </w:pPr>
            <w:r w:rsidRPr="009E34DA">
              <w:rPr>
                <w:b w:val="0"/>
                <w:bCs w:val="0"/>
              </w:rPr>
              <w:t>October</w:t>
            </w:r>
            <w:r w:rsidR="006C6F09">
              <w:rPr>
                <w:b w:val="0"/>
                <w:bCs w:val="0"/>
              </w:rPr>
              <w:t xml:space="preserve"> </w:t>
            </w:r>
            <w:r w:rsidRPr="009E34DA">
              <w:rPr>
                <w:b w:val="0"/>
                <w:bCs w:val="0"/>
              </w:rPr>
              <w:t>2017</w:t>
            </w:r>
          </w:p>
        </w:tc>
        <w:tc>
          <w:tcPr>
            <w:tcW w:w="3339" w:type="pct"/>
            <w:shd w:val="clear" w:color="auto" w:fill="DADEE5"/>
          </w:tcPr>
          <w:p w14:paraId="3DF607C0" w14:textId="14FB0462" w:rsidR="00457754" w:rsidRDefault="00457754" w:rsidP="004D6950">
            <w:pPr>
              <w:cnfStyle w:val="000000100000" w:firstRow="0" w:lastRow="0" w:firstColumn="0" w:lastColumn="0" w:oddVBand="0" w:evenVBand="0" w:oddHBand="1" w:evenHBand="0" w:firstRowFirstColumn="0" w:firstRowLastColumn="0" w:lastRowFirstColumn="0" w:lastRowLastColumn="0"/>
            </w:pPr>
            <w:r>
              <w:t>Version</w:t>
            </w:r>
            <w:r w:rsidR="006C6F09">
              <w:t xml:space="preserve"> </w:t>
            </w:r>
            <w:r>
              <w:t>7</w:t>
            </w:r>
            <w:r w:rsidR="006C6F09">
              <w:t xml:space="preserve"> </w:t>
            </w:r>
          </w:p>
          <w:p w14:paraId="229421C0" w14:textId="3E650E32"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Clarified</w:t>
            </w:r>
            <w:r w:rsidR="006C6F09">
              <w:t xml:space="preserve"> </w:t>
            </w:r>
            <w:r>
              <w:t>notification</w:t>
            </w:r>
            <w:r w:rsidR="006C6F09">
              <w:t xml:space="preserve"> </w:t>
            </w:r>
            <w:r>
              <w:t>requirements</w:t>
            </w:r>
            <w:r w:rsidR="006C6F09">
              <w:t xml:space="preserve"> </w:t>
            </w:r>
            <w:r>
              <w:t>in</w:t>
            </w:r>
            <w:r w:rsidR="006C6F09">
              <w:t xml:space="preserve"> </w:t>
            </w:r>
            <w:r>
              <w:t>Section</w:t>
            </w:r>
            <w:r w:rsidR="006C6F09">
              <w:t xml:space="preserve"> </w:t>
            </w:r>
            <w:r>
              <w:t>6.1</w:t>
            </w:r>
          </w:p>
          <w:p w14:paraId="27DF83CA" w14:textId="15B16578"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Included</w:t>
            </w:r>
            <w:r w:rsidR="006C6F09">
              <w:t xml:space="preserve"> </w:t>
            </w:r>
            <w:r>
              <w:t>reference</w:t>
            </w:r>
            <w:r w:rsidR="006C6F09">
              <w:t xml:space="preserve"> </w:t>
            </w:r>
            <w:r>
              <w:t>to</w:t>
            </w:r>
            <w:r w:rsidR="006C6F09">
              <w:t xml:space="preserve"> </w:t>
            </w:r>
            <w:r>
              <w:t>Section</w:t>
            </w:r>
            <w:r w:rsidR="006C6F09">
              <w:t xml:space="preserve"> </w:t>
            </w:r>
            <w:r>
              <w:t>9.0</w:t>
            </w:r>
            <w:r w:rsidR="006C6F09">
              <w:t xml:space="preserve"> </w:t>
            </w:r>
            <w:r>
              <w:t>in</w:t>
            </w:r>
            <w:r w:rsidR="006C6F09">
              <w:t xml:space="preserve"> </w:t>
            </w:r>
            <w:r>
              <w:t>section</w:t>
            </w:r>
            <w:r w:rsidR="006C6F09">
              <w:t xml:space="preserve"> </w:t>
            </w:r>
            <w:r>
              <w:t>9.2.</w:t>
            </w:r>
          </w:p>
          <w:p w14:paraId="44CFA956" w14:textId="7F22CB46"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Provided</w:t>
            </w:r>
            <w:r w:rsidR="006C6F09">
              <w:t xml:space="preserve"> </w:t>
            </w:r>
            <w:r>
              <w:t>additional</w:t>
            </w:r>
            <w:r w:rsidR="006C6F09">
              <w:t xml:space="preserve"> </w:t>
            </w:r>
            <w:r>
              <w:t>guidance</w:t>
            </w:r>
            <w:r w:rsidR="006C6F09">
              <w:t xml:space="preserve"> </w:t>
            </w:r>
            <w:r>
              <w:t>in</w:t>
            </w:r>
            <w:r w:rsidR="006C6F09">
              <w:t xml:space="preserve"> </w:t>
            </w:r>
            <w:r>
              <w:t>Section</w:t>
            </w:r>
            <w:r w:rsidR="006C6F09">
              <w:t xml:space="preserve"> </w:t>
            </w:r>
            <w:r>
              <w:t>9.2.</w:t>
            </w:r>
          </w:p>
          <w:p w14:paraId="6DA0109F" w14:textId="2BEF4DCE"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Revised</w:t>
            </w:r>
            <w:r w:rsidR="006C6F09">
              <w:t xml:space="preserve"> </w:t>
            </w:r>
            <w:r>
              <w:t>“should”</w:t>
            </w:r>
            <w:r w:rsidR="006C6F09">
              <w:t xml:space="preserve"> </w:t>
            </w:r>
            <w:r>
              <w:t>to</w:t>
            </w:r>
            <w:r w:rsidR="006C6F09">
              <w:t xml:space="preserve"> </w:t>
            </w:r>
            <w:r>
              <w:t>“must”</w:t>
            </w:r>
            <w:r w:rsidR="006C6F09">
              <w:t xml:space="preserve"> </w:t>
            </w:r>
            <w:r>
              <w:t>in</w:t>
            </w:r>
            <w:r w:rsidR="006C6F09">
              <w:t xml:space="preserve"> </w:t>
            </w:r>
            <w:r>
              <w:t>multiple</w:t>
            </w:r>
            <w:r w:rsidR="006C6F09">
              <w:t xml:space="preserve"> </w:t>
            </w:r>
            <w:r>
              <w:t>locations.</w:t>
            </w:r>
          </w:p>
          <w:p w14:paraId="30AA8F6F" w14:textId="37C439C0"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Requirements</w:t>
            </w:r>
            <w:r w:rsidR="006C6F09">
              <w:t xml:space="preserve"> </w:t>
            </w:r>
            <w:r>
              <w:t>for</w:t>
            </w:r>
            <w:r w:rsidR="006C6F09">
              <w:t xml:space="preserve"> </w:t>
            </w:r>
            <w:r>
              <w:t>a</w:t>
            </w:r>
            <w:r w:rsidR="006C6F09">
              <w:t xml:space="preserve"> </w:t>
            </w:r>
            <w:r>
              <w:t>court</w:t>
            </w:r>
            <w:r w:rsidR="006C6F09">
              <w:t xml:space="preserve"> </w:t>
            </w:r>
            <w:r>
              <w:t>reporter</w:t>
            </w:r>
            <w:r w:rsidR="006C6F09">
              <w:t xml:space="preserve"> </w:t>
            </w:r>
            <w:r>
              <w:t>updated</w:t>
            </w:r>
            <w:r w:rsidR="006C6F09">
              <w:t xml:space="preserve"> </w:t>
            </w:r>
            <w:r>
              <w:t>in</w:t>
            </w:r>
            <w:r w:rsidR="006C6F09">
              <w:t xml:space="preserve"> </w:t>
            </w:r>
            <w:r>
              <w:t>Section</w:t>
            </w:r>
            <w:r w:rsidR="006C6F09">
              <w:t xml:space="preserve"> </w:t>
            </w:r>
            <w:r>
              <w:t>6.5.</w:t>
            </w:r>
          </w:p>
          <w:p w14:paraId="1A4D6FEA" w14:textId="216E69A3"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t>“Verbatim”</w:t>
            </w:r>
            <w:r w:rsidR="006C6F09">
              <w:t xml:space="preserve"> </w:t>
            </w:r>
            <w:r>
              <w:t>as</w:t>
            </w:r>
            <w:r w:rsidR="006C6F09">
              <w:t xml:space="preserve"> </w:t>
            </w:r>
            <w:r>
              <w:t>related</w:t>
            </w:r>
            <w:r w:rsidR="006C6F09">
              <w:t xml:space="preserve"> </w:t>
            </w:r>
            <w:r>
              <w:t>to</w:t>
            </w:r>
            <w:r w:rsidR="006C6F09">
              <w:t xml:space="preserve"> </w:t>
            </w:r>
            <w:r>
              <w:t>transcripts</w:t>
            </w:r>
            <w:r w:rsidR="006C6F09">
              <w:t xml:space="preserve"> </w:t>
            </w:r>
            <w:r>
              <w:t>deleted</w:t>
            </w:r>
            <w:r w:rsidR="006C6F09">
              <w:t xml:space="preserve"> </w:t>
            </w:r>
            <w:r>
              <w:t>in</w:t>
            </w:r>
            <w:r w:rsidR="006C6F09">
              <w:t xml:space="preserve"> </w:t>
            </w:r>
            <w:r>
              <w:t>Sections</w:t>
            </w:r>
            <w:r w:rsidR="006C6F09">
              <w:t xml:space="preserve"> </w:t>
            </w:r>
            <w:r>
              <w:t>6.5,</w:t>
            </w:r>
            <w:r w:rsidR="006C6F09">
              <w:t xml:space="preserve"> </w:t>
            </w:r>
            <w:r>
              <w:t>6.8</w:t>
            </w:r>
            <w:r w:rsidR="006C6F09">
              <w:t xml:space="preserve"> </w:t>
            </w:r>
            <w:r>
              <w:t>and</w:t>
            </w:r>
            <w:r w:rsidR="006C6F09">
              <w:t xml:space="preserve"> </w:t>
            </w:r>
            <w:r>
              <w:t>14.4.</w:t>
            </w:r>
          </w:p>
        </w:tc>
      </w:tr>
      <w:tr w:rsidR="00457754" w14:paraId="2F5684E5" w14:textId="77777777" w:rsidTr="00263E76">
        <w:trPr>
          <w:cantSplit/>
        </w:trPr>
        <w:tc>
          <w:tcPr>
            <w:cnfStyle w:val="001000000000" w:firstRow="0" w:lastRow="0" w:firstColumn="1" w:lastColumn="0" w:oddVBand="0" w:evenVBand="0" w:oddHBand="0" w:evenHBand="0" w:firstRowFirstColumn="0" w:firstRowLastColumn="0" w:lastRowFirstColumn="0" w:lastRowLastColumn="0"/>
            <w:tcW w:w="1661" w:type="pct"/>
            <w:vAlign w:val="center"/>
          </w:tcPr>
          <w:p w14:paraId="38C8F9C2" w14:textId="23D76516" w:rsidR="00457754" w:rsidRPr="009E34DA" w:rsidRDefault="00457754" w:rsidP="00263E76">
            <w:pPr>
              <w:rPr>
                <w:b w:val="0"/>
                <w:bCs w:val="0"/>
              </w:rPr>
            </w:pPr>
            <w:r>
              <w:rPr>
                <w:b w:val="0"/>
                <w:bCs w:val="0"/>
              </w:rPr>
              <w:t>June</w:t>
            </w:r>
            <w:r w:rsidR="006C6F09">
              <w:rPr>
                <w:b w:val="0"/>
                <w:bCs w:val="0"/>
              </w:rPr>
              <w:t xml:space="preserve"> </w:t>
            </w:r>
            <w:r>
              <w:rPr>
                <w:b w:val="0"/>
                <w:bCs w:val="0"/>
              </w:rPr>
              <w:t>2017</w:t>
            </w:r>
          </w:p>
        </w:tc>
        <w:tc>
          <w:tcPr>
            <w:tcW w:w="3339" w:type="pct"/>
          </w:tcPr>
          <w:p w14:paraId="11225974" w14:textId="599C4208" w:rsidR="00457754" w:rsidRDefault="00457754" w:rsidP="004D6950">
            <w:pPr>
              <w:cnfStyle w:val="000000000000" w:firstRow="0" w:lastRow="0" w:firstColumn="0" w:lastColumn="0" w:oddVBand="0" w:evenVBand="0" w:oddHBand="0" w:evenHBand="0" w:firstRowFirstColumn="0" w:firstRowLastColumn="0" w:lastRowFirstColumn="0" w:lastRowLastColumn="0"/>
            </w:pPr>
            <w:r>
              <w:t>Version</w:t>
            </w:r>
            <w:r w:rsidR="006C6F09">
              <w:t xml:space="preserve"> </w:t>
            </w:r>
            <w:r>
              <w:t>6</w:t>
            </w:r>
            <w:r w:rsidR="006C6F09">
              <w:t xml:space="preserve"> </w:t>
            </w:r>
          </w:p>
          <w:p w14:paraId="6DCE5FAD" w14:textId="2383F370"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Revised</w:t>
            </w:r>
            <w:r w:rsidR="006C6F09">
              <w:t xml:space="preserve"> </w:t>
            </w:r>
            <w:r>
              <w:t>MAPO</w:t>
            </w:r>
            <w:r w:rsidR="006C6F09">
              <w:t xml:space="preserve"> </w:t>
            </w:r>
            <w:r>
              <w:t>documentation</w:t>
            </w:r>
            <w:r w:rsidR="006C6F09">
              <w:t xml:space="preserve"> </w:t>
            </w:r>
            <w:r>
              <w:t>requirement</w:t>
            </w:r>
            <w:r w:rsidR="006C6F09">
              <w:t xml:space="preserve"> </w:t>
            </w:r>
            <w:r>
              <w:t>to</w:t>
            </w:r>
            <w:r w:rsidR="006C6F09">
              <w:t xml:space="preserve"> </w:t>
            </w:r>
            <w:r>
              <w:t>indicate</w:t>
            </w:r>
            <w:r w:rsidR="006C6F09">
              <w:t xml:space="preserve"> </w:t>
            </w:r>
            <w:r>
              <w:t>form</w:t>
            </w:r>
            <w:r w:rsidR="006C6F09">
              <w:t xml:space="preserve"> </w:t>
            </w:r>
            <w:r>
              <w:t>may</w:t>
            </w:r>
            <w:r w:rsidR="006C6F09">
              <w:t xml:space="preserve"> </w:t>
            </w:r>
            <w:r>
              <w:t>be</w:t>
            </w:r>
            <w:r w:rsidR="006C6F09">
              <w:t xml:space="preserve"> </w:t>
            </w:r>
            <w:r>
              <w:t>used</w:t>
            </w:r>
            <w:r w:rsidR="006C6F09">
              <w:t xml:space="preserve"> </w:t>
            </w:r>
            <w:r>
              <w:t>but</w:t>
            </w:r>
            <w:r w:rsidR="006C6F09">
              <w:t xml:space="preserve"> </w:t>
            </w:r>
            <w:r>
              <w:t>is</w:t>
            </w:r>
            <w:r w:rsidR="006C6F09">
              <w:t xml:space="preserve"> </w:t>
            </w:r>
            <w:r>
              <w:t>no</w:t>
            </w:r>
            <w:r w:rsidR="006C6F09">
              <w:t xml:space="preserve"> </w:t>
            </w:r>
            <w:r>
              <w:t>longer</w:t>
            </w:r>
            <w:r w:rsidR="006C6F09">
              <w:t xml:space="preserve"> </w:t>
            </w:r>
            <w:r>
              <w:t>required.</w:t>
            </w:r>
          </w:p>
          <w:p w14:paraId="213953F4" w14:textId="33C98921"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Removed</w:t>
            </w:r>
            <w:r w:rsidR="006C6F09">
              <w:t xml:space="preserve"> </w:t>
            </w:r>
            <w:r>
              <w:t>the</w:t>
            </w:r>
            <w:r w:rsidR="006C6F09">
              <w:t xml:space="preserve"> </w:t>
            </w:r>
            <w:r>
              <w:t>reference</w:t>
            </w:r>
            <w:r w:rsidR="006C6F09">
              <w:t xml:space="preserve"> </w:t>
            </w:r>
            <w:r>
              <w:t>to</w:t>
            </w:r>
            <w:r w:rsidR="006C6F09">
              <w:t xml:space="preserve"> </w:t>
            </w:r>
            <w:r>
              <w:t>citizen(s)</w:t>
            </w:r>
            <w:r w:rsidR="006C6F09">
              <w:t xml:space="preserve"> </w:t>
            </w:r>
            <w:r>
              <w:t>in</w:t>
            </w:r>
            <w:r w:rsidR="006C6F09">
              <w:t xml:space="preserve"> </w:t>
            </w:r>
            <w:r>
              <w:t>compliance</w:t>
            </w:r>
            <w:r w:rsidR="006C6F09">
              <w:t xml:space="preserve"> </w:t>
            </w:r>
            <w:r>
              <w:t>with</w:t>
            </w:r>
            <w:r w:rsidR="006C6F09">
              <w:t xml:space="preserve"> </w:t>
            </w:r>
            <w:r>
              <w:t>Title</w:t>
            </w:r>
            <w:r w:rsidR="006C6F09">
              <w:t xml:space="preserve"> </w:t>
            </w:r>
            <w:r>
              <w:t>VI</w:t>
            </w:r>
            <w:r w:rsidR="006C6F09">
              <w:t xml:space="preserve"> </w:t>
            </w:r>
            <w:r>
              <w:t>of</w:t>
            </w:r>
            <w:r w:rsidR="006C6F09">
              <w:t xml:space="preserve"> </w:t>
            </w:r>
            <w:r>
              <w:t>the</w:t>
            </w:r>
            <w:r w:rsidR="006C6F09">
              <w:t xml:space="preserve"> </w:t>
            </w:r>
            <w:r>
              <w:t>Civil</w:t>
            </w:r>
            <w:r w:rsidR="006C6F09">
              <w:t xml:space="preserve"> </w:t>
            </w:r>
            <w:r>
              <w:t>Rights</w:t>
            </w:r>
            <w:r w:rsidR="006C6F09">
              <w:t xml:space="preserve"> </w:t>
            </w:r>
            <w:r>
              <w:t>Act</w:t>
            </w:r>
            <w:r w:rsidR="006C6F09">
              <w:t xml:space="preserve"> </w:t>
            </w:r>
            <w:r>
              <w:t>of</w:t>
            </w:r>
            <w:r w:rsidR="006C6F09">
              <w:t xml:space="preserve"> </w:t>
            </w:r>
            <w:r>
              <w:t>1964.</w:t>
            </w:r>
            <w:r w:rsidR="006C6F09">
              <w:t xml:space="preserve"> </w:t>
            </w:r>
            <w:r>
              <w:t>Replaced</w:t>
            </w:r>
            <w:r w:rsidR="006C6F09">
              <w:t xml:space="preserve"> </w:t>
            </w:r>
            <w:r>
              <w:t>“citizen”</w:t>
            </w:r>
            <w:r w:rsidR="006C6F09">
              <w:t xml:space="preserve"> </w:t>
            </w:r>
            <w:r>
              <w:t>with</w:t>
            </w:r>
            <w:r w:rsidR="006C6F09">
              <w:t xml:space="preserve"> </w:t>
            </w:r>
            <w:r>
              <w:t>“public”</w:t>
            </w:r>
            <w:r w:rsidR="006C6F09">
              <w:t xml:space="preserve"> </w:t>
            </w:r>
            <w:r>
              <w:t>or</w:t>
            </w:r>
            <w:r w:rsidR="006C6F09">
              <w:t xml:space="preserve"> </w:t>
            </w:r>
            <w:r>
              <w:t>“individual”</w:t>
            </w:r>
            <w:r w:rsidR="006C6F09">
              <w:t xml:space="preserve"> </w:t>
            </w:r>
            <w:r>
              <w:t>throughout.</w:t>
            </w:r>
          </w:p>
        </w:tc>
      </w:tr>
      <w:tr w:rsidR="00457754" w14:paraId="74C4134E"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25350316" w14:textId="559E7F85" w:rsidR="00457754" w:rsidRPr="009E34DA" w:rsidRDefault="00457754" w:rsidP="00263E76">
            <w:pPr>
              <w:rPr>
                <w:b w:val="0"/>
                <w:bCs w:val="0"/>
              </w:rPr>
            </w:pPr>
            <w:r>
              <w:rPr>
                <w:b w:val="0"/>
                <w:bCs w:val="0"/>
              </w:rPr>
              <w:lastRenderedPageBreak/>
              <w:t>May</w:t>
            </w:r>
            <w:r w:rsidR="006C6F09">
              <w:rPr>
                <w:b w:val="0"/>
                <w:bCs w:val="0"/>
              </w:rPr>
              <w:t xml:space="preserve"> </w:t>
            </w:r>
            <w:r>
              <w:rPr>
                <w:b w:val="0"/>
                <w:bCs w:val="0"/>
              </w:rPr>
              <w:t>2017</w:t>
            </w:r>
          </w:p>
        </w:tc>
        <w:tc>
          <w:tcPr>
            <w:tcW w:w="3339" w:type="pct"/>
            <w:shd w:val="clear" w:color="auto" w:fill="DADEE5"/>
          </w:tcPr>
          <w:p w14:paraId="7DC417D0" w14:textId="50E33A95" w:rsidR="00457754" w:rsidRDefault="00457754" w:rsidP="004D6950">
            <w:pPr>
              <w:cnfStyle w:val="000000100000" w:firstRow="0" w:lastRow="0" w:firstColumn="0" w:lastColumn="0" w:oddVBand="0" w:evenVBand="0" w:oddHBand="1" w:evenHBand="0" w:firstRowFirstColumn="0" w:firstRowLastColumn="0" w:lastRowFirstColumn="0" w:lastRowLastColumn="0"/>
            </w:pPr>
            <w:r>
              <w:t>Version</w:t>
            </w:r>
            <w:r w:rsidR="006C6F09">
              <w:t xml:space="preserve"> </w:t>
            </w:r>
            <w:r>
              <w:t>5</w:t>
            </w:r>
            <w:r w:rsidR="006C6F09">
              <w:t xml:space="preserve"> </w:t>
            </w:r>
          </w:p>
          <w:p w14:paraId="5CD50F98" w14:textId="1CAF378C" w:rsidR="00457754" w:rsidRDefault="00457754" w:rsidP="00263E76">
            <w:pPr>
              <w:pStyle w:val="ListBullet"/>
              <w:cnfStyle w:val="000000100000" w:firstRow="0" w:lastRow="0" w:firstColumn="0" w:lastColumn="0" w:oddVBand="0" w:evenVBand="0" w:oddHBand="1" w:evenHBand="0" w:firstRowFirstColumn="0" w:firstRowLastColumn="0" w:lastRowFirstColumn="0" w:lastRowLastColumn="0"/>
            </w:pPr>
            <w:r>
              <w:t>Revised</w:t>
            </w:r>
            <w:r w:rsidR="006C6F09">
              <w:t xml:space="preserve"> </w:t>
            </w:r>
            <w:r>
              <w:t>Section</w:t>
            </w:r>
            <w:r w:rsidR="006C6F09">
              <w:t xml:space="preserve"> </w:t>
            </w:r>
            <w:r>
              <w:t>9.0</w:t>
            </w:r>
            <w:r w:rsidR="006C6F09">
              <w:t xml:space="preserve"> </w:t>
            </w:r>
            <w:r>
              <w:t>to</w:t>
            </w:r>
            <w:r w:rsidR="006C6F09">
              <w:t xml:space="preserve"> </w:t>
            </w:r>
            <w:r>
              <w:t>clarify</w:t>
            </w:r>
            <w:r w:rsidR="006C6F09">
              <w:t xml:space="preserve"> </w:t>
            </w:r>
            <w:r>
              <w:t>the</w:t>
            </w:r>
            <w:r w:rsidR="006C6F09">
              <w:t xml:space="preserve"> </w:t>
            </w:r>
            <w:r>
              <w:t>requirements</w:t>
            </w:r>
            <w:r w:rsidR="006C6F09">
              <w:t xml:space="preserve"> </w:t>
            </w:r>
            <w:r>
              <w:t>pertaining</w:t>
            </w:r>
            <w:r w:rsidR="006C6F09">
              <w:t xml:space="preserve"> </w:t>
            </w:r>
            <w:r>
              <w:t>to</w:t>
            </w:r>
            <w:r w:rsidR="006C6F09">
              <w:t xml:space="preserve"> </w:t>
            </w:r>
            <w:r>
              <w:t>distribution</w:t>
            </w:r>
            <w:r w:rsidR="006C6F09">
              <w:t xml:space="preserve"> </w:t>
            </w:r>
            <w:r>
              <w:t>of</w:t>
            </w:r>
            <w:r w:rsidR="006C6F09">
              <w:t xml:space="preserve"> </w:t>
            </w:r>
            <w:r>
              <w:t>notices</w:t>
            </w:r>
            <w:r w:rsidR="006C6F09">
              <w:t xml:space="preserve"> </w:t>
            </w:r>
            <w:r>
              <w:t>of</w:t>
            </w:r>
            <w:r w:rsidR="006C6F09">
              <w:t xml:space="preserve"> </w:t>
            </w:r>
            <w:r>
              <w:t>availability</w:t>
            </w:r>
          </w:p>
        </w:tc>
      </w:tr>
      <w:tr w:rsidR="00457754" w14:paraId="7440AC2A" w14:textId="77777777" w:rsidTr="00263E76">
        <w:trPr>
          <w:cantSplit/>
        </w:trPr>
        <w:tc>
          <w:tcPr>
            <w:cnfStyle w:val="001000000000" w:firstRow="0" w:lastRow="0" w:firstColumn="1" w:lastColumn="0" w:oddVBand="0" w:evenVBand="0" w:oddHBand="0" w:evenHBand="0" w:firstRowFirstColumn="0" w:firstRowLastColumn="0" w:lastRowFirstColumn="0" w:lastRowLastColumn="0"/>
            <w:tcW w:w="1661" w:type="pct"/>
            <w:vAlign w:val="center"/>
          </w:tcPr>
          <w:p w14:paraId="2125966B" w14:textId="08F2BD0C" w:rsidR="00457754" w:rsidRPr="009E34DA" w:rsidRDefault="00457754" w:rsidP="00263E76">
            <w:pPr>
              <w:rPr>
                <w:b w:val="0"/>
                <w:bCs w:val="0"/>
              </w:rPr>
            </w:pPr>
            <w:r w:rsidRPr="009E34DA">
              <w:rPr>
                <w:b w:val="0"/>
                <w:bCs w:val="0"/>
              </w:rPr>
              <w:t>April</w:t>
            </w:r>
            <w:r w:rsidR="006C6F09">
              <w:rPr>
                <w:b w:val="0"/>
                <w:bCs w:val="0"/>
              </w:rPr>
              <w:t xml:space="preserve"> </w:t>
            </w:r>
            <w:r w:rsidRPr="009E34DA">
              <w:rPr>
                <w:b w:val="0"/>
                <w:bCs w:val="0"/>
              </w:rPr>
              <w:t>2017</w:t>
            </w:r>
          </w:p>
        </w:tc>
        <w:tc>
          <w:tcPr>
            <w:tcW w:w="3339" w:type="pct"/>
          </w:tcPr>
          <w:p w14:paraId="3A083CBF" w14:textId="52E0C8A4" w:rsidR="00457754" w:rsidRDefault="00457754" w:rsidP="004D6950">
            <w:pPr>
              <w:cnfStyle w:val="000000000000" w:firstRow="0" w:lastRow="0" w:firstColumn="0" w:lastColumn="0" w:oddVBand="0" w:evenVBand="0" w:oddHBand="0" w:evenHBand="0" w:firstRowFirstColumn="0" w:firstRowLastColumn="0" w:lastRowFirstColumn="0" w:lastRowLastColumn="0"/>
            </w:pPr>
            <w:r>
              <w:t>Version</w:t>
            </w:r>
            <w:r w:rsidR="006C6F09">
              <w:t xml:space="preserve"> </w:t>
            </w:r>
            <w:r>
              <w:t>4</w:t>
            </w:r>
            <w:r w:rsidR="006C6F09">
              <w:t xml:space="preserve"> </w:t>
            </w:r>
          </w:p>
          <w:p w14:paraId="690F35DD" w14:textId="04E1587B"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Updated</w:t>
            </w:r>
            <w:r w:rsidR="006C6F09">
              <w:t xml:space="preserve"> </w:t>
            </w:r>
            <w:r>
              <w:t>to</w:t>
            </w:r>
            <w:r w:rsidR="006C6F09">
              <w:t xml:space="preserve"> </w:t>
            </w:r>
            <w:r>
              <w:t>clarify</w:t>
            </w:r>
            <w:r w:rsidR="006C6F09">
              <w:t xml:space="preserve"> </w:t>
            </w:r>
            <w:r>
              <w:t>notification</w:t>
            </w:r>
            <w:r w:rsidR="006C6F09">
              <w:t xml:space="preserve"> </w:t>
            </w:r>
            <w:r>
              <w:t>methods</w:t>
            </w:r>
            <w:r w:rsidR="006C6F09">
              <w:t xml:space="preserve"> </w:t>
            </w:r>
            <w:r>
              <w:t>for</w:t>
            </w:r>
            <w:r w:rsidR="006C6F09">
              <w:t xml:space="preserve"> </w:t>
            </w:r>
            <w:r>
              <w:t>opportunity</w:t>
            </w:r>
            <w:r w:rsidR="006C6F09">
              <w:t xml:space="preserve"> </w:t>
            </w:r>
            <w:r>
              <w:t>for</w:t>
            </w:r>
            <w:r w:rsidR="006C6F09">
              <w:t xml:space="preserve"> </w:t>
            </w:r>
            <w:r>
              <w:t>a</w:t>
            </w:r>
            <w:r w:rsidR="006C6F09">
              <w:t xml:space="preserve"> </w:t>
            </w:r>
            <w:r>
              <w:t>public</w:t>
            </w:r>
            <w:r w:rsidR="006C6F09">
              <w:t xml:space="preserve"> </w:t>
            </w:r>
            <w:r>
              <w:t>hearing</w:t>
            </w:r>
            <w:r w:rsidR="006C6F09">
              <w:t xml:space="preserve"> </w:t>
            </w:r>
            <w:r>
              <w:t>and</w:t>
            </w:r>
            <w:r w:rsidR="006C6F09">
              <w:t xml:space="preserve"> </w:t>
            </w:r>
            <w:r>
              <w:t>public</w:t>
            </w:r>
            <w:r w:rsidR="006C6F09">
              <w:t xml:space="preserve"> </w:t>
            </w:r>
            <w:r>
              <w:t>hearings.</w:t>
            </w:r>
          </w:p>
          <w:p w14:paraId="07924E42" w14:textId="7F737F63"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Added</w:t>
            </w:r>
            <w:r w:rsidR="006C6F09">
              <w:t xml:space="preserve"> </w:t>
            </w:r>
            <w:proofErr w:type="gramStart"/>
            <w:r>
              <w:t>option</w:t>
            </w:r>
            <w:proofErr w:type="gramEnd"/>
            <w:r w:rsidR="006C6F09">
              <w:t xml:space="preserve"> </w:t>
            </w:r>
            <w:r>
              <w:t>to</w:t>
            </w:r>
            <w:r w:rsidR="006C6F09">
              <w:t xml:space="preserve"> </w:t>
            </w:r>
            <w:r>
              <w:t>allow</w:t>
            </w:r>
            <w:r w:rsidR="006C6F09">
              <w:t xml:space="preserve"> </w:t>
            </w:r>
            <w:r>
              <w:t>notices</w:t>
            </w:r>
            <w:r w:rsidR="006C6F09">
              <w:t xml:space="preserve"> </w:t>
            </w:r>
            <w:r>
              <w:t>to</w:t>
            </w:r>
            <w:r w:rsidR="006C6F09">
              <w:t xml:space="preserve"> </w:t>
            </w:r>
            <w:r>
              <w:t>local</w:t>
            </w:r>
            <w:r w:rsidR="006C6F09">
              <w:t xml:space="preserve"> </w:t>
            </w:r>
            <w:r>
              <w:t>governments</w:t>
            </w:r>
            <w:r w:rsidR="006C6F09">
              <w:t xml:space="preserve"> </w:t>
            </w:r>
            <w:r>
              <w:t>and</w:t>
            </w:r>
            <w:r w:rsidR="006C6F09">
              <w:t xml:space="preserve"> </w:t>
            </w:r>
            <w:r>
              <w:t>public</w:t>
            </w:r>
            <w:r w:rsidR="006C6F09">
              <w:t xml:space="preserve"> </w:t>
            </w:r>
            <w:r>
              <w:t>officials</w:t>
            </w:r>
            <w:r w:rsidR="006C6F09">
              <w:t xml:space="preserve"> </w:t>
            </w:r>
            <w:r>
              <w:t>may</w:t>
            </w:r>
            <w:r w:rsidR="006C6F09">
              <w:t xml:space="preserve"> </w:t>
            </w:r>
            <w:r>
              <w:t>be</w:t>
            </w:r>
            <w:r w:rsidR="006C6F09">
              <w:t xml:space="preserve"> </w:t>
            </w:r>
            <w:r>
              <w:t>provided</w:t>
            </w:r>
            <w:r w:rsidR="006C6F09">
              <w:t xml:space="preserve"> </w:t>
            </w:r>
            <w:r>
              <w:t>by</w:t>
            </w:r>
            <w:r w:rsidR="006C6F09">
              <w:t xml:space="preserve"> </w:t>
            </w:r>
            <w:r>
              <w:t>email.</w:t>
            </w:r>
          </w:p>
          <w:p w14:paraId="12D0EDD4" w14:textId="5A3804ED"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Updated</w:t>
            </w:r>
            <w:r w:rsidR="006C6F09">
              <w:t xml:space="preserve"> </w:t>
            </w:r>
            <w:r>
              <w:t>to</w:t>
            </w:r>
            <w:r w:rsidR="006C6F09">
              <w:t xml:space="preserve"> </w:t>
            </w:r>
            <w:r>
              <w:t>include</w:t>
            </w:r>
            <w:r w:rsidR="006C6F09">
              <w:t xml:space="preserve"> </w:t>
            </w:r>
            <w:r>
              <w:t>required</w:t>
            </w:r>
            <w:r w:rsidR="006C6F09">
              <w:t xml:space="preserve"> </w:t>
            </w:r>
            <w:r>
              <w:t>MAPO</w:t>
            </w:r>
            <w:r w:rsidR="006C6F09">
              <w:t xml:space="preserve"> </w:t>
            </w:r>
            <w:r>
              <w:t>Summary</w:t>
            </w:r>
            <w:r w:rsidR="006C6F09">
              <w:t xml:space="preserve"> </w:t>
            </w:r>
            <w:r>
              <w:t>Form.</w:t>
            </w:r>
          </w:p>
        </w:tc>
      </w:tr>
      <w:tr w:rsidR="00457754" w14:paraId="609FF671"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7019B267" w14:textId="3221EC3D" w:rsidR="00457754" w:rsidRPr="009E34DA" w:rsidRDefault="00457754" w:rsidP="00263E76">
            <w:pPr>
              <w:rPr>
                <w:b w:val="0"/>
                <w:bCs w:val="0"/>
              </w:rPr>
            </w:pPr>
            <w:r>
              <w:rPr>
                <w:b w:val="0"/>
                <w:bCs w:val="0"/>
              </w:rPr>
              <w:t>December</w:t>
            </w:r>
            <w:r w:rsidR="006C6F09">
              <w:rPr>
                <w:b w:val="0"/>
                <w:bCs w:val="0"/>
              </w:rPr>
              <w:t xml:space="preserve"> </w:t>
            </w:r>
            <w:r>
              <w:rPr>
                <w:b w:val="0"/>
                <w:bCs w:val="0"/>
              </w:rPr>
              <w:t>2016</w:t>
            </w:r>
          </w:p>
        </w:tc>
        <w:tc>
          <w:tcPr>
            <w:tcW w:w="3339" w:type="pct"/>
            <w:shd w:val="clear" w:color="auto" w:fill="DADEE5"/>
          </w:tcPr>
          <w:p w14:paraId="24DE1008" w14:textId="2EFBC1EF" w:rsidR="00457754" w:rsidRDefault="00457754" w:rsidP="004D695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Version</w:t>
            </w:r>
            <w:r w:rsidR="006C6F09">
              <w:t xml:space="preserve"> </w:t>
            </w:r>
            <w:r>
              <w:t>3</w:t>
            </w:r>
            <w:r w:rsidR="006C6F09">
              <w:t xml:space="preserve"> </w:t>
            </w:r>
          </w:p>
          <w:p w14:paraId="7619CB0F" w14:textId="6087E04B" w:rsidR="00457754" w:rsidRPr="00E1426A"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rsidRPr="00E1426A">
              <w:t>Updated</w:t>
            </w:r>
            <w:r w:rsidR="006C6F09">
              <w:t xml:space="preserve"> </w:t>
            </w:r>
            <w:r w:rsidRPr="00E1426A">
              <w:t>for</w:t>
            </w:r>
            <w:r w:rsidR="006C6F09">
              <w:t xml:space="preserve"> </w:t>
            </w:r>
            <w:r w:rsidRPr="00E1426A">
              <w:t>consistency</w:t>
            </w:r>
            <w:r w:rsidR="006C6F09">
              <w:t xml:space="preserve"> </w:t>
            </w:r>
            <w:r w:rsidRPr="00E1426A">
              <w:t>with</w:t>
            </w:r>
            <w:r w:rsidR="006C6F09">
              <w:t xml:space="preserve"> </w:t>
            </w:r>
            <w:r w:rsidRPr="00E1426A">
              <w:t>revised</w:t>
            </w:r>
            <w:r w:rsidR="006C6F09">
              <w:t xml:space="preserve"> </w:t>
            </w:r>
            <w:r w:rsidRPr="00E1426A">
              <w:t>state</w:t>
            </w:r>
            <w:r w:rsidR="006C6F09">
              <w:t xml:space="preserve"> </w:t>
            </w:r>
            <w:r w:rsidRPr="00E1426A">
              <w:t>rules.</w:t>
            </w:r>
          </w:p>
          <w:p w14:paraId="568FFB94" w14:textId="4363E78C" w:rsidR="00457754" w:rsidRPr="00E1426A"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rsidRPr="00E1426A">
              <w:t>Added</w:t>
            </w:r>
            <w:r w:rsidR="006C6F09">
              <w:t xml:space="preserve"> </w:t>
            </w:r>
            <w:r w:rsidRPr="00E1426A">
              <w:t>additional</w:t>
            </w:r>
            <w:r w:rsidR="006C6F09">
              <w:t xml:space="preserve"> </w:t>
            </w:r>
            <w:r w:rsidRPr="00E1426A">
              <w:t>guidance</w:t>
            </w:r>
            <w:r w:rsidR="006C6F09">
              <w:t xml:space="preserve"> </w:t>
            </w:r>
            <w:r w:rsidRPr="00E1426A">
              <w:t>on</w:t>
            </w:r>
            <w:r w:rsidR="006C6F09">
              <w:t xml:space="preserve"> </w:t>
            </w:r>
            <w:r w:rsidRPr="00E1426A">
              <w:t>MAPOs.</w:t>
            </w:r>
          </w:p>
          <w:p w14:paraId="6CB343CA" w14:textId="4CBC6025" w:rsidR="00457754" w:rsidRPr="00E1426A"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rsidRPr="00E1426A">
              <w:t>Added</w:t>
            </w:r>
            <w:r w:rsidR="006C6F09">
              <w:t xml:space="preserve"> </w:t>
            </w:r>
            <w:r w:rsidRPr="00E1426A">
              <w:t>guidance</w:t>
            </w:r>
            <w:r w:rsidR="006C6F09">
              <w:t xml:space="preserve"> </w:t>
            </w:r>
            <w:r w:rsidRPr="00E1426A">
              <w:t>for</w:t>
            </w:r>
            <w:r w:rsidR="006C6F09">
              <w:t xml:space="preserve"> </w:t>
            </w:r>
            <w:r w:rsidRPr="00E1426A">
              <w:t>notice</w:t>
            </w:r>
            <w:r w:rsidR="006C6F09">
              <w:t xml:space="preserve"> </w:t>
            </w:r>
            <w:r w:rsidRPr="00E1426A">
              <w:t>of</w:t>
            </w:r>
            <w:r w:rsidR="006C6F09">
              <w:t xml:space="preserve"> </w:t>
            </w:r>
            <w:r w:rsidRPr="00E1426A">
              <w:t>impending</w:t>
            </w:r>
            <w:r w:rsidR="006C6F09">
              <w:t xml:space="preserve"> </w:t>
            </w:r>
            <w:r w:rsidRPr="00E1426A">
              <w:t>construction.</w:t>
            </w:r>
          </w:p>
          <w:p w14:paraId="343C9338" w14:textId="218E0A2C" w:rsidR="00457754" w:rsidRPr="00E1426A"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rsidRPr="00E1426A">
              <w:t>Updated</w:t>
            </w:r>
            <w:r w:rsidR="006C6F09">
              <w:t xml:space="preserve"> </w:t>
            </w:r>
            <w:r w:rsidRPr="00E1426A">
              <w:t>documentation</w:t>
            </w:r>
            <w:r w:rsidR="006C6F09">
              <w:t xml:space="preserve"> </w:t>
            </w:r>
            <w:r w:rsidRPr="00E1426A">
              <w:t>requirements.</w:t>
            </w:r>
          </w:p>
          <w:p w14:paraId="12E8A87C" w14:textId="53CA7909" w:rsidR="00457754" w:rsidRPr="00E1426A"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rsidRPr="00E1426A">
              <w:t>Replaced</w:t>
            </w:r>
            <w:r w:rsidR="006C6F09">
              <w:t xml:space="preserve"> </w:t>
            </w:r>
            <w:r w:rsidRPr="00E1426A">
              <w:t>“TxDOT</w:t>
            </w:r>
            <w:r w:rsidR="006C6F09">
              <w:t xml:space="preserve"> </w:t>
            </w:r>
            <w:r w:rsidRPr="00E1426A">
              <w:t>public</w:t>
            </w:r>
            <w:r w:rsidR="006C6F09">
              <w:t xml:space="preserve"> </w:t>
            </w:r>
            <w:r w:rsidRPr="00E1426A">
              <w:t>hearing</w:t>
            </w:r>
            <w:r w:rsidR="006C6F09">
              <w:t xml:space="preserve"> </w:t>
            </w:r>
            <w:r w:rsidRPr="00E1426A">
              <w:t>officer”</w:t>
            </w:r>
            <w:r w:rsidR="006C6F09">
              <w:t xml:space="preserve"> </w:t>
            </w:r>
            <w:r w:rsidRPr="00E1426A">
              <w:t>with</w:t>
            </w:r>
            <w:r w:rsidR="006C6F09">
              <w:t xml:space="preserve"> </w:t>
            </w:r>
            <w:r w:rsidRPr="00E1426A">
              <w:t>“TxDOT</w:t>
            </w:r>
            <w:r w:rsidR="006C6F09">
              <w:t xml:space="preserve"> </w:t>
            </w:r>
            <w:r w:rsidRPr="00E1426A">
              <w:t>employee.”</w:t>
            </w:r>
          </w:p>
          <w:p w14:paraId="0294480F" w14:textId="174D4985" w:rsidR="00457754" w:rsidRPr="00E1426A"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rsidRPr="00E1426A">
              <w:t>Updated</w:t>
            </w:r>
            <w:r w:rsidR="006C6F09">
              <w:t xml:space="preserve"> </w:t>
            </w:r>
            <w:r w:rsidRPr="00E1426A">
              <w:t>documentation</w:t>
            </w:r>
            <w:r w:rsidR="006C6F09">
              <w:t xml:space="preserve"> </w:t>
            </w:r>
            <w:r w:rsidRPr="00E1426A">
              <w:t>requirements.</w:t>
            </w:r>
          </w:p>
          <w:p w14:paraId="0D9D24F8" w14:textId="1FCF87CD" w:rsidR="00457754" w:rsidRDefault="00457754" w:rsidP="004D6950">
            <w:pPr>
              <w:pStyle w:val="ListBullet"/>
              <w:cnfStyle w:val="000000100000" w:firstRow="0" w:lastRow="0" w:firstColumn="0" w:lastColumn="0" w:oddVBand="0" w:evenVBand="0" w:oddHBand="1" w:evenHBand="0" w:firstRowFirstColumn="0" w:firstRowLastColumn="0" w:lastRowFirstColumn="0" w:lastRowLastColumn="0"/>
            </w:pPr>
            <w:r w:rsidRPr="00E1426A">
              <w:t>Various</w:t>
            </w:r>
            <w:r w:rsidR="006C6F09">
              <w:t xml:space="preserve"> </w:t>
            </w:r>
            <w:r w:rsidRPr="00E1426A">
              <w:t>other</w:t>
            </w:r>
            <w:r w:rsidR="006C6F09">
              <w:t xml:space="preserve"> </w:t>
            </w:r>
            <w:r w:rsidRPr="00E1426A">
              <w:t>revisions</w:t>
            </w:r>
          </w:p>
        </w:tc>
      </w:tr>
      <w:tr w:rsidR="00457754" w14:paraId="1AB6B5DB" w14:textId="77777777" w:rsidTr="00263E76">
        <w:trPr>
          <w:cantSplit/>
        </w:trPr>
        <w:tc>
          <w:tcPr>
            <w:cnfStyle w:val="001000000000" w:firstRow="0" w:lastRow="0" w:firstColumn="1" w:lastColumn="0" w:oddVBand="0" w:evenVBand="0" w:oddHBand="0" w:evenHBand="0" w:firstRowFirstColumn="0" w:firstRowLastColumn="0" w:lastRowFirstColumn="0" w:lastRowLastColumn="0"/>
            <w:tcW w:w="1661" w:type="pct"/>
            <w:vAlign w:val="center"/>
          </w:tcPr>
          <w:p w14:paraId="73BE2E4E" w14:textId="77997632" w:rsidR="00457754" w:rsidRPr="009E34DA" w:rsidRDefault="00457754" w:rsidP="00263E76">
            <w:pPr>
              <w:rPr>
                <w:b w:val="0"/>
                <w:bCs w:val="0"/>
              </w:rPr>
            </w:pPr>
            <w:r>
              <w:rPr>
                <w:b w:val="0"/>
                <w:bCs w:val="0"/>
              </w:rPr>
              <w:lastRenderedPageBreak/>
              <w:t>August</w:t>
            </w:r>
            <w:r w:rsidR="006C6F09">
              <w:rPr>
                <w:b w:val="0"/>
                <w:bCs w:val="0"/>
              </w:rPr>
              <w:t xml:space="preserve"> </w:t>
            </w:r>
            <w:r>
              <w:rPr>
                <w:b w:val="0"/>
                <w:bCs w:val="0"/>
              </w:rPr>
              <w:t>2015</w:t>
            </w:r>
          </w:p>
        </w:tc>
        <w:tc>
          <w:tcPr>
            <w:tcW w:w="3339" w:type="pct"/>
          </w:tcPr>
          <w:p w14:paraId="62035DB2" w14:textId="39B135C3" w:rsidR="00457754" w:rsidRDefault="00457754" w:rsidP="004D6950">
            <w:pPr>
              <w:cnfStyle w:val="000000000000" w:firstRow="0" w:lastRow="0" w:firstColumn="0" w:lastColumn="0" w:oddVBand="0" w:evenVBand="0" w:oddHBand="0" w:evenHBand="0" w:firstRowFirstColumn="0" w:firstRowLastColumn="0" w:lastRowFirstColumn="0" w:lastRowLastColumn="0"/>
            </w:pPr>
            <w:r>
              <w:t>Version</w:t>
            </w:r>
            <w:r w:rsidR="006C6F09">
              <w:t xml:space="preserve"> </w:t>
            </w:r>
            <w:r>
              <w:t>2</w:t>
            </w:r>
            <w:r w:rsidR="006C6F09">
              <w:t xml:space="preserve"> </w:t>
            </w:r>
          </w:p>
          <w:p w14:paraId="362E5D24" w14:textId="1FFC0D81"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Updated</w:t>
            </w:r>
            <w:r w:rsidR="006C6F09">
              <w:t xml:space="preserve"> </w:t>
            </w:r>
            <w:r>
              <w:t>to</w:t>
            </w:r>
            <w:r w:rsidR="006C6F09">
              <w:t xml:space="preserve"> </w:t>
            </w:r>
            <w:r>
              <w:t>indicate</w:t>
            </w:r>
            <w:r w:rsidR="006C6F09">
              <w:t xml:space="preserve"> </w:t>
            </w:r>
            <w:r>
              <w:t>15-day</w:t>
            </w:r>
            <w:r w:rsidR="006C6F09">
              <w:t xml:space="preserve"> </w:t>
            </w:r>
            <w:r>
              <w:t>comment</w:t>
            </w:r>
            <w:r w:rsidR="006C6F09">
              <w:t xml:space="preserve"> </w:t>
            </w:r>
            <w:r>
              <w:t>period</w:t>
            </w:r>
            <w:r w:rsidR="006C6F09">
              <w:t xml:space="preserve"> </w:t>
            </w:r>
            <w:r>
              <w:t>following</w:t>
            </w:r>
            <w:r w:rsidR="006C6F09">
              <w:t xml:space="preserve"> </w:t>
            </w:r>
            <w:r>
              <w:t>public</w:t>
            </w:r>
            <w:r w:rsidR="006C6F09">
              <w:t xml:space="preserve"> </w:t>
            </w:r>
            <w:r>
              <w:t>hearings</w:t>
            </w:r>
            <w:r w:rsidR="006C6F09">
              <w:t xml:space="preserve"> </w:t>
            </w:r>
            <w:r>
              <w:t>for</w:t>
            </w:r>
            <w:r w:rsidR="006C6F09">
              <w:t xml:space="preserve"> </w:t>
            </w:r>
            <w:r>
              <w:t>EIS</w:t>
            </w:r>
            <w:r w:rsidR="006C6F09">
              <w:t xml:space="preserve"> </w:t>
            </w:r>
            <w:r>
              <w:t>projects</w:t>
            </w:r>
          </w:p>
          <w:p w14:paraId="2BB80200" w14:textId="00F6B2E6"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Added</w:t>
            </w:r>
            <w:r w:rsidR="006C6F09">
              <w:t xml:space="preserve"> </w:t>
            </w:r>
            <w:r>
              <w:t>information</w:t>
            </w:r>
            <w:r w:rsidR="006C6F09">
              <w:t xml:space="preserve"> </w:t>
            </w:r>
            <w:r>
              <w:t>on</w:t>
            </w:r>
            <w:r w:rsidR="006C6F09">
              <w:t xml:space="preserve"> </w:t>
            </w:r>
            <w:r>
              <w:t>when</w:t>
            </w:r>
            <w:r w:rsidR="006C6F09">
              <w:t xml:space="preserve"> </w:t>
            </w:r>
            <w:r>
              <w:t>to</w:t>
            </w:r>
            <w:r w:rsidR="006C6F09">
              <w:t xml:space="preserve"> </w:t>
            </w:r>
            <w:r>
              <w:t>afford</w:t>
            </w:r>
            <w:r w:rsidR="006C6F09">
              <w:t xml:space="preserve"> </w:t>
            </w:r>
            <w:r>
              <w:t>an</w:t>
            </w:r>
            <w:r w:rsidR="006C6F09">
              <w:t xml:space="preserve"> </w:t>
            </w:r>
            <w:r>
              <w:t>opportunity</w:t>
            </w:r>
            <w:r w:rsidR="006C6F09">
              <w:t xml:space="preserve"> </w:t>
            </w:r>
            <w:r>
              <w:t>for</w:t>
            </w:r>
            <w:r w:rsidR="006C6F09">
              <w:t xml:space="preserve"> </w:t>
            </w:r>
            <w:r>
              <w:t>a</w:t>
            </w:r>
            <w:r w:rsidR="006C6F09">
              <w:t xml:space="preserve"> </w:t>
            </w:r>
            <w:r>
              <w:t>hearing</w:t>
            </w:r>
            <w:r w:rsidR="006C6F09">
              <w:t xml:space="preserve"> </w:t>
            </w:r>
            <w:r>
              <w:t>was</w:t>
            </w:r>
            <w:r w:rsidR="006C6F09">
              <w:t xml:space="preserve"> </w:t>
            </w:r>
            <w:r>
              <w:t>revised</w:t>
            </w:r>
            <w:r w:rsidR="006C6F09">
              <w:t xml:space="preserve"> </w:t>
            </w:r>
            <w:r>
              <w:t>for</w:t>
            </w:r>
            <w:r w:rsidR="006C6F09">
              <w:t xml:space="preserve"> </w:t>
            </w:r>
            <w:r>
              <w:t>consistency</w:t>
            </w:r>
            <w:r w:rsidR="006C6F09">
              <w:t xml:space="preserve"> </w:t>
            </w:r>
            <w:r>
              <w:t>with</w:t>
            </w:r>
            <w:r w:rsidR="006C6F09">
              <w:t xml:space="preserve"> </w:t>
            </w:r>
            <w:r>
              <w:t>state</w:t>
            </w:r>
            <w:r w:rsidR="006C6F09">
              <w:t xml:space="preserve"> </w:t>
            </w:r>
            <w:r>
              <w:t>rules</w:t>
            </w:r>
            <w:r w:rsidR="006C6F09">
              <w:t xml:space="preserve"> </w:t>
            </w:r>
            <w:r>
              <w:t>(43</w:t>
            </w:r>
            <w:r w:rsidR="006C6F09">
              <w:t xml:space="preserve"> </w:t>
            </w:r>
            <w:r>
              <w:t>TAC</w:t>
            </w:r>
            <w:r w:rsidR="006C6F09">
              <w:t xml:space="preserve"> </w:t>
            </w:r>
            <w:r>
              <w:t>2.106</w:t>
            </w:r>
            <w:r w:rsidR="006C6F09">
              <w:t xml:space="preserve"> </w:t>
            </w:r>
            <w:r>
              <w:t>and</w:t>
            </w:r>
            <w:r w:rsidR="006C6F09">
              <w:t xml:space="preserve"> </w:t>
            </w:r>
            <w:r>
              <w:t>2.107)</w:t>
            </w:r>
          </w:p>
          <w:p w14:paraId="4D317E42" w14:textId="5787E8E4"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Updated</w:t>
            </w:r>
            <w:r w:rsidR="006C6F09">
              <w:t xml:space="preserve"> </w:t>
            </w:r>
            <w:r>
              <w:t>for</w:t>
            </w:r>
            <w:r w:rsidR="006C6F09">
              <w:t xml:space="preserve"> </w:t>
            </w:r>
            <w:r>
              <w:t>Assignment</w:t>
            </w:r>
            <w:r w:rsidR="006C6F09">
              <w:t xml:space="preserve"> </w:t>
            </w:r>
            <w:r>
              <w:t>MOU</w:t>
            </w:r>
            <w:r w:rsidR="006C6F09">
              <w:t xml:space="preserve"> </w:t>
            </w:r>
            <w:r>
              <w:t>and</w:t>
            </w:r>
            <w:r w:rsidR="006C6F09">
              <w:t xml:space="preserve"> </w:t>
            </w:r>
            <w:r>
              <w:t>deleted</w:t>
            </w:r>
            <w:r w:rsidR="006C6F09">
              <w:t xml:space="preserve"> </w:t>
            </w:r>
            <w:r>
              <w:t>FHWA</w:t>
            </w:r>
            <w:r w:rsidR="006C6F09">
              <w:t xml:space="preserve"> </w:t>
            </w:r>
            <w:r>
              <w:t>references</w:t>
            </w:r>
            <w:r w:rsidR="006C6F09">
              <w:t xml:space="preserve"> </w:t>
            </w:r>
            <w:r>
              <w:t>as</w:t>
            </w:r>
            <w:r w:rsidR="006C6F09">
              <w:t xml:space="preserve"> </w:t>
            </w:r>
            <w:r>
              <w:t>appropriate</w:t>
            </w:r>
          </w:p>
          <w:p w14:paraId="7EC59605" w14:textId="3079CB73"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Added</w:t>
            </w:r>
            <w:r w:rsidR="006C6F09">
              <w:t xml:space="preserve"> </w:t>
            </w:r>
            <w:r>
              <w:t>information</w:t>
            </w:r>
            <w:r w:rsidR="006C6F09">
              <w:t xml:space="preserve"> </w:t>
            </w:r>
            <w:r>
              <w:t>pertaining</w:t>
            </w:r>
            <w:r w:rsidR="006C6F09">
              <w:t xml:space="preserve"> </w:t>
            </w:r>
            <w:r>
              <w:t>to</w:t>
            </w:r>
            <w:r w:rsidR="006C6F09">
              <w:t xml:space="preserve"> </w:t>
            </w:r>
            <w:r>
              <w:t>the</w:t>
            </w:r>
            <w:r w:rsidR="006C6F09">
              <w:t xml:space="preserve"> </w:t>
            </w:r>
            <w:r>
              <w:t>TxDOT</w:t>
            </w:r>
            <w:r w:rsidR="006C6F09">
              <w:t xml:space="preserve"> </w:t>
            </w:r>
            <w:r>
              <w:t>Office</w:t>
            </w:r>
            <w:r w:rsidR="006C6F09">
              <w:t xml:space="preserve"> </w:t>
            </w:r>
            <w:r>
              <w:t>of</w:t>
            </w:r>
            <w:r w:rsidR="006C6F09">
              <w:t xml:space="preserve"> </w:t>
            </w:r>
            <w:r>
              <w:t>Public</w:t>
            </w:r>
            <w:r w:rsidR="006C6F09">
              <w:t xml:space="preserve"> </w:t>
            </w:r>
            <w:r>
              <w:t>Involvement</w:t>
            </w:r>
          </w:p>
          <w:p w14:paraId="7D193B2B" w14:textId="590641B8"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Updated</w:t>
            </w:r>
            <w:r w:rsidR="006C6F09">
              <w:t xml:space="preserve"> </w:t>
            </w:r>
            <w:r>
              <w:t>notification</w:t>
            </w:r>
            <w:r w:rsidR="006C6F09">
              <w:t xml:space="preserve"> </w:t>
            </w:r>
            <w:r>
              <w:t>requirements</w:t>
            </w:r>
          </w:p>
          <w:p w14:paraId="4BFFDC7A" w14:textId="03DC06D0"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Added</w:t>
            </w:r>
            <w:r w:rsidR="006C6F09">
              <w:t xml:space="preserve"> </w:t>
            </w:r>
            <w:r>
              <w:t>information</w:t>
            </w:r>
            <w:r w:rsidR="006C6F09">
              <w:t xml:space="preserve"> </w:t>
            </w:r>
            <w:r>
              <w:t>regarding</w:t>
            </w:r>
            <w:r w:rsidR="006C6F09">
              <w:t xml:space="preserve"> </w:t>
            </w:r>
            <w:r>
              <w:t>historic</w:t>
            </w:r>
            <w:r w:rsidR="006C6F09">
              <w:t xml:space="preserve"> </w:t>
            </w:r>
            <w:r>
              <w:t>properties</w:t>
            </w:r>
            <w:r w:rsidR="006C6F09">
              <w:t xml:space="preserve"> </w:t>
            </w:r>
          </w:p>
          <w:p w14:paraId="31BA17E7" w14:textId="71B9B99B"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Updated</w:t>
            </w:r>
            <w:r w:rsidR="006C6F09">
              <w:t xml:space="preserve"> </w:t>
            </w:r>
            <w:r>
              <w:t>documentation</w:t>
            </w:r>
            <w:r w:rsidR="006C6F09">
              <w:t xml:space="preserve"> </w:t>
            </w:r>
            <w:r>
              <w:t>requirements</w:t>
            </w:r>
          </w:p>
          <w:p w14:paraId="4B33BBC1" w14:textId="51C58419" w:rsidR="00457754" w:rsidRDefault="00457754" w:rsidP="004D6950">
            <w:pPr>
              <w:pStyle w:val="ListBullet"/>
              <w:cnfStyle w:val="000000000000" w:firstRow="0" w:lastRow="0" w:firstColumn="0" w:lastColumn="0" w:oddVBand="0" w:evenVBand="0" w:oddHBand="0" w:evenHBand="0" w:firstRowFirstColumn="0" w:firstRowLastColumn="0" w:lastRowFirstColumn="0" w:lastRowLastColumn="0"/>
            </w:pPr>
            <w:r>
              <w:t>Added</w:t>
            </w:r>
            <w:r w:rsidR="006C6F09">
              <w:t xml:space="preserve"> </w:t>
            </w:r>
            <w:r>
              <w:t>information</w:t>
            </w:r>
            <w:r w:rsidR="006C6F09">
              <w:t xml:space="preserve"> </w:t>
            </w:r>
            <w:r>
              <w:t>on</w:t>
            </w:r>
            <w:r w:rsidR="006C6F09">
              <w:t xml:space="preserve"> </w:t>
            </w:r>
            <w:r>
              <w:t>Notice</w:t>
            </w:r>
            <w:r w:rsidR="006C6F09">
              <w:t xml:space="preserve"> </w:t>
            </w:r>
            <w:r>
              <w:t>of</w:t>
            </w:r>
            <w:r w:rsidR="006C6F09">
              <w:t xml:space="preserve"> </w:t>
            </w:r>
            <w:r>
              <w:t>Final</w:t>
            </w:r>
            <w:r w:rsidR="006C6F09">
              <w:t xml:space="preserve"> </w:t>
            </w:r>
            <w:r>
              <w:t>Agency</w:t>
            </w:r>
            <w:r w:rsidR="006C6F09">
              <w:t xml:space="preserve"> </w:t>
            </w:r>
            <w:r>
              <w:t>Action</w:t>
            </w:r>
          </w:p>
        </w:tc>
      </w:tr>
      <w:tr w:rsidR="00457754" w14:paraId="55CD26DF" w14:textId="77777777" w:rsidTr="00263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1" w:type="pct"/>
            <w:shd w:val="clear" w:color="auto" w:fill="DADEE5"/>
            <w:vAlign w:val="center"/>
          </w:tcPr>
          <w:p w14:paraId="6E6B44C2" w14:textId="21699A69" w:rsidR="00457754" w:rsidRPr="009E34DA" w:rsidRDefault="00457754" w:rsidP="00263E76">
            <w:pPr>
              <w:rPr>
                <w:b w:val="0"/>
                <w:bCs w:val="0"/>
              </w:rPr>
            </w:pPr>
            <w:r>
              <w:rPr>
                <w:b w:val="0"/>
                <w:bCs w:val="0"/>
              </w:rPr>
              <w:t>May</w:t>
            </w:r>
            <w:r w:rsidR="006C6F09">
              <w:rPr>
                <w:b w:val="0"/>
                <w:bCs w:val="0"/>
              </w:rPr>
              <w:t xml:space="preserve"> </w:t>
            </w:r>
            <w:r>
              <w:rPr>
                <w:b w:val="0"/>
                <w:bCs w:val="0"/>
              </w:rPr>
              <w:t>2014</w:t>
            </w:r>
          </w:p>
        </w:tc>
        <w:tc>
          <w:tcPr>
            <w:tcW w:w="3339" w:type="pct"/>
            <w:shd w:val="clear" w:color="auto" w:fill="DADEE5"/>
          </w:tcPr>
          <w:p w14:paraId="2439BB24" w14:textId="4854E27D" w:rsidR="00457754" w:rsidRDefault="00457754" w:rsidP="004D6950">
            <w:pPr>
              <w:cnfStyle w:val="000000100000" w:firstRow="0" w:lastRow="0" w:firstColumn="0" w:lastColumn="0" w:oddVBand="0" w:evenVBand="0" w:oddHBand="1" w:evenHBand="0" w:firstRowFirstColumn="0" w:firstRowLastColumn="0" w:lastRowFirstColumn="0" w:lastRowLastColumn="0"/>
            </w:pPr>
            <w:r w:rsidRPr="00F10583">
              <w:t>Version</w:t>
            </w:r>
            <w:r w:rsidR="006C6F09">
              <w:t xml:space="preserve"> </w:t>
            </w:r>
            <w:r w:rsidRPr="00F10583">
              <w:t>1</w:t>
            </w:r>
            <w:r w:rsidR="006C6F09">
              <w:t xml:space="preserve"> </w:t>
            </w:r>
          </w:p>
        </w:tc>
      </w:tr>
    </w:tbl>
    <w:p w14:paraId="3A592E33" w14:textId="77777777" w:rsidR="00457754" w:rsidRPr="005D638D" w:rsidRDefault="00457754" w:rsidP="00457754"/>
    <w:bookmarkEnd w:id="4"/>
    <w:p w14:paraId="3BB4BCD1" w14:textId="77777777" w:rsidR="00C776E4" w:rsidRDefault="00C776E4" w:rsidP="008B7F20"/>
    <w:sectPr w:rsidR="00C776E4" w:rsidSect="001C12E5">
      <w:footerReference w:type="default" r:id="rId93"/>
      <w:footerReference w:type="first" r:id="rId94"/>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FB47" w14:textId="77777777" w:rsidR="00083820" w:rsidRDefault="00083820" w:rsidP="00E9313B">
      <w:pPr>
        <w:spacing w:after="0" w:line="240" w:lineRule="auto"/>
      </w:pPr>
      <w:r>
        <w:separator/>
      </w:r>
    </w:p>
  </w:endnote>
  <w:endnote w:type="continuationSeparator" w:id="0">
    <w:p w14:paraId="36C8BDF7" w14:textId="77777777" w:rsidR="00083820" w:rsidRDefault="00083820" w:rsidP="003D0A5B">
      <w:pPr>
        <w:spacing w:after="0" w:line="240" w:lineRule="auto"/>
      </w:pPr>
      <w:r>
        <w:continuationSeparator/>
      </w:r>
    </w:p>
    <w:p w14:paraId="4E2C800D" w14:textId="77777777" w:rsidR="00083820" w:rsidRDefault="00083820"/>
    <w:p w14:paraId="1C394BF7" w14:textId="77777777" w:rsidR="00083820" w:rsidRDefault="00083820"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B44DF160-8A09-42FB-8634-DAE8C0B8EA5E}"/>
    <w:embedBold r:id="rId2" w:fontKey="{D34075B1-486C-47D1-A8C5-4D2EFA1BD395}"/>
    <w:embedItalic r:id="rId3" w:fontKey="{A861F1EA-FEAE-4A8C-A051-5ED06A847657}"/>
    <w:embedBoldItalic r:id="rId4" w:fontKey="{1FF16E05-1C04-4CE2-8809-DBDA9EC2628F}"/>
  </w:font>
  <w:font w:name="Franklin Gothic Book">
    <w:panose1 w:val="020B0503020102020204"/>
    <w:charset w:val="00"/>
    <w:family w:val="swiss"/>
    <w:pitch w:val="variable"/>
    <w:sig w:usb0="00000287" w:usb1="00000000" w:usb2="00000000" w:usb3="00000000" w:csb0="0000009F" w:csb1="00000000"/>
  </w:font>
  <w:font w:name="Verdana Bold">
    <w:panose1 w:val="020B08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11CF"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CF73"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68480" behindDoc="0" locked="0" layoutInCell="1" allowOverlap="1" wp14:anchorId="1421FA6A" wp14:editId="76906E46">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2266A"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9244" w14:textId="5ED916DB"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76672" behindDoc="0" locked="0" layoutInCell="1" allowOverlap="1" wp14:anchorId="1DE3755C" wp14:editId="3A19FCB3">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FB79A"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457754">
      <w:t xml:space="preserve">Environmental Handbook – Public Involvement </w:t>
    </w:r>
    <w:r>
      <w:t xml:space="preserve">|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89F8"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74624" behindDoc="0" locked="0" layoutInCell="1" allowOverlap="1" wp14:anchorId="1200344D" wp14:editId="2CE31636">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8AAE0"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E7BB" w14:textId="77777777" w:rsidR="00083820" w:rsidRDefault="00083820" w:rsidP="00E9313B">
      <w:pPr>
        <w:spacing w:after="0" w:line="240" w:lineRule="auto"/>
      </w:pPr>
      <w:r>
        <w:separator/>
      </w:r>
    </w:p>
  </w:footnote>
  <w:footnote w:type="continuationSeparator" w:id="0">
    <w:p w14:paraId="459F9617" w14:textId="77777777" w:rsidR="00083820" w:rsidRDefault="00083820" w:rsidP="003D0A5B">
      <w:pPr>
        <w:spacing w:after="0" w:line="240" w:lineRule="auto"/>
      </w:pPr>
      <w:r>
        <w:continuationSeparator/>
      </w:r>
    </w:p>
    <w:p w14:paraId="164DB73E" w14:textId="77777777" w:rsidR="00083820" w:rsidRDefault="00083820"/>
    <w:p w14:paraId="3E7B728E" w14:textId="77777777" w:rsidR="00083820" w:rsidRDefault="00083820" w:rsidP="008B0E37"/>
  </w:footnote>
  <w:footnote w:id="1">
    <w:p w14:paraId="0A4E37AB" w14:textId="77777777" w:rsidR="00457754" w:rsidRDefault="00457754" w:rsidP="00457754">
      <w:pPr>
        <w:spacing w:after="0"/>
      </w:pPr>
      <w:r>
        <w:rPr>
          <w:rStyle w:val="FootnoteReference"/>
        </w:rPr>
        <w:footnoteRef/>
      </w:r>
      <w:r>
        <w:t xml:space="preserve"> A “highway” includes any kind of road or street, including a city street, county road, farm-to-market road, state highway, United States highway, or interstate highway. See </w:t>
      </w:r>
      <w:r w:rsidRPr="0032400B">
        <w:t>23 U.S.C. 101</w:t>
      </w:r>
      <w:r>
        <w:t xml:space="preserve">(a)(11), and definition of “highway” in the TxDOT Glossary. </w:t>
      </w:r>
    </w:p>
    <w:p w14:paraId="062143DF" w14:textId="5FE094BD" w:rsidR="00457754" w:rsidRDefault="00457754" w:rsidP="00135456">
      <w:r>
        <w:t xml:space="preserve">Extension of an existing highway (on-system or off-system) onto new location would be considered construction of a highway at a new location. However, widening (for example, adding lanes, shoulders, clear zone, etcetera.), filling-in gaps in frontage roads on, or re-aligning an existing highway, even if new right-of-way is required, would not be considered construction of a highway at a new location. Also, the construction of a paved highway on the former location of an unpaved road would </w:t>
      </w:r>
      <w:r w:rsidRPr="007318FF">
        <w:rPr>
          <w:b/>
          <w:bCs/>
        </w:rPr>
        <w:t>not</w:t>
      </w:r>
      <w:r>
        <w:t xml:space="preserve"> be construction of a highway at a new location for purposes of this rule.</w:t>
      </w:r>
    </w:p>
  </w:footnote>
  <w:footnote w:id="2">
    <w:p w14:paraId="2FA6C58C" w14:textId="1DF8CB0D" w:rsidR="00457754" w:rsidRDefault="00457754" w:rsidP="007C2FC9">
      <w:pPr>
        <w:pStyle w:val="FootnoteText"/>
        <w:spacing w:line="360" w:lineRule="auto"/>
      </w:pPr>
      <w:r w:rsidRPr="004D32E6">
        <w:rPr>
          <w:rStyle w:val="FootnoteReference"/>
          <w:sz w:val="24"/>
          <w:szCs w:val="24"/>
        </w:rPr>
        <w:footnoteRef/>
      </w:r>
      <w:r w:rsidRPr="004D32E6">
        <w:rPr>
          <w:sz w:val="24"/>
          <w:szCs w:val="24"/>
        </w:rPr>
        <w:t xml:space="preserve"> The requirement to include the Spanish version of this paragraph in the notice is a statewide requirement. It is not a substitute for the requirement to develop and implement strategies to address LEP populations where such populations are identified in the project area, which may require translating the entire notice into Spanish or other languages based on the local population.</w:t>
      </w:r>
    </w:p>
  </w:footnote>
  <w:footnote w:id="3">
    <w:p w14:paraId="2BF561CE" w14:textId="77777777" w:rsidR="00457754" w:rsidRDefault="00457754" w:rsidP="00457754">
      <w:r>
        <w:rPr>
          <w:rStyle w:val="FootnoteReference"/>
        </w:rPr>
        <w:footnoteRef/>
      </w:r>
      <w:r>
        <w:t xml:space="preserve"> Substantial change in layout means for a project involving intersecting roadways, the reconfiguration of the intersection; the horizontal re-alignment or extension of an existing highway that requires more than 30 acres of new right-of-way; or converting an undivided roadway to a divided roadway where substantial controversy is anticipated. Simple added capacity, widenings, ramp re-configurations, and frontage road conversions are not considered a substantial change in layout. </w:t>
      </w:r>
    </w:p>
    <w:p w14:paraId="7FB5DC6C" w14:textId="77777777" w:rsidR="00457754" w:rsidRDefault="00457754" w:rsidP="00457754">
      <w:pPr>
        <w:pStyle w:val="FootnoteText"/>
      </w:pPr>
    </w:p>
  </w:footnote>
  <w:footnote w:id="4">
    <w:p w14:paraId="7ED60B19" w14:textId="77777777" w:rsidR="00457754" w:rsidRPr="00A51C09" w:rsidRDefault="00457754" w:rsidP="00457754">
      <w:pPr>
        <w:pStyle w:val="FootnoteText"/>
        <w:spacing w:line="360" w:lineRule="auto"/>
        <w:rPr>
          <w:rFonts w:ascii="Verdana" w:hAnsi="Verdana"/>
          <w:sz w:val="24"/>
          <w:szCs w:val="24"/>
        </w:rPr>
      </w:pPr>
      <w:r w:rsidRPr="00A51C09">
        <w:rPr>
          <w:rStyle w:val="FootnoteReference"/>
          <w:rFonts w:ascii="Verdana" w:hAnsi="Verdana"/>
          <w:sz w:val="24"/>
          <w:szCs w:val="24"/>
        </w:rPr>
        <w:footnoteRef/>
      </w:r>
      <w:r w:rsidRPr="00A51C09">
        <w:rPr>
          <w:rFonts w:ascii="Verdana" w:hAnsi="Verdana"/>
          <w:sz w:val="24"/>
          <w:szCs w:val="24"/>
        </w:rPr>
        <w:t xml:space="preserve"> The requirement to include the Spanish version of this paragraph in the notice is a statewide requirement. It is not a substitute for the requirement to develop and implement strategies to address LEP populations where such populations are identified in the project area, which may require translating the entire notice into Spanish or other languages based on the local population.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54D9"/>
    <w:multiLevelType w:val="multilevel"/>
    <w:tmpl w:val="EF4E47DA"/>
    <w:lvl w:ilvl="0">
      <w:start w:val="1"/>
      <w:numFmt w:val="bullet"/>
      <w:lvlText w:val=""/>
      <w:lvlJc w:val="left"/>
      <w:pPr>
        <w:ind w:left="1080" w:hanging="360"/>
      </w:pPr>
      <w:rPr>
        <w:rFonts w:ascii="Symbol" w:hAnsi="Symbol" w:hint="default"/>
        <w:color w:val="0056A9" w:themeColor="accent1"/>
      </w:rPr>
    </w:lvl>
    <w:lvl w:ilvl="1">
      <w:start w:val="1"/>
      <w:numFmt w:val="bullet"/>
      <w:lvlText w:val="o"/>
      <w:lvlJc w:val="left"/>
      <w:pPr>
        <w:ind w:left="1440" w:hanging="360"/>
      </w:pPr>
      <w:rPr>
        <w:rFonts w:ascii="Courier New" w:hAnsi="Courier New" w:cs="Courier New" w:hint="default"/>
        <w:color w:val="0056A9"/>
      </w:rPr>
    </w:lvl>
    <w:lvl w:ilvl="2">
      <w:start w:val="1"/>
      <w:numFmt w:val="bullet"/>
      <w:lvlText w:val=""/>
      <w:lvlJc w:val="left"/>
      <w:pPr>
        <w:ind w:left="1800" w:hanging="360"/>
      </w:pPr>
      <w:rPr>
        <w:rFonts w:ascii="Wingdings" w:hAnsi="Wingdings" w:hint="default"/>
        <w:color w:val="0056A9" w:themeColor="accent1"/>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Verdana" w:hAnsi="Verdana" w:hint="default"/>
        <w:color w:val="0056A9" w:themeColor="accent1"/>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 w15:restartNumberingAfterBreak="0">
    <w:nsid w:val="17D27A0D"/>
    <w:multiLevelType w:val="multilevel"/>
    <w:tmpl w:val="411E682E"/>
    <w:lvl w:ilvl="0">
      <w:start w:val="6"/>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C4C12DE"/>
    <w:multiLevelType w:val="multilevel"/>
    <w:tmpl w:val="009240A6"/>
    <w:lvl w:ilvl="0">
      <w:start w:val="1"/>
      <w:numFmt w:val="decimal"/>
      <w:pStyle w:val="ListNumber"/>
      <w:lvlText w:val="%1."/>
      <w:lvlJc w:val="left"/>
      <w:pPr>
        <w:ind w:left="720" w:hanging="360"/>
      </w:p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EC41882"/>
    <w:multiLevelType w:val="multilevel"/>
    <w:tmpl w:val="3AF0716A"/>
    <w:lvl w:ilvl="0">
      <w:start w:val="1"/>
      <w:numFmt w:val="bullet"/>
      <w:lvlText w:val=""/>
      <w:lvlJc w:val="left"/>
      <w:pPr>
        <w:ind w:left="1080" w:hanging="360"/>
      </w:pPr>
      <w:rPr>
        <w:rFonts w:ascii="Symbol" w:hAnsi="Symbol" w:hint="default"/>
        <w:color w:val="0056A9" w:themeColor="accent1"/>
      </w:rPr>
    </w:lvl>
    <w:lvl w:ilvl="1">
      <w:start w:val="1"/>
      <w:numFmt w:val="bullet"/>
      <w:lvlText w:val="o"/>
      <w:lvlJc w:val="left"/>
      <w:pPr>
        <w:ind w:left="1440" w:hanging="360"/>
      </w:pPr>
      <w:rPr>
        <w:rFonts w:ascii="Courier New" w:hAnsi="Courier New" w:cs="Courier New" w:hint="default"/>
        <w:color w:val="0056A9"/>
      </w:rPr>
    </w:lvl>
    <w:lvl w:ilvl="2">
      <w:start w:val="1"/>
      <w:numFmt w:val="bullet"/>
      <w:lvlText w:val=""/>
      <w:lvlJc w:val="left"/>
      <w:pPr>
        <w:ind w:left="1800" w:hanging="360"/>
      </w:pPr>
      <w:rPr>
        <w:rFonts w:ascii="Wingdings" w:hAnsi="Wingdings" w:hint="default"/>
        <w:color w:val="0056A9" w:themeColor="accent1"/>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Verdana" w:hAnsi="Verdana" w:hint="default"/>
        <w:color w:val="0056A9" w:themeColor="accent1"/>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4" w15:restartNumberingAfterBreak="0">
    <w:nsid w:val="5F993055"/>
    <w:multiLevelType w:val="multilevel"/>
    <w:tmpl w:val="50229938"/>
    <w:lvl w:ilvl="0">
      <w:start w:val="1"/>
      <w:numFmt w:val="bullet"/>
      <w:lvlText w:val=""/>
      <w:lvlJc w:val="left"/>
      <w:pPr>
        <w:ind w:left="1080" w:hanging="360"/>
      </w:pPr>
      <w:rPr>
        <w:rFonts w:ascii="Symbol" w:hAnsi="Symbol" w:hint="default"/>
        <w:color w:val="0056A9" w:themeColor="accent1"/>
      </w:rPr>
    </w:lvl>
    <w:lvl w:ilvl="1">
      <w:start w:val="1"/>
      <w:numFmt w:val="bullet"/>
      <w:lvlText w:val="o"/>
      <w:lvlJc w:val="left"/>
      <w:pPr>
        <w:ind w:left="1440" w:hanging="360"/>
      </w:pPr>
      <w:rPr>
        <w:rFonts w:ascii="Courier New" w:hAnsi="Courier New" w:cs="Courier New" w:hint="default"/>
        <w:color w:val="0056A9"/>
      </w:rPr>
    </w:lvl>
    <w:lvl w:ilvl="2">
      <w:start w:val="1"/>
      <w:numFmt w:val="bullet"/>
      <w:lvlText w:val=""/>
      <w:lvlJc w:val="left"/>
      <w:pPr>
        <w:ind w:left="1800" w:hanging="360"/>
      </w:pPr>
      <w:rPr>
        <w:rFonts w:ascii="Wingdings" w:hAnsi="Wingdings" w:hint="default"/>
        <w:color w:val="0056A9" w:themeColor="accent1"/>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Verdana" w:hAnsi="Verdana" w:hint="default"/>
        <w:color w:val="0056A9" w:themeColor="accent1"/>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5"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2"/>
  </w:num>
  <w:num w:numId="2" w16cid:durableId="486940803">
    <w:abstractNumId w:val="5"/>
  </w:num>
  <w:num w:numId="3" w16cid:durableId="1429734599">
    <w:abstractNumId w:val="0"/>
  </w:num>
  <w:num w:numId="4" w16cid:durableId="1745565381">
    <w:abstractNumId w:val="4"/>
  </w:num>
  <w:num w:numId="5" w16cid:durableId="1440759784">
    <w:abstractNumId w:val="3"/>
  </w:num>
  <w:num w:numId="6" w16cid:durableId="101806204">
    <w:abstractNumId w:val="2"/>
    <w:lvlOverride w:ilvl="0">
      <w:startOverride w:val="2"/>
    </w:lvlOverride>
  </w:num>
  <w:num w:numId="7" w16cid:durableId="226116274">
    <w:abstractNumId w:val="1"/>
  </w:num>
  <w:num w:numId="8" w16cid:durableId="120201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2679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1797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4"/>
    <w:rsid w:val="00002435"/>
    <w:rsid w:val="000066D1"/>
    <w:rsid w:val="00011A4D"/>
    <w:rsid w:val="00020E5C"/>
    <w:rsid w:val="0003513A"/>
    <w:rsid w:val="000351FD"/>
    <w:rsid w:val="000424F1"/>
    <w:rsid w:val="000446C8"/>
    <w:rsid w:val="000458DC"/>
    <w:rsid w:val="00052AE5"/>
    <w:rsid w:val="0005408D"/>
    <w:rsid w:val="000764C1"/>
    <w:rsid w:val="000809F8"/>
    <w:rsid w:val="00083820"/>
    <w:rsid w:val="000872E0"/>
    <w:rsid w:val="000903B8"/>
    <w:rsid w:val="000960D6"/>
    <w:rsid w:val="0009637F"/>
    <w:rsid w:val="000974CA"/>
    <w:rsid w:val="000A2F25"/>
    <w:rsid w:val="000A4BC7"/>
    <w:rsid w:val="000C0D5B"/>
    <w:rsid w:val="000C152A"/>
    <w:rsid w:val="000C7229"/>
    <w:rsid w:val="000D1495"/>
    <w:rsid w:val="000D2B36"/>
    <w:rsid w:val="000D78CE"/>
    <w:rsid w:val="000E0D7D"/>
    <w:rsid w:val="000E0D99"/>
    <w:rsid w:val="000F126D"/>
    <w:rsid w:val="00111167"/>
    <w:rsid w:val="001147FB"/>
    <w:rsid w:val="001149B9"/>
    <w:rsid w:val="00114C33"/>
    <w:rsid w:val="0011551E"/>
    <w:rsid w:val="00120EA0"/>
    <w:rsid w:val="001304EC"/>
    <w:rsid w:val="001342E5"/>
    <w:rsid w:val="00135155"/>
    <w:rsid w:val="00135456"/>
    <w:rsid w:val="00144CF9"/>
    <w:rsid w:val="001453AE"/>
    <w:rsid w:val="00145B23"/>
    <w:rsid w:val="00145F56"/>
    <w:rsid w:val="00146347"/>
    <w:rsid w:val="00152527"/>
    <w:rsid w:val="00155E89"/>
    <w:rsid w:val="00161804"/>
    <w:rsid w:val="00167FF3"/>
    <w:rsid w:val="00175828"/>
    <w:rsid w:val="00176F54"/>
    <w:rsid w:val="00180921"/>
    <w:rsid w:val="001809BD"/>
    <w:rsid w:val="0018158E"/>
    <w:rsid w:val="001974F3"/>
    <w:rsid w:val="001A1588"/>
    <w:rsid w:val="001A7CF9"/>
    <w:rsid w:val="001A7DAF"/>
    <w:rsid w:val="001B26E3"/>
    <w:rsid w:val="001B5742"/>
    <w:rsid w:val="001C0288"/>
    <w:rsid w:val="001C12E5"/>
    <w:rsid w:val="001C733E"/>
    <w:rsid w:val="001D276C"/>
    <w:rsid w:val="001E0184"/>
    <w:rsid w:val="001E44B4"/>
    <w:rsid w:val="001F3E0C"/>
    <w:rsid w:val="001F4D9F"/>
    <w:rsid w:val="002014D8"/>
    <w:rsid w:val="002035C1"/>
    <w:rsid w:val="0020379B"/>
    <w:rsid w:val="002040AC"/>
    <w:rsid w:val="00211075"/>
    <w:rsid w:val="00211BC0"/>
    <w:rsid w:val="0021319A"/>
    <w:rsid w:val="002250E7"/>
    <w:rsid w:val="002301AB"/>
    <w:rsid w:val="002303AF"/>
    <w:rsid w:val="00232D1C"/>
    <w:rsid w:val="00240B34"/>
    <w:rsid w:val="0024512C"/>
    <w:rsid w:val="00246636"/>
    <w:rsid w:val="00247CB8"/>
    <w:rsid w:val="00252A3D"/>
    <w:rsid w:val="00263E76"/>
    <w:rsid w:val="00275D8C"/>
    <w:rsid w:val="00290662"/>
    <w:rsid w:val="00295654"/>
    <w:rsid w:val="002A04D8"/>
    <w:rsid w:val="002A05A5"/>
    <w:rsid w:val="002A1222"/>
    <w:rsid w:val="002A3C78"/>
    <w:rsid w:val="002A46C4"/>
    <w:rsid w:val="002A7392"/>
    <w:rsid w:val="002B0BA2"/>
    <w:rsid w:val="002B37CB"/>
    <w:rsid w:val="002B5127"/>
    <w:rsid w:val="002D15A2"/>
    <w:rsid w:val="002D4E37"/>
    <w:rsid w:val="002D6560"/>
    <w:rsid w:val="002E1D25"/>
    <w:rsid w:val="002E56C3"/>
    <w:rsid w:val="002F7235"/>
    <w:rsid w:val="00300CD1"/>
    <w:rsid w:val="00300E82"/>
    <w:rsid w:val="00313EB7"/>
    <w:rsid w:val="0032400B"/>
    <w:rsid w:val="003260C0"/>
    <w:rsid w:val="00330402"/>
    <w:rsid w:val="003326A0"/>
    <w:rsid w:val="00333FB6"/>
    <w:rsid w:val="00334334"/>
    <w:rsid w:val="00335047"/>
    <w:rsid w:val="00337173"/>
    <w:rsid w:val="0034201E"/>
    <w:rsid w:val="00345AEF"/>
    <w:rsid w:val="0035163B"/>
    <w:rsid w:val="00356284"/>
    <w:rsid w:val="003571EF"/>
    <w:rsid w:val="00361626"/>
    <w:rsid w:val="003651C6"/>
    <w:rsid w:val="00377AE1"/>
    <w:rsid w:val="003852FC"/>
    <w:rsid w:val="00387F2F"/>
    <w:rsid w:val="003914D9"/>
    <w:rsid w:val="003949C3"/>
    <w:rsid w:val="003A39DA"/>
    <w:rsid w:val="003A6024"/>
    <w:rsid w:val="003B6CAE"/>
    <w:rsid w:val="003B76FD"/>
    <w:rsid w:val="003B7D3D"/>
    <w:rsid w:val="003C2A4C"/>
    <w:rsid w:val="003C2C54"/>
    <w:rsid w:val="003C71B7"/>
    <w:rsid w:val="003D0A5B"/>
    <w:rsid w:val="003D192A"/>
    <w:rsid w:val="003D4749"/>
    <w:rsid w:val="003D6C1E"/>
    <w:rsid w:val="003E43D0"/>
    <w:rsid w:val="003F767E"/>
    <w:rsid w:val="003F7E90"/>
    <w:rsid w:val="00400F33"/>
    <w:rsid w:val="004028BC"/>
    <w:rsid w:val="00402F1A"/>
    <w:rsid w:val="004053A6"/>
    <w:rsid w:val="00405877"/>
    <w:rsid w:val="0041158C"/>
    <w:rsid w:val="0041293E"/>
    <w:rsid w:val="00417CF0"/>
    <w:rsid w:val="0042237E"/>
    <w:rsid w:val="00423051"/>
    <w:rsid w:val="00426B53"/>
    <w:rsid w:val="00430F47"/>
    <w:rsid w:val="004311F8"/>
    <w:rsid w:val="00435F70"/>
    <w:rsid w:val="00445393"/>
    <w:rsid w:val="00446740"/>
    <w:rsid w:val="00457754"/>
    <w:rsid w:val="00466FDF"/>
    <w:rsid w:val="0046726C"/>
    <w:rsid w:val="00470BFD"/>
    <w:rsid w:val="00481170"/>
    <w:rsid w:val="00481C57"/>
    <w:rsid w:val="00490361"/>
    <w:rsid w:val="00492453"/>
    <w:rsid w:val="004943D3"/>
    <w:rsid w:val="004A4CB7"/>
    <w:rsid w:val="004A731F"/>
    <w:rsid w:val="004B085E"/>
    <w:rsid w:val="004B0DE9"/>
    <w:rsid w:val="004B71F5"/>
    <w:rsid w:val="004C5542"/>
    <w:rsid w:val="004C6422"/>
    <w:rsid w:val="004D153B"/>
    <w:rsid w:val="004D3590"/>
    <w:rsid w:val="004D3D7E"/>
    <w:rsid w:val="004D525F"/>
    <w:rsid w:val="004E78F9"/>
    <w:rsid w:val="00504104"/>
    <w:rsid w:val="00505CA3"/>
    <w:rsid w:val="005150D0"/>
    <w:rsid w:val="005218C4"/>
    <w:rsid w:val="005260EC"/>
    <w:rsid w:val="005275CB"/>
    <w:rsid w:val="005408D1"/>
    <w:rsid w:val="00543D09"/>
    <w:rsid w:val="005446C5"/>
    <w:rsid w:val="00544E2C"/>
    <w:rsid w:val="00546918"/>
    <w:rsid w:val="005470AB"/>
    <w:rsid w:val="00551377"/>
    <w:rsid w:val="0055535F"/>
    <w:rsid w:val="0055668E"/>
    <w:rsid w:val="005610BB"/>
    <w:rsid w:val="005622ED"/>
    <w:rsid w:val="005636E2"/>
    <w:rsid w:val="005662D9"/>
    <w:rsid w:val="00574283"/>
    <w:rsid w:val="00574731"/>
    <w:rsid w:val="0057584F"/>
    <w:rsid w:val="005800B5"/>
    <w:rsid w:val="00582328"/>
    <w:rsid w:val="005901D0"/>
    <w:rsid w:val="0059543B"/>
    <w:rsid w:val="005A028B"/>
    <w:rsid w:val="005A0E4D"/>
    <w:rsid w:val="005A5E51"/>
    <w:rsid w:val="005A6693"/>
    <w:rsid w:val="005B3899"/>
    <w:rsid w:val="005C2664"/>
    <w:rsid w:val="005C2BFE"/>
    <w:rsid w:val="005C2C82"/>
    <w:rsid w:val="005C466E"/>
    <w:rsid w:val="005C5281"/>
    <w:rsid w:val="005D2983"/>
    <w:rsid w:val="005D2C19"/>
    <w:rsid w:val="005D3011"/>
    <w:rsid w:val="005D38BE"/>
    <w:rsid w:val="005E143B"/>
    <w:rsid w:val="005E323F"/>
    <w:rsid w:val="005F2336"/>
    <w:rsid w:val="005F45D7"/>
    <w:rsid w:val="00600116"/>
    <w:rsid w:val="00604295"/>
    <w:rsid w:val="0060584C"/>
    <w:rsid w:val="00626F7E"/>
    <w:rsid w:val="00631F10"/>
    <w:rsid w:val="00631F9C"/>
    <w:rsid w:val="006352AB"/>
    <w:rsid w:val="0063569F"/>
    <w:rsid w:val="00642BC1"/>
    <w:rsid w:val="006440DC"/>
    <w:rsid w:val="00651507"/>
    <w:rsid w:val="006550CD"/>
    <w:rsid w:val="0065532A"/>
    <w:rsid w:val="006632BB"/>
    <w:rsid w:val="00667340"/>
    <w:rsid w:val="006709AB"/>
    <w:rsid w:val="00674E93"/>
    <w:rsid w:val="00675A30"/>
    <w:rsid w:val="0067770B"/>
    <w:rsid w:val="0068078C"/>
    <w:rsid w:val="00680F08"/>
    <w:rsid w:val="00685C66"/>
    <w:rsid w:val="00697763"/>
    <w:rsid w:val="006A19BD"/>
    <w:rsid w:val="006A4F81"/>
    <w:rsid w:val="006A60EA"/>
    <w:rsid w:val="006B03AF"/>
    <w:rsid w:val="006B2846"/>
    <w:rsid w:val="006B4757"/>
    <w:rsid w:val="006B4D5F"/>
    <w:rsid w:val="006B7B0E"/>
    <w:rsid w:val="006C2FD7"/>
    <w:rsid w:val="006C6F09"/>
    <w:rsid w:val="006D2FC1"/>
    <w:rsid w:val="006D4ADA"/>
    <w:rsid w:val="006E7860"/>
    <w:rsid w:val="006F0A89"/>
    <w:rsid w:val="006F25B9"/>
    <w:rsid w:val="006F4350"/>
    <w:rsid w:val="00703CD5"/>
    <w:rsid w:val="007142F9"/>
    <w:rsid w:val="00715F60"/>
    <w:rsid w:val="00723362"/>
    <w:rsid w:val="007307D1"/>
    <w:rsid w:val="00733BB0"/>
    <w:rsid w:val="007354D3"/>
    <w:rsid w:val="00737056"/>
    <w:rsid w:val="00741C97"/>
    <w:rsid w:val="00745415"/>
    <w:rsid w:val="00745D4A"/>
    <w:rsid w:val="007475BB"/>
    <w:rsid w:val="00760D4F"/>
    <w:rsid w:val="00761D60"/>
    <w:rsid w:val="00763141"/>
    <w:rsid w:val="00770E6B"/>
    <w:rsid w:val="007818B1"/>
    <w:rsid w:val="00786382"/>
    <w:rsid w:val="00795D53"/>
    <w:rsid w:val="007B2E5D"/>
    <w:rsid w:val="007B63A5"/>
    <w:rsid w:val="007C0BE6"/>
    <w:rsid w:val="007C2FC9"/>
    <w:rsid w:val="007C7010"/>
    <w:rsid w:val="007D1037"/>
    <w:rsid w:val="007D15EE"/>
    <w:rsid w:val="007F452F"/>
    <w:rsid w:val="007F5FE9"/>
    <w:rsid w:val="00813C71"/>
    <w:rsid w:val="0081430F"/>
    <w:rsid w:val="008216C4"/>
    <w:rsid w:val="00823D98"/>
    <w:rsid w:val="00825EF8"/>
    <w:rsid w:val="00827943"/>
    <w:rsid w:val="00827C3F"/>
    <w:rsid w:val="00830DDB"/>
    <w:rsid w:val="008360A5"/>
    <w:rsid w:val="008368E1"/>
    <w:rsid w:val="00836FFE"/>
    <w:rsid w:val="0083783E"/>
    <w:rsid w:val="00844858"/>
    <w:rsid w:val="00857EE1"/>
    <w:rsid w:val="008644D9"/>
    <w:rsid w:val="00867162"/>
    <w:rsid w:val="0087244D"/>
    <w:rsid w:val="008761BE"/>
    <w:rsid w:val="0088087A"/>
    <w:rsid w:val="00882CDC"/>
    <w:rsid w:val="00886DA3"/>
    <w:rsid w:val="008910D3"/>
    <w:rsid w:val="00891274"/>
    <w:rsid w:val="008952A1"/>
    <w:rsid w:val="008A3A31"/>
    <w:rsid w:val="008A57EA"/>
    <w:rsid w:val="008B0E37"/>
    <w:rsid w:val="008B3AE8"/>
    <w:rsid w:val="008B7F20"/>
    <w:rsid w:val="008C69E7"/>
    <w:rsid w:val="008D2811"/>
    <w:rsid w:val="008D2B7E"/>
    <w:rsid w:val="008D72A6"/>
    <w:rsid w:val="008D791B"/>
    <w:rsid w:val="008E4682"/>
    <w:rsid w:val="008E7D9C"/>
    <w:rsid w:val="00905162"/>
    <w:rsid w:val="00907379"/>
    <w:rsid w:val="00910CC7"/>
    <w:rsid w:val="00911238"/>
    <w:rsid w:val="00913DF0"/>
    <w:rsid w:val="0091552B"/>
    <w:rsid w:val="00923E8A"/>
    <w:rsid w:val="00935DFA"/>
    <w:rsid w:val="00937873"/>
    <w:rsid w:val="00941F40"/>
    <w:rsid w:val="00942156"/>
    <w:rsid w:val="00942ED8"/>
    <w:rsid w:val="00943473"/>
    <w:rsid w:val="00946507"/>
    <w:rsid w:val="009477D2"/>
    <w:rsid w:val="00952F15"/>
    <w:rsid w:val="00953721"/>
    <w:rsid w:val="009540AB"/>
    <w:rsid w:val="00956130"/>
    <w:rsid w:val="00967F2F"/>
    <w:rsid w:val="0097102D"/>
    <w:rsid w:val="00980550"/>
    <w:rsid w:val="00982509"/>
    <w:rsid w:val="00995887"/>
    <w:rsid w:val="009A1FF7"/>
    <w:rsid w:val="009A65D3"/>
    <w:rsid w:val="009B031F"/>
    <w:rsid w:val="009B32A1"/>
    <w:rsid w:val="009C460F"/>
    <w:rsid w:val="009C72B8"/>
    <w:rsid w:val="009D1F42"/>
    <w:rsid w:val="009D3D76"/>
    <w:rsid w:val="009D6CC0"/>
    <w:rsid w:val="009D6EB9"/>
    <w:rsid w:val="009E02BD"/>
    <w:rsid w:val="009E1957"/>
    <w:rsid w:val="009E3D80"/>
    <w:rsid w:val="009E5068"/>
    <w:rsid w:val="009F1DD4"/>
    <w:rsid w:val="00A00B52"/>
    <w:rsid w:val="00A02B24"/>
    <w:rsid w:val="00A077D2"/>
    <w:rsid w:val="00A12615"/>
    <w:rsid w:val="00A1426D"/>
    <w:rsid w:val="00A16EEE"/>
    <w:rsid w:val="00A225A6"/>
    <w:rsid w:val="00A23BEC"/>
    <w:rsid w:val="00A26598"/>
    <w:rsid w:val="00A55540"/>
    <w:rsid w:val="00A56414"/>
    <w:rsid w:val="00A61E6D"/>
    <w:rsid w:val="00A63C74"/>
    <w:rsid w:val="00A66AF4"/>
    <w:rsid w:val="00A70EF4"/>
    <w:rsid w:val="00A72FC0"/>
    <w:rsid w:val="00A74EFF"/>
    <w:rsid w:val="00A7674C"/>
    <w:rsid w:val="00A81513"/>
    <w:rsid w:val="00A8448A"/>
    <w:rsid w:val="00A844D7"/>
    <w:rsid w:val="00A96223"/>
    <w:rsid w:val="00AA10E8"/>
    <w:rsid w:val="00AA41AB"/>
    <w:rsid w:val="00AA49FA"/>
    <w:rsid w:val="00AA4F86"/>
    <w:rsid w:val="00AA55ED"/>
    <w:rsid w:val="00AB41E2"/>
    <w:rsid w:val="00AB5C5D"/>
    <w:rsid w:val="00AC2705"/>
    <w:rsid w:val="00AC278B"/>
    <w:rsid w:val="00AC361A"/>
    <w:rsid w:val="00AC613D"/>
    <w:rsid w:val="00AD2906"/>
    <w:rsid w:val="00AE4C68"/>
    <w:rsid w:val="00AE5351"/>
    <w:rsid w:val="00AF5D0C"/>
    <w:rsid w:val="00AF7571"/>
    <w:rsid w:val="00B010FC"/>
    <w:rsid w:val="00B032FA"/>
    <w:rsid w:val="00B061CA"/>
    <w:rsid w:val="00B07119"/>
    <w:rsid w:val="00B11660"/>
    <w:rsid w:val="00B11E2F"/>
    <w:rsid w:val="00B140A5"/>
    <w:rsid w:val="00B15547"/>
    <w:rsid w:val="00B227C9"/>
    <w:rsid w:val="00B23AD6"/>
    <w:rsid w:val="00B272A7"/>
    <w:rsid w:val="00B274FE"/>
    <w:rsid w:val="00B36642"/>
    <w:rsid w:val="00B42EEF"/>
    <w:rsid w:val="00B50EEC"/>
    <w:rsid w:val="00B520B7"/>
    <w:rsid w:val="00B64DEE"/>
    <w:rsid w:val="00B67AB1"/>
    <w:rsid w:val="00B7076A"/>
    <w:rsid w:val="00B71F7F"/>
    <w:rsid w:val="00B72EAF"/>
    <w:rsid w:val="00B83B1F"/>
    <w:rsid w:val="00B84643"/>
    <w:rsid w:val="00B90802"/>
    <w:rsid w:val="00B93B4F"/>
    <w:rsid w:val="00BA63DC"/>
    <w:rsid w:val="00BB29D7"/>
    <w:rsid w:val="00BB4062"/>
    <w:rsid w:val="00BB4982"/>
    <w:rsid w:val="00BC2A0C"/>
    <w:rsid w:val="00BC2FB8"/>
    <w:rsid w:val="00BC5AD4"/>
    <w:rsid w:val="00BC7158"/>
    <w:rsid w:val="00BD47FB"/>
    <w:rsid w:val="00BE3E16"/>
    <w:rsid w:val="00BE4F27"/>
    <w:rsid w:val="00BE7689"/>
    <w:rsid w:val="00BE7849"/>
    <w:rsid w:val="00BF3C1C"/>
    <w:rsid w:val="00BF4DE8"/>
    <w:rsid w:val="00C001A8"/>
    <w:rsid w:val="00C052B0"/>
    <w:rsid w:val="00C06798"/>
    <w:rsid w:val="00C24A57"/>
    <w:rsid w:val="00C26599"/>
    <w:rsid w:val="00C27891"/>
    <w:rsid w:val="00C33034"/>
    <w:rsid w:val="00C41BAA"/>
    <w:rsid w:val="00C423F6"/>
    <w:rsid w:val="00C431EA"/>
    <w:rsid w:val="00C436ED"/>
    <w:rsid w:val="00C445B3"/>
    <w:rsid w:val="00C45347"/>
    <w:rsid w:val="00C4582C"/>
    <w:rsid w:val="00C548C9"/>
    <w:rsid w:val="00C603F3"/>
    <w:rsid w:val="00C639EB"/>
    <w:rsid w:val="00C64139"/>
    <w:rsid w:val="00C713F1"/>
    <w:rsid w:val="00C72AA0"/>
    <w:rsid w:val="00C74B3E"/>
    <w:rsid w:val="00C74C2D"/>
    <w:rsid w:val="00C74DF7"/>
    <w:rsid w:val="00C776E4"/>
    <w:rsid w:val="00C8673B"/>
    <w:rsid w:val="00CA1C19"/>
    <w:rsid w:val="00CA6995"/>
    <w:rsid w:val="00CB645A"/>
    <w:rsid w:val="00CC02B6"/>
    <w:rsid w:val="00CC1F1A"/>
    <w:rsid w:val="00CC2BDA"/>
    <w:rsid w:val="00CE022B"/>
    <w:rsid w:val="00CE51B1"/>
    <w:rsid w:val="00D04CBF"/>
    <w:rsid w:val="00D11BA1"/>
    <w:rsid w:val="00D17914"/>
    <w:rsid w:val="00D247B2"/>
    <w:rsid w:val="00D24C42"/>
    <w:rsid w:val="00D347D5"/>
    <w:rsid w:val="00D366DA"/>
    <w:rsid w:val="00D430A9"/>
    <w:rsid w:val="00D4537D"/>
    <w:rsid w:val="00D45737"/>
    <w:rsid w:val="00D47744"/>
    <w:rsid w:val="00D62202"/>
    <w:rsid w:val="00D6221A"/>
    <w:rsid w:val="00D75A93"/>
    <w:rsid w:val="00D775EA"/>
    <w:rsid w:val="00D8532F"/>
    <w:rsid w:val="00D872EF"/>
    <w:rsid w:val="00D903DC"/>
    <w:rsid w:val="00D90D13"/>
    <w:rsid w:val="00D93549"/>
    <w:rsid w:val="00D97AAC"/>
    <w:rsid w:val="00DB77CA"/>
    <w:rsid w:val="00DC29DC"/>
    <w:rsid w:val="00DD065A"/>
    <w:rsid w:val="00DE0306"/>
    <w:rsid w:val="00DE10BB"/>
    <w:rsid w:val="00DE34F5"/>
    <w:rsid w:val="00DE5111"/>
    <w:rsid w:val="00DE5460"/>
    <w:rsid w:val="00DE5B9D"/>
    <w:rsid w:val="00DE6542"/>
    <w:rsid w:val="00DE69FF"/>
    <w:rsid w:val="00DF129D"/>
    <w:rsid w:val="00DF75ED"/>
    <w:rsid w:val="00E00839"/>
    <w:rsid w:val="00E00C56"/>
    <w:rsid w:val="00E032B4"/>
    <w:rsid w:val="00E033CD"/>
    <w:rsid w:val="00E12CFF"/>
    <w:rsid w:val="00E21354"/>
    <w:rsid w:val="00E301D4"/>
    <w:rsid w:val="00E43CD8"/>
    <w:rsid w:val="00E455A8"/>
    <w:rsid w:val="00E612ED"/>
    <w:rsid w:val="00E638B3"/>
    <w:rsid w:val="00E85D89"/>
    <w:rsid w:val="00E9313B"/>
    <w:rsid w:val="00E94AF6"/>
    <w:rsid w:val="00EA2410"/>
    <w:rsid w:val="00EB3C3E"/>
    <w:rsid w:val="00EB4F83"/>
    <w:rsid w:val="00EB6788"/>
    <w:rsid w:val="00EB6AE0"/>
    <w:rsid w:val="00EB78FA"/>
    <w:rsid w:val="00EC1B68"/>
    <w:rsid w:val="00EC1C9F"/>
    <w:rsid w:val="00ED0775"/>
    <w:rsid w:val="00ED32E4"/>
    <w:rsid w:val="00ED5131"/>
    <w:rsid w:val="00ED7DD2"/>
    <w:rsid w:val="00EE0826"/>
    <w:rsid w:val="00EE2E63"/>
    <w:rsid w:val="00EE5FEA"/>
    <w:rsid w:val="00EF0363"/>
    <w:rsid w:val="00EF1531"/>
    <w:rsid w:val="00EF5B22"/>
    <w:rsid w:val="00EF7DC8"/>
    <w:rsid w:val="00F1222A"/>
    <w:rsid w:val="00F159BB"/>
    <w:rsid w:val="00F2418E"/>
    <w:rsid w:val="00F2641A"/>
    <w:rsid w:val="00F35311"/>
    <w:rsid w:val="00F4699B"/>
    <w:rsid w:val="00F46CC7"/>
    <w:rsid w:val="00F602D4"/>
    <w:rsid w:val="00F66D09"/>
    <w:rsid w:val="00F6731D"/>
    <w:rsid w:val="00F67602"/>
    <w:rsid w:val="00F777B2"/>
    <w:rsid w:val="00F84154"/>
    <w:rsid w:val="00F8561E"/>
    <w:rsid w:val="00F90D89"/>
    <w:rsid w:val="00F919D6"/>
    <w:rsid w:val="00F92530"/>
    <w:rsid w:val="00F951BE"/>
    <w:rsid w:val="00F96D2C"/>
    <w:rsid w:val="00FA34D5"/>
    <w:rsid w:val="00FA4E78"/>
    <w:rsid w:val="00FA6F95"/>
    <w:rsid w:val="00FB125A"/>
    <w:rsid w:val="00FB2011"/>
    <w:rsid w:val="00FB6EB5"/>
    <w:rsid w:val="00FC262D"/>
    <w:rsid w:val="00FD03D0"/>
    <w:rsid w:val="00FD0EAF"/>
    <w:rsid w:val="00FD1EA5"/>
    <w:rsid w:val="00FD25E5"/>
    <w:rsid w:val="00FD568D"/>
    <w:rsid w:val="00FE05E7"/>
    <w:rsid w:val="00FE0689"/>
    <w:rsid w:val="00FE206E"/>
    <w:rsid w:val="00FE5D65"/>
    <w:rsid w:val="00FF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6AB91"/>
  <w15:chartTrackingRefBased/>
  <w15:docId w15:val="{D11F3BA1-39A9-4593-B4BA-8A27CBD1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rsid w:val="008B0E37"/>
    <w:pPr>
      <w:spacing w:line="240" w:lineRule="auto"/>
    </w:pPr>
    <w:rPr>
      <w:rFonts w:eastAsia="MS Mincho" w:cs="Traditional Arabic"/>
      <w:i/>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99"/>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paragraph" w:styleId="ListParagraph">
    <w:name w:val="List Paragraph"/>
    <w:basedOn w:val="Normal"/>
    <w:uiPriority w:val="34"/>
    <w:qFormat/>
    <w:rsid w:val="00457754"/>
    <w:pPr>
      <w:spacing w:before="120"/>
      <w:ind w:left="720"/>
      <w:contextualSpacing/>
    </w:pPr>
    <w:rPr>
      <w:color w:val="000000" w:themeColor="text1"/>
      <w:szCs w:val="24"/>
    </w:rPr>
  </w:style>
  <w:style w:type="table" w:styleId="ListTable3-Accent1">
    <w:name w:val="List Table 3 Accent 1"/>
    <w:basedOn w:val="TableNormal"/>
    <w:uiPriority w:val="48"/>
    <w:rsid w:val="00457754"/>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paragraph" w:customStyle="1" w:styleId="ENVCoverDescription">
    <w:name w:val="ENV_Cover Description"/>
    <w:basedOn w:val="Normal"/>
    <w:qFormat/>
    <w:rsid w:val="00457754"/>
    <w:pPr>
      <w:spacing w:after="0" w:line="320" w:lineRule="exact"/>
    </w:pPr>
    <w:rPr>
      <w:rFonts w:ascii="Franklin Gothic Book" w:eastAsia="Times New Roman" w:hAnsi="Franklin Gothic Book" w:cs="Times New Roman"/>
      <w:kern w:val="0"/>
      <w:szCs w:val="24"/>
      <w14:ligatures w14:val="none"/>
    </w:rPr>
  </w:style>
  <w:style w:type="character" w:styleId="UnresolvedMention">
    <w:name w:val="Unresolved Mention"/>
    <w:basedOn w:val="DefaultParagraphFont"/>
    <w:uiPriority w:val="99"/>
    <w:semiHidden/>
    <w:unhideWhenUsed/>
    <w:rsid w:val="00457754"/>
    <w:rPr>
      <w:color w:val="605E5C"/>
      <w:shd w:val="clear" w:color="auto" w:fill="E1DFDD"/>
    </w:rPr>
  </w:style>
  <w:style w:type="character" w:styleId="FollowedHyperlink">
    <w:name w:val="FollowedHyperlink"/>
    <w:basedOn w:val="DefaultParagraphFont"/>
    <w:uiPriority w:val="99"/>
    <w:semiHidden/>
    <w:unhideWhenUsed/>
    <w:rsid w:val="00457754"/>
    <w:rPr>
      <w:color w:val="5F0F40" w:themeColor="followedHyperlink"/>
      <w:u w:val="single"/>
    </w:rPr>
  </w:style>
  <w:style w:type="character" w:styleId="LineNumber">
    <w:name w:val="line number"/>
    <w:basedOn w:val="DefaultParagraphFont"/>
    <w:uiPriority w:val="99"/>
    <w:unhideWhenUsed/>
    <w:rsid w:val="00457754"/>
  </w:style>
  <w:style w:type="paragraph" w:customStyle="1" w:styleId="CHFigureTable">
    <w:name w:val="CH_Figure Table"/>
    <w:basedOn w:val="TOC2"/>
    <w:link w:val="CHFigureTableChar"/>
    <w:rsid w:val="00457754"/>
    <w:pPr>
      <w:tabs>
        <w:tab w:val="left" w:pos="945"/>
        <w:tab w:val="right" w:leader="dot" w:pos="9360"/>
      </w:tabs>
      <w:spacing w:before="40" w:after="40" w:line="276" w:lineRule="auto"/>
      <w:ind w:left="1094" w:hanging="1094"/>
    </w:pPr>
    <w:rPr>
      <w:rFonts w:ascii="Arial" w:eastAsia="Times New Roman" w:hAnsi="Arial" w:cs="Times New Roman"/>
      <w:noProof/>
      <w:color w:val="0000FF"/>
      <w:kern w:val="0"/>
      <w:sz w:val="20"/>
      <w14:ligatures w14:val="none"/>
    </w:rPr>
  </w:style>
  <w:style w:type="character" w:customStyle="1" w:styleId="CHFigureTableChar">
    <w:name w:val="CH_Figure Table Char"/>
    <w:basedOn w:val="DefaultParagraphFont"/>
    <w:link w:val="CHFigureTable"/>
    <w:rsid w:val="00457754"/>
    <w:rPr>
      <w:rFonts w:ascii="Arial" w:eastAsia="Times New Roman" w:hAnsi="Arial" w:cs="Times New Roman"/>
      <w:noProof/>
      <w:color w:val="0000FF"/>
      <w:kern w:val="0"/>
      <w:sz w:val="20"/>
      <w:szCs w:val="20"/>
      <w14:ligatures w14:val="none"/>
    </w:rPr>
  </w:style>
  <w:style w:type="paragraph" w:styleId="Revision">
    <w:name w:val="Revision"/>
    <w:hidden/>
    <w:uiPriority w:val="99"/>
    <w:semiHidden/>
    <w:rsid w:val="004D3D7E"/>
    <w:rPr>
      <w:szCs w:val="20"/>
    </w:rPr>
  </w:style>
  <w:style w:type="character" w:styleId="CommentReference">
    <w:name w:val="annotation reference"/>
    <w:basedOn w:val="DefaultParagraphFont"/>
    <w:uiPriority w:val="99"/>
    <w:semiHidden/>
    <w:unhideWhenUsed/>
    <w:rsid w:val="000A2F25"/>
    <w:rPr>
      <w:sz w:val="16"/>
      <w:szCs w:val="16"/>
    </w:rPr>
  </w:style>
  <w:style w:type="paragraph" w:styleId="CommentText">
    <w:name w:val="annotation text"/>
    <w:basedOn w:val="Normal"/>
    <w:link w:val="CommentTextChar"/>
    <w:uiPriority w:val="99"/>
    <w:unhideWhenUsed/>
    <w:rsid w:val="000A2F25"/>
    <w:pPr>
      <w:spacing w:line="240" w:lineRule="auto"/>
    </w:pPr>
    <w:rPr>
      <w:sz w:val="20"/>
    </w:rPr>
  </w:style>
  <w:style w:type="character" w:customStyle="1" w:styleId="CommentTextChar">
    <w:name w:val="Comment Text Char"/>
    <w:basedOn w:val="DefaultParagraphFont"/>
    <w:link w:val="CommentText"/>
    <w:uiPriority w:val="99"/>
    <w:rsid w:val="000A2F25"/>
    <w:rPr>
      <w:sz w:val="20"/>
      <w:szCs w:val="20"/>
    </w:rPr>
  </w:style>
  <w:style w:type="paragraph" w:styleId="CommentSubject">
    <w:name w:val="annotation subject"/>
    <w:basedOn w:val="CommentText"/>
    <w:next w:val="CommentText"/>
    <w:link w:val="CommentSubjectChar"/>
    <w:uiPriority w:val="99"/>
    <w:semiHidden/>
    <w:unhideWhenUsed/>
    <w:rsid w:val="000A2F25"/>
    <w:rPr>
      <w:b/>
      <w:bCs/>
    </w:rPr>
  </w:style>
  <w:style w:type="character" w:customStyle="1" w:styleId="CommentSubjectChar">
    <w:name w:val="Comment Subject Char"/>
    <w:basedOn w:val="CommentTextChar"/>
    <w:link w:val="CommentSubject"/>
    <w:uiPriority w:val="99"/>
    <w:semiHidden/>
    <w:rsid w:val="000A2F25"/>
    <w:rPr>
      <w:b/>
      <w:bCs/>
      <w:sz w:val="20"/>
      <w:szCs w:val="20"/>
    </w:rPr>
  </w:style>
  <w:style w:type="paragraph" w:styleId="TableofFigures">
    <w:name w:val="table of figures"/>
    <w:basedOn w:val="Normal"/>
    <w:next w:val="Normal"/>
    <w:uiPriority w:val="99"/>
    <w:unhideWhenUsed/>
    <w:rsid w:val="00B83B1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48163">
      <w:bodyDiv w:val="1"/>
      <w:marLeft w:val="0"/>
      <w:marRight w:val="0"/>
      <w:marTop w:val="0"/>
      <w:marBottom w:val="0"/>
      <w:divBdr>
        <w:top w:val="none" w:sz="0" w:space="0" w:color="auto"/>
        <w:left w:val="none" w:sz="0" w:space="0" w:color="auto"/>
        <w:bottom w:val="none" w:sz="0" w:space="0" w:color="auto"/>
        <w:right w:val="none" w:sz="0" w:space="0" w:color="auto"/>
      </w:divBdr>
    </w:div>
    <w:div w:id="842821945">
      <w:bodyDiv w:val="1"/>
      <w:marLeft w:val="0"/>
      <w:marRight w:val="0"/>
      <w:marTop w:val="0"/>
      <w:marBottom w:val="0"/>
      <w:divBdr>
        <w:top w:val="none" w:sz="0" w:space="0" w:color="auto"/>
        <w:left w:val="none" w:sz="0" w:space="0" w:color="auto"/>
        <w:bottom w:val="none" w:sz="0" w:space="0" w:color="auto"/>
        <w:right w:val="none" w:sz="0" w:space="0" w:color="auto"/>
      </w:divBdr>
    </w:div>
    <w:div w:id="952395228">
      <w:bodyDiv w:val="1"/>
      <w:marLeft w:val="0"/>
      <w:marRight w:val="0"/>
      <w:marTop w:val="0"/>
      <w:marBottom w:val="0"/>
      <w:divBdr>
        <w:top w:val="none" w:sz="0" w:space="0" w:color="auto"/>
        <w:left w:val="none" w:sz="0" w:space="0" w:color="auto"/>
        <w:bottom w:val="none" w:sz="0" w:space="0" w:color="auto"/>
        <w:right w:val="none" w:sz="0" w:space="0" w:color="auto"/>
      </w:divBdr>
    </w:div>
    <w:div w:id="97093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am11.safelinks.protection.outlook.com/?url=https%3A%2F%2Ftxdot.sharepoint.com%2Fsites%2FPISection%2FSitePages%2FToolkits-and-Templates.aspx&amp;data=05%7C02%7CStacy.Hargrove%40txdot.gov%7Cee2735971c784b6eccb408de5d2cfb34%7C39dba4765c094c6391dace7a3ab5224d%7C0%7C0%7C639050644950148774%7CUnknown%7CTWFpbGZsb3d8eyJFbXB0eU1hcGkiOnRydWUsIlYiOiIwLjAuMDAwMCIsIlAiOiJXaW4zMiIsIkFOIjoiTWFpbCIsIldUIjoyfQ%3D%3D%7C0%7C%7C%7C&amp;sdata=%2BrXUP2SvxD%2BL6fOLJDEMDeTVlD4xSXBk%2BuYgiE5JaMM%3D&amp;reserved=0" TargetMode="External"/><Relationship Id="rId26" Type="http://schemas.openxmlformats.org/officeDocument/2006/relationships/hyperlink" Target="https://uscode.house.gov/view.xhtml?req=granuleid:USC-2007-title16-section470&amp;num=0&amp;edition=2007" TargetMode="External"/><Relationship Id="rId39" Type="http://schemas.openxmlformats.org/officeDocument/2006/relationships/hyperlink" Target="http://texreg.sos.state.tx.us/public/readtac$ext.TacPage?sl=T&amp;app=9&amp;p_dir=P&amp;p_rloc=166863&amp;p_tloc=&amp;p_ploc=1&amp;pg=8&amp;p_tac=&amp;ti=43&amp;pt=1&amp;ch=2&amp;rl=14" TargetMode="External"/><Relationship Id="rId21" Type="http://schemas.openxmlformats.org/officeDocument/2006/relationships/hyperlink" Target="http://texreg.sos.state.tx.us/public/readtac$ext.TacPage?sl=R&amp;app=9&amp;p_dir=&amp;p_rloc=&amp;p_tloc=&amp;p_ploc=&amp;pg=1&amp;p_tac=&amp;ti=43&amp;pt=1&amp;ch=1&amp;rl=5" TargetMode="External"/><Relationship Id="rId34" Type="http://schemas.openxmlformats.org/officeDocument/2006/relationships/hyperlink" Target="https://statutes.capitol.texas.gov/Docs/TN/pdf/TN.201.pdf" TargetMode="External"/><Relationship Id="rId42" Type="http://schemas.openxmlformats.org/officeDocument/2006/relationships/hyperlink" Target="http://texreg.sos.state.tx.us/public/readtac$ext.TacPage?sl=R&amp;app=9&amp;p_dir=&amp;p_rloc=&amp;p_tloc=&amp;p_ploc=&amp;pg=1&amp;p_tac=&amp;ti=43&amp;pt=1&amp;ch=2&amp;rl=105" TargetMode="External"/><Relationship Id="rId47" Type="http://schemas.openxmlformats.org/officeDocument/2006/relationships/hyperlink" Target="http://texreg.sos.state.tx.us/public/readtac$ext.TacPage?sl=R&amp;app=9&amp;p_dir=&amp;p_rloc=&amp;p_tloc=&amp;p_ploc=&amp;pg=1&amp;p_tac=&amp;ti=43&amp;pt=1&amp;ch=2&amp;rl=106" TargetMode="External"/><Relationship Id="rId50" Type="http://schemas.openxmlformats.org/officeDocument/2006/relationships/hyperlink" Target="https://uscode.house.gov/view.xhtml?req=(title:23%20section:139%20edition:prelim)%20OR%20(granuleid:USC-prelim-title23-section139)&amp;f=treesort&amp;edition=prelim&amp;num=0&amp;jumpTo=true" TargetMode="External"/><Relationship Id="rId55" Type="http://schemas.openxmlformats.org/officeDocument/2006/relationships/hyperlink" Target="https://statutes.capitol.texas.gov/Docs/GV/htm/GV.552.htm" TargetMode="External"/><Relationship Id="rId63" Type="http://schemas.openxmlformats.org/officeDocument/2006/relationships/hyperlink" Target="https://www.txdot.gov/business/resources/environmental/compliance-toolkits/public-involvement.html" TargetMode="External"/><Relationship Id="rId68" Type="http://schemas.openxmlformats.org/officeDocument/2006/relationships/hyperlink" Target="https://www.ecfr.gov/current/title-23/chapter-I/subchapter-H/part-771/section-771.115" TargetMode="External"/><Relationship Id="rId76" Type="http://schemas.openxmlformats.org/officeDocument/2006/relationships/hyperlink" Target="http://www.ecfr.gov/cgi-bin/text-idx?SID=16ec18a9c18842ea6d7c53dc3f9566d1&amp;node=pt23.1.771&amp;rgn=div5%20-%20se23.1.771_1125" TargetMode="External"/><Relationship Id="rId84" Type="http://schemas.openxmlformats.org/officeDocument/2006/relationships/hyperlink" Target="https://statutes.capitol.texas.gov/?tab=1&amp;code=TN&amp;chapter=TN.201&amp;artSec=201.811" TargetMode="External"/><Relationship Id="rId89" Type="http://schemas.openxmlformats.org/officeDocument/2006/relationships/hyperlink" Target="https://www.txdot.gov/business/resources/environmental/compliance-toolkits/public-involvement.html" TargetMode="External"/><Relationship Id="rId7" Type="http://schemas.openxmlformats.org/officeDocument/2006/relationships/settings" Target="settings.xml"/><Relationship Id="rId71" Type="http://schemas.openxmlformats.org/officeDocument/2006/relationships/hyperlink" Target="https://www.txdot.gov/business/resources/environmental/compliance-toolkits/public-involvement.html" TargetMode="External"/><Relationship Id="rId92" Type="http://schemas.openxmlformats.org/officeDocument/2006/relationships/hyperlink" Target="https://texas-sos.appianportalsgov.com/rules-and-meetings?$locale=en_US&amp;interface=VIEW_TAC_SUMMARY&amp;queryAsDate=12%2F18%2F2025&amp;recordId=179037" TargetMode="External"/><Relationship Id="rId2" Type="http://schemas.openxmlformats.org/officeDocument/2006/relationships/customXml" Target="../customXml/item2.xml"/><Relationship Id="rId16" Type="http://schemas.openxmlformats.org/officeDocument/2006/relationships/hyperlink" Target="https://nam11.safelinks.protection.outlook.com/?url=https%3A%2F%2Ftxdot.sharepoint.com%2Fsites%2FPISection&amp;data=05%7C02%7CStacy.Hargrove%40txdot.gov%7Cee2735971c784b6eccb408de5d2cfb34%7C39dba4765c094c6391dace7a3ab5224d%7C0%7C0%7C639050644950101779%7CUnknown%7CTWFpbGZsb3d8eyJFbXB0eU1hcGkiOnRydWUsIlYiOiIwLjAuMDAwMCIsIlAiOiJXaW4zMiIsIkFOIjoiTWFpbCIsIldUIjoyfQ%3D%3D%7C0%7C%7C%7C&amp;sdata=qCp8XdfM%2FM%2BWAT9KCcILJwBv2lXp731F7wJkvBFvoAM%3D&amp;reserved=0" TargetMode="External"/><Relationship Id="rId29" Type="http://schemas.openxmlformats.org/officeDocument/2006/relationships/hyperlink" Target="https://uscode.house.gov/view.xhtml?req=(title:49%20section:303%20edition:prelim)%20OR%20(granuleid:USC-prelim-title49-section303)&amp;f=treesort&amp;edition=prelim&amp;num=0&amp;jumpTo=true" TargetMode="External"/><Relationship Id="rId11" Type="http://schemas.openxmlformats.org/officeDocument/2006/relationships/image" Target="media/image1.png"/><Relationship Id="rId24" Type="http://schemas.openxmlformats.org/officeDocument/2006/relationships/hyperlink" Target="https://uscode.house.gov/view.xhtml?req=(title:23%20section:128%20edition:prelim)%20OR%20(granuleid:USC-prelim-title23-section128)&amp;f=treesort&amp;edition=prelim&amp;num=0&amp;jumpTo=true" TargetMode="External"/><Relationship Id="rId32" Type="http://schemas.openxmlformats.org/officeDocument/2006/relationships/hyperlink" Target="https://statutes.capitol.texas.gov/Docs/PW/htm/PW.26.htm" TargetMode="External"/><Relationship Id="rId37" Type="http://schemas.openxmlformats.org/officeDocument/2006/relationships/hyperlink" Target="https://www.txdot.gov/business/resources/environmental/compliance-toolkits/historic-resources.html" TargetMode="External"/><Relationship Id="rId40" Type="http://schemas.openxmlformats.org/officeDocument/2006/relationships/hyperlink" Target="https://statutes.capitol.texas.gov/Docs/GV/htm/GV.552.htm" TargetMode="External"/><Relationship Id="rId45" Type="http://schemas.openxmlformats.org/officeDocument/2006/relationships/hyperlink" Target="https://www.census.gov/acs/www/data/data-tables-and-tools/narrative-profiles/" TargetMode="External"/><Relationship Id="rId53" Type="http://schemas.openxmlformats.org/officeDocument/2006/relationships/hyperlink" Target="http://www.statutes.legis.state.tx.us/Docs/PW/htm/PW.26.htm" TargetMode="External"/><Relationship Id="rId58" Type="http://schemas.openxmlformats.org/officeDocument/2006/relationships/hyperlink" Target="https://www.txdot.gov/business/resources/environmental/compliance-toolkits/public-involvement.html" TargetMode="External"/><Relationship Id="rId66" Type="http://schemas.openxmlformats.org/officeDocument/2006/relationships/hyperlink" Target="http://www.txdot.gov/inside-txdot/division/environmental/compliance-toolkits/public-involvement.html" TargetMode="External"/><Relationship Id="rId74" Type="http://schemas.openxmlformats.org/officeDocument/2006/relationships/hyperlink" Target="mailto:Houston.robert@epa.gov" TargetMode="External"/><Relationship Id="rId79" Type="http://schemas.openxmlformats.org/officeDocument/2006/relationships/hyperlink" Target="https://uscode.house.gov/view.xhtml?req=(title:23%20section:139%20edition:prelim)%20OR%20(granuleid:USC-prelim-title23-section139)&amp;f=treesort&amp;edition=prelim&amp;num=0&amp;jumpTo=true" TargetMode="External"/><Relationship Id="rId87" Type="http://schemas.openxmlformats.org/officeDocument/2006/relationships/hyperlink" Target="https://www.txdot.gov/business/resources/environmental/compliance-toolkits/public-involvement.html" TargetMode="External"/><Relationship Id="rId5" Type="http://schemas.openxmlformats.org/officeDocument/2006/relationships/numbering" Target="numbering.xml"/><Relationship Id="rId61" Type="http://schemas.openxmlformats.org/officeDocument/2006/relationships/hyperlink" Target="https://www.ecfr.gov/current/title-23/chapter-I/subchapter-H/part-771" TargetMode="External"/><Relationship Id="rId82" Type="http://schemas.openxmlformats.org/officeDocument/2006/relationships/hyperlink" Target="https://www.txdot.gov/business/resources/environmental/compliance-toolkits/chapter-26-parks-wildlife-code.html" TargetMode="External"/><Relationship Id="rId90" Type="http://schemas.openxmlformats.org/officeDocument/2006/relationships/hyperlink" Target="https://statutes.capitol.texas.gov/Docs/GV/htm/GV.552.htm" TargetMode="External"/><Relationship Id="rId95" Type="http://schemas.openxmlformats.org/officeDocument/2006/relationships/fontTable" Target="fontTable.xml"/><Relationship Id="rId19" Type="http://schemas.openxmlformats.org/officeDocument/2006/relationships/hyperlink" Target="https://ftp.dot.state.tx.us/pub/txdot/get-involved/misc/crossroads-toolkits/020922-pi-toolkit-sp.pdf" TargetMode="External"/><Relationship Id="rId14" Type="http://schemas.openxmlformats.org/officeDocument/2006/relationships/footer" Target="footer2.xml"/><Relationship Id="rId22" Type="http://schemas.openxmlformats.org/officeDocument/2006/relationships/hyperlink" Target="https://www.ecfr.gov/current/title-23/chapter-I/subchapter-H/part-771?toc=1" TargetMode="External"/><Relationship Id="rId27" Type="http://schemas.openxmlformats.org/officeDocument/2006/relationships/hyperlink" Target="https://www.ecfr.gov/current/title-36/chapter-VIII/part-800" TargetMode="External"/><Relationship Id="rId30" Type="http://schemas.openxmlformats.org/officeDocument/2006/relationships/hyperlink" Target="https://www.ecfr.gov/current/title-23/chapter-I/subchapter-H/part-774" TargetMode="External"/><Relationship Id="rId35" Type="http://schemas.openxmlformats.org/officeDocument/2006/relationships/hyperlink" Target="https://statutes.capitol.texas.gov/Docs/TN/htm/TN.203.htm" TargetMode="External"/><Relationship Id="rId43" Type="http://schemas.openxmlformats.org/officeDocument/2006/relationships/hyperlink" Target="https://uscode.house.gov/view.xhtml?req=(title:23%20section:139%20edition:prelim)%20OR%20(granuleid:USC-prelim-title23-section139)&amp;f=treesort&amp;edition=prelim&amp;num=0&amp;jumpTo=true" TargetMode="External"/><Relationship Id="rId48" Type="http://schemas.openxmlformats.org/officeDocument/2006/relationships/hyperlink" Target="https://statutes.capitol.texas.gov/Docs/GV/htm/GV.552.htm" TargetMode="External"/><Relationship Id="rId56" Type="http://schemas.openxmlformats.org/officeDocument/2006/relationships/hyperlink" Target="https://statutes.capitol.texas.gov/Docs/PW/htm/PW.26.htm" TargetMode="External"/><Relationship Id="rId64" Type="http://schemas.openxmlformats.org/officeDocument/2006/relationships/hyperlink" Target="https://uscode.house.gov/view.xhtml?req=(title:23%20section:139%20edition:prelim)%20OR%20(granuleid:USC-prelim-title23-section139)&amp;f=treesort&amp;edition=prelim&amp;num=0&amp;jumpTo=true" TargetMode="External"/><Relationship Id="rId69" Type="http://schemas.openxmlformats.org/officeDocument/2006/relationships/hyperlink" Target="https://www.ecfr.gov/current/title-23/chapter-I/subchapter-H/part-771" TargetMode="External"/><Relationship Id="rId77" Type="http://schemas.openxmlformats.org/officeDocument/2006/relationships/hyperlink" Target="mailto:Houston.robert@epa.gov" TargetMode="External"/><Relationship Id="rId8" Type="http://schemas.openxmlformats.org/officeDocument/2006/relationships/webSettings" Target="webSettings.xml"/><Relationship Id="rId51" Type="http://schemas.openxmlformats.org/officeDocument/2006/relationships/hyperlink" Target="http://texreg.sos.state.tx.us/public/readtac$ext.TacPage?sl=R&amp;app=9&amp;p_dir=&amp;p_rloc=&amp;p_tloc=&amp;p_ploc=&amp;pg=1&amp;p_tac=&amp;ti=43&amp;pt=1&amp;ch=2&amp;rl=107" TargetMode="External"/><Relationship Id="rId72" Type="http://schemas.openxmlformats.org/officeDocument/2006/relationships/hyperlink" Target="https://www.txdot.gov/business/resources/environmental/compliance-toolkits/public-involvement.html" TargetMode="External"/><Relationship Id="rId80" Type="http://schemas.openxmlformats.org/officeDocument/2006/relationships/hyperlink" Target="https://www.ecfr.gov/current/title-23/chapter-I/subchapter-H/part-774" TargetMode="External"/><Relationship Id="rId85" Type="http://schemas.openxmlformats.org/officeDocument/2006/relationships/hyperlink" Target="https://txdot.sharepoint.com/sites/division-ENV/ProjectDelivery/SitePages/Home.aspx"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txdot.gov/projects/planning/strategic-public-engagement-guidance.html" TargetMode="External"/><Relationship Id="rId25" Type="http://schemas.openxmlformats.org/officeDocument/2006/relationships/hyperlink" Target="https://uscode.house.gov/view.xhtml?req=(title:42%20section:2000d%20edition:prelim)%20OR%20(granuleid:USC-prelim-title42-section2000d)&amp;f=treesort&amp;edition=prelim&amp;num=0&amp;jumpTo=true" TargetMode="External"/><Relationship Id="rId33" Type="http://schemas.openxmlformats.org/officeDocument/2006/relationships/hyperlink" Target="https://statutes.capitol.texas.gov/docs/PW/htm/PW.84.htm" TargetMode="External"/><Relationship Id="rId38" Type="http://schemas.openxmlformats.org/officeDocument/2006/relationships/hyperlink" Target="https://uscode.house.gov/view.xhtml?req=(title:23%20section:327%20edition:prelim)%20OR%20(granuleid:USC-prelim-title23-section327)&amp;f=treesort&amp;edition=prelim&amp;num=0&amp;jumpTo=true" TargetMode="External"/><Relationship Id="rId46" Type="http://schemas.openxmlformats.org/officeDocument/2006/relationships/hyperlink" Target="https://www.youtube.com/channel/UC0qQbqlsy_oGNuEKoz5NpXA" TargetMode="External"/><Relationship Id="rId59" Type="http://schemas.openxmlformats.org/officeDocument/2006/relationships/hyperlink" Target="https://www.census.gov/acs/www/data/data-tables-and-tools/narrative-profiles/" TargetMode="External"/><Relationship Id="rId67" Type="http://schemas.openxmlformats.org/officeDocument/2006/relationships/hyperlink" Target="mailto:NEPA@tceq.texas.gov" TargetMode="External"/><Relationship Id="rId20" Type="http://schemas.openxmlformats.org/officeDocument/2006/relationships/hyperlink" Target="http://texreg.sos.state.tx.us/public/readtac$ext.ViewTAC?tac_view=5&amp;ti=43&amp;pt=1&amp;ch=2&amp;sch=E&amp;rl=Y" TargetMode="External"/><Relationship Id="rId41" Type="http://schemas.openxmlformats.org/officeDocument/2006/relationships/hyperlink" Target="https://www.txdot.gov/business/resources/environmental/compliance-toolkits/public-involvement.html" TargetMode="External"/><Relationship Id="rId54" Type="http://schemas.openxmlformats.org/officeDocument/2006/relationships/hyperlink" Target="http://texreg.sos.state.tx.us/public/readtac$ext.TacPage?sl=R&amp;app=9&amp;p_dir=&amp;p_rloc=&amp;p_tloc=&amp;p_ploc=&amp;pg=1&amp;p_tac=&amp;ti=43&amp;pt=1&amp;ch=25&amp;rl=55" TargetMode="External"/><Relationship Id="rId62" Type="http://schemas.openxmlformats.org/officeDocument/2006/relationships/hyperlink" Target="http://texreg.sos.state.tx.us/public/readtac$ext.TacPage?sl=R&amp;app=9&amp;p_dir=&amp;p_rloc=&amp;p_tloc=&amp;p_ploc=&amp;pg=1&amp;p_tac=&amp;ti=43&amp;pt=1&amp;ch=2&amp;rl=102" TargetMode="External"/><Relationship Id="rId70" Type="http://schemas.openxmlformats.org/officeDocument/2006/relationships/hyperlink" Target="https://www.txdot.gov/business/resources/environmental/compliance-toolkits/public-involvement.html" TargetMode="External"/><Relationship Id="rId75" Type="http://schemas.openxmlformats.org/officeDocument/2006/relationships/hyperlink" Target="mailto:NEPA@tceq.texas.gov" TargetMode="External"/><Relationship Id="rId83" Type="http://schemas.openxmlformats.org/officeDocument/2006/relationships/hyperlink" Target="https://statutes.capitol.texas.gov/?tab=1&amp;code=TN&amp;chapter=TN.203&amp;artSec=203.021" TargetMode="External"/><Relationship Id="rId88" Type="http://schemas.openxmlformats.org/officeDocument/2006/relationships/hyperlink" Target="http://texreg.sos.state.tx.us/public/readtac$ext.TacPage?sl=R&amp;app=9&amp;p_dir=&amp;p_rloc=&amp;p_tloc=&amp;p_ploc=&amp;pg=1&amp;p_tac=&amp;ti=43&amp;pt=1&amp;ch=2&amp;rl=106" TargetMode="External"/><Relationship Id="rId91" Type="http://schemas.openxmlformats.org/officeDocument/2006/relationships/hyperlink" Target="http://texreg.sos.state.tx.us/public/readtac$ext.TacPage?sl=R&amp;app=9&amp;p_dir=&amp;p_rloc=&amp;p_tloc=&amp;p_ploc=&amp;pg=1&amp;p_tac=&amp;ti=43&amp;pt=1&amp;ch=2&amp;rl=44"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txdot.gov/" TargetMode="External"/><Relationship Id="rId23" Type="http://schemas.openxmlformats.org/officeDocument/2006/relationships/hyperlink" Target="https://uscode.house.gov/view.xhtml?req=(title:23%20section:139%20edition:prelim)" TargetMode="External"/><Relationship Id="rId28" Type="http://schemas.openxmlformats.org/officeDocument/2006/relationships/hyperlink" Target="https://uscode.house.gov/view.xhtml?req=(title:23%20section:138%20edition:prelim)%20OR%20(granuleid:USC-prelim-title23-section138)&amp;f=treesort&amp;edition=prelim&amp;num=0&amp;jumpTo=true" TargetMode="External"/><Relationship Id="rId36" Type="http://schemas.openxmlformats.org/officeDocument/2006/relationships/hyperlink" Target="https://www.txdot.gov/business/resources/environmental/compliance-toolkits/archeological-sites-cemeteries.html" TargetMode="External"/><Relationship Id="rId49" Type="http://schemas.openxmlformats.org/officeDocument/2006/relationships/hyperlink" Target="https://www.txdot.gov/business/resources/environmental/compliance-toolkits/public-involvement.html" TargetMode="External"/><Relationship Id="rId57" Type="http://schemas.openxmlformats.org/officeDocument/2006/relationships/hyperlink" Target="https://www.txdot.gov/business/resources/environmental/compliance-toolkits/chapter-26-parks-wildlife-code.html" TargetMode="External"/><Relationship Id="rId10" Type="http://schemas.openxmlformats.org/officeDocument/2006/relationships/endnotes" Target="endnotes.xml"/><Relationship Id="rId31" Type="http://schemas.openxmlformats.org/officeDocument/2006/relationships/hyperlink" Target="https://ftp.txdot.gov/pub/txdot-info/env/nepa-assignment/2019-nepa-assignment-mou.pdf" TargetMode="External"/><Relationship Id="rId44" Type="http://schemas.openxmlformats.org/officeDocument/2006/relationships/hyperlink" Target="http://texreg.sos.state.tx.us/public/readtac$ext.TacPage?sl=R&amp;app=9&amp;p_dir=&amp;p_rloc=&amp;p_tloc=&amp;p_ploc=&amp;pg=1&amp;p_tac=&amp;ti=43&amp;pt=1&amp;ch=2&amp;rl=105" TargetMode="External"/><Relationship Id="rId52" Type="http://schemas.openxmlformats.org/officeDocument/2006/relationships/hyperlink" Target="http://www.statutes.legis.state.tx.us/Docs/TN/htm/TN.203.htm" TargetMode="External"/><Relationship Id="rId60" Type="http://schemas.openxmlformats.org/officeDocument/2006/relationships/hyperlink" Target="https://www.youtube.com/channel/UC0qQbqlsy_oGNuEKoz5NpXA" TargetMode="External"/><Relationship Id="rId65" Type="http://schemas.openxmlformats.org/officeDocument/2006/relationships/hyperlink" Target="https://statutes.capitol.texas.gov/Docs/GV/htm/GV.552.htm" TargetMode="External"/><Relationship Id="rId73" Type="http://schemas.openxmlformats.org/officeDocument/2006/relationships/hyperlink" Target="https://www.archives.gov/federal-register/codification/executive-order/12372.html" TargetMode="External"/><Relationship Id="rId78" Type="http://schemas.openxmlformats.org/officeDocument/2006/relationships/hyperlink" Target="https://www.txdot.gov/business/resources/environmental/compliance-toolkits/public-involvement.html" TargetMode="External"/><Relationship Id="rId81" Type="http://schemas.openxmlformats.org/officeDocument/2006/relationships/hyperlink" Target="http://www.statutes.legis.state.tx.us/Docs/PW/htm/PW.26.htm" TargetMode="External"/><Relationship Id="rId86" Type="http://schemas.openxmlformats.org/officeDocument/2006/relationships/hyperlink" Target="https://www.txdot.gov/business/resources/environmental/compliance-toolkits/public-involvement.html" TargetMode="External"/><Relationship Id="rId9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4" ma:contentTypeDescription="Create a new document." ma:contentTypeScope="" ma:versionID="326917fec7ca0f1eb4629dbcc535e03b">
  <xsd:schema xmlns:xsd="http://www.w3.org/2001/XMLSchema" xmlns:xs="http://www.w3.org/2001/XMLSchema" xmlns:p="http://schemas.microsoft.com/office/2006/metadata/properties" xmlns:ns2="7fef7c20-eb6f-4e1b-9e04-31bde27da1d8" targetNamespace="http://schemas.microsoft.com/office/2006/metadata/properties" ma:root="true" ma:fieldsID="d320b08fe7505aca5cb9f3842aefa13e" ns2:_="">
    <xsd:import namespace="7fef7c20-eb6f-4e1b-9e04-31bde27da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84216-21F5-473A-B12A-30B26E31B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3.xml><?xml version="1.0" encoding="utf-8"?>
<ds:datastoreItem xmlns:ds="http://schemas.openxmlformats.org/officeDocument/2006/customXml" ds:itemID="{AB9F02DA-8656-4BD8-A5E4-F6F7AB0951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107</Pages>
  <Words>27284</Words>
  <Characters>155524</Characters>
  <Application>Microsoft Office Word</Application>
  <DocSecurity>0</DocSecurity>
  <Lines>1296</Lines>
  <Paragraphs>364</Paragraphs>
  <ScaleCrop>false</ScaleCrop>
  <HeadingPairs>
    <vt:vector size="2" baseType="variant">
      <vt:variant>
        <vt:lpstr>Title</vt:lpstr>
      </vt:variant>
      <vt:variant>
        <vt:i4>1</vt:i4>
      </vt:variant>
    </vt:vector>
  </HeadingPairs>
  <TitlesOfParts>
    <vt:vector size="1" baseType="lpstr">
      <vt:lpstr>760-01 Environmental Handbook - Public Involvement</vt:lpstr>
    </vt:vector>
  </TitlesOfParts>
  <Company/>
  <LinksUpToDate>false</LinksUpToDate>
  <CharactersWithSpaces>182444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760-01 Environmental Handbook - Public Involvement</dc:title>
  <dc:subject>This handbook provides guidance and procedures for meeting public involvement requirements for projects, either state or federal, undergoing the environmental analysis project development process.</dc:subject>
  <dc:creator>TxDOT</dc:creator>
  <cp:keywords>760-01; Environmental; Handbook; Public Inovolvement</cp:keywords>
  <dc:description/>
  <cp:lastModifiedBy>Amanda Burton</cp:lastModifiedBy>
  <cp:revision>365</cp:revision>
  <dcterms:created xsi:type="dcterms:W3CDTF">2026-01-26T13:29:00Z</dcterms:created>
  <dcterms:modified xsi:type="dcterms:W3CDTF">2026-03-10T14:09:00Z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ies>
</file>