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BB86" w14:textId="77777777" w:rsidR="00020E5C" w:rsidRPr="00020E5C" w:rsidRDefault="00020E5C" w:rsidP="00020E5C">
      <w:pPr>
        <w:pStyle w:val="NormalSingleSpaceNoSpaceAfter"/>
      </w:pPr>
    </w:p>
    <w:p w14:paraId="6A86BE7F" w14:textId="77777777" w:rsidR="004D3590" w:rsidRDefault="000B67B1" w:rsidP="004D3590">
      <w:pPr>
        <w:pStyle w:val="CVRTxDOTLogoSpacing"/>
      </w:pPr>
      <w:r>
        <w:drawing>
          <wp:inline distT="0" distB="0" distL="0" distR="0" wp14:anchorId="2B5C1D2B" wp14:editId="07D7BA9D">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149F6C91" w14:textId="0F4054C1" w:rsidR="00FE5D65" w:rsidRDefault="00470267" w:rsidP="00470267">
      <w:pPr>
        <w:pStyle w:val="Heading1"/>
        <w:ind w:left="1260" w:right="1260"/>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0" w:name="_Toc217895683"/>
      <w:bookmarkStart w:id="1" w:name="_Toc226018615"/>
      <w:r>
        <w:t xml:space="preserve">Guidance: </w:t>
      </w:r>
      <w:bookmarkEnd w:id="0"/>
      <w:r>
        <w:t>F</w:t>
      </w:r>
      <w:r w:rsidR="00A93EF6">
        <w:t>ederal Highway Administration</w:t>
      </w:r>
      <w:r>
        <w:t xml:space="preserve"> Direct Recipient Discretionary Grant Projects</w:t>
      </w:r>
      <w:bookmarkStart w:id="2" w:name="_Toc217895684"/>
      <w:r w:rsidR="004D3590" w:rsidRPr="00EA7288">
        <w:rPr>
          <w:noProof/>
        </w:rPr>
        <mc:AlternateContent>
          <mc:Choice Requires="wps">
            <w:drawing>
              <wp:anchor distT="0" distB="0" distL="114300" distR="114300" simplePos="0" relativeHeight="251661312" behindDoc="1" locked="1" layoutInCell="1" allowOverlap="1" wp14:anchorId="7A1ED127" wp14:editId="0B4AC73F">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291BF"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bookmarkEnd w:id="1"/>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4314C341" w14:textId="77777777" w:rsidR="00AA10E8" w:rsidRDefault="00AA10E8" w:rsidP="00AA10E8">
          <w:pPr>
            <w:pStyle w:val="TOCHeading"/>
          </w:pPr>
          <w:r>
            <w:t>Contents</w:t>
          </w:r>
        </w:p>
        <w:p w14:paraId="5D6CEF08" w14:textId="0AA704EB" w:rsidR="00051894"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6018615" w:history="1">
            <w:r w:rsidR="00051894" w:rsidRPr="00133529">
              <w:rPr>
                <w:rStyle w:val="Hyperlink"/>
              </w:rPr>
              <w:t>Guidance: Federal Highway Administration Direct Recipient Discretionary Grant Projects</w:t>
            </w:r>
            <w:r w:rsidR="00051894">
              <w:rPr>
                <w:webHidden/>
              </w:rPr>
              <w:tab/>
            </w:r>
            <w:r w:rsidR="00051894">
              <w:rPr>
                <w:webHidden/>
              </w:rPr>
              <w:fldChar w:fldCharType="begin"/>
            </w:r>
            <w:r w:rsidR="00051894">
              <w:rPr>
                <w:webHidden/>
              </w:rPr>
              <w:instrText xml:space="preserve"> PAGEREF _Toc226018615 \h </w:instrText>
            </w:r>
            <w:r w:rsidR="00051894">
              <w:rPr>
                <w:webHidden/>
              </w:rPr>
            </w:r>
            <w:r w:rsidR="00051894">
              <w:rPr>
                <w:webHidden/>
              </w:rPr>
              <w:fldChar w:fldCharType="separate"/>
            </w:r>
            <w:r w:rsidR="00051894">
              <w:rPr>
                <w:webHidden/>
              </w:rPr>
              <w:t>1</w:t>
            </w:r>
            <w:r w:rsidR="00051894">
              <w:rPr>
                <w:webHidden/>
              </w:rPr>
              <w:fldChar w:fldCharType="end"/>
            </w:r>
          </w:hyperlink>
        </w:p>
        <w:p w14:paraId="371AE704" w14:textId="3D6AB365" w:rsidR="00051894" w:rsidRDefault="00051894">
          <w:pPr>
            <w:pStyle w:val="TOC2"/>
            <w:tabs>
              <w:tab w:val="right" w:leader="dot" w:pos="9350"/>
            </w:tabs>
            <w:rPr>
              <w:rFonts w:eastAsiaTheme="minorEastAsia"/>
              <w:noProof/>
              <w:szCs w:val="24"/>
            </w:rPr>
          </w:pPr>
          <w:hyperlink w:anchor="_Toc226018616" w:history="1">
            <w:r w:rsidRPr="00133529">
              <w:rPr>
                <w:rStyle w:val="Hyperlink"/>
                <w:noProof/>
              </w:rPr>
              <w:t>1.0 Introduction</w:t>
            </w:r>
            <w:r>
              <w:rPr>
                <w:noProof/>
                <w:webHidden/>
              </w:rPr>
              <w:tab/>
            </w:r>
            <w:r>
              <w:rPr>
                <w:noProof/>
                <w:webHidden/>
              </w:rPr>
              <w:fldChar w:fldCharType="begin"/>
            </w:r>
            <w:r>
              <w:rPr>
                <w:noProof/>
                <w:webHidden/>
              </w:rPr>
              <w:instrText xml:space="preserve"> PAGEREF _Toc226018616 \h </w:instrText>
            </w:r>
            <w:r>
              <w:rPr>
                <w:noProof/>
                <w:webHidden/>
              </w:rPr>
            </w:r>
            <w:r>
              <w:rPr>
                <w:noProof/>
                <w:webHidden/>
              </w:rPr>
              <w:fldChar w:fldCharType="separate"/>
            </w:r>
            <w:r>
              <w:rPr>
                <w:noProof/>
                <w:webHidden/>
              </w:rPr>
              <w:t>2</w:t>
            </w:r>
            <w:r>
              <w:rPr>
                <w:noProof/>
                <w:webHidden/>
              </w:rPr>
              <w:fldChar w:fldCharType="end"/>
            </w:r>
          </w:hyperlink>
        </w:p>
        <w:p w14:paraId="1E1D4784" w14:textId="27A429F3" w:rsidR="00051894" w:rsidRDefault="00051894">
          <w:pPr>
            <w:pStyle w:val="TOC2"/>
            <w:tabs>
              <w:tab w:val="right" w:leader="dot" w:pos="9350"/>
            </w:tabs>
            <w:rPr>
              <w:rFonts w:eastAsiaTheme="minorEastAsia"/>
              <w:noProof/>
              <w:szCs w:val="24"/>
            </w:rPr>
          </w:pPr>
          <w:hyperlink w:anchor="_Toc226018617" w:history="1">
            <w:r w:rsidRPr="00133529">
              <w:rPr>
                <w:rStyle w:val="Hyperlink"/>
                <w:noProof/>
              </w:rPr>
              <w:t>2.0 Procedure</w:t>
            </w:r>
            <w:r>
              <w:rPr>
                <w:noProof/>
                <w:webHidden/>
              </w:rPr>
              <w:tab/>
            </w:r>
            <w:r>
              <w:rPr>
                <w:noProof/>
                <w:webHidden/>
              </w:rPr>
              <w:fldChar w:fldCharType="begin"/>
            </w:r>
            <w:r>
              <w:rPr>
                <w:noProof/>
                <w:webHidden/>
              </w:rPr>
              <w:instrText xml:space="preserve"> PAGEREF _Toc226018617 \h </w:instrText>
            </w:r>
            <w:r>
              <w:rPr>
                <w:noProof/>
                <w:webHidden/>
              </w:rPr>
            </w:r>
            <w:r>
              <w:rPr>
                <w:noProof/>
                <w:webHidden/>
              </w:rPr>
              <w:fldChar w:fldCharType="separate"/>
            </w:r>
            <w:r>
              <w:rPr>
                <w:noProof/>
                <w:webHidden/>
              </w:rPr>
              <w:t>2</w:t>
            </w:r>
            <w:r>
              <w:rPr>
                <w:noProof/>
                <w:webHidden/>
              </w:rPr>
              <w:fldChar w:fldCharType="end"/>
            </w:r>
          </w:hyperlink>
        </w:p>
        <w:p w14:paraId="644D5C3B" w14:textId="3488DD76" w:rsidR="00051894" w:rsidRDefault="00051894">
          <w:pPr>
            <w:pStyle w:val="TOC3"/>
            <w:tabs>
              <w:tab w:val="right" w:leader="dot" w:pos="9350"/>
            </w:tabs>
            <w:rPr>
              <w:rFonts w:eastAsiaTheme="minorEastAsia"/>
              <w:bCs w:val="0"/>
              <w:szCs w:val="24"/>
            </w:rPr>
          </w:pPr>
          <w:hyperlink w:anchor="_Toc226018618" w:history="1">
            <w:r w:rsidRPr="00133529">
              <w:rPr>
                <w:rStyle w:val="Hyperlink"/>
              </w:rPr>
              <w:t>2.1 Environmental clearance process for “planning-only” grants</w:t>
            </w:r>
            <w:r>
              <w:rPr>
                <w:webHidden/>
              </w:rPr>
              <w:tab/>
            </w:r>
            <w:r>
              <w:rPr>
                <w:webHidden/>
              </w:rPr>
              <w:fldChar w:fldCharType="begin"/>
            </w:r>
            <w:r>
              <w:rPr>
                <w:webHidden/>
              </w:rPr>
              <w:instrText xml:space="preserve"> PAGEREF _Toc226018618 \h </w:instrText>
            </w:r>
            <w:r>
              <w:rPr>
                <w:webHidden/>
              </w:rPr>
            </w:r>
            <w:r>
              <w:rPr>
                <w:webHidden/>
              </w:rPr>
              <w:fldChar w:fldCharType="separate"/>
            </w:r>
            <w:r>
              <w:rPr>
                <w:webHidden/>
              </w:rPr>
              <w:t>3</w:t>
            </w:r>
            <w:r>
              <w:rPr>
                <w:webHidden/>
              </w:rPr>
              <w:fldChar w:fldCharType="end"/>
            </w:r>
          </w:hyperlink>
        </w:p>
        <w:p w14:paraId="06D83601" w14:textId="286A5CD2" w:rsidR="00051894" w:rsidRDefault="00051894">
          <w:pPr>
            <w:pStyle w:val="TOC3"/>
            <w:tabs>
              <w:tab w:val="right" w:leader="dot" w:pos="9350"/>
            </w:tabs>
            <w:rPr>
              <w:rFonts w:eastAsiaTheme="minorEastAsia"/>
              <w:bCs w:val="0"/>
              <w:szCs w:val="24"/>
            </w:rPr>
          </w:pPr>
          <w:hyperlink w:anchor="_Toc226018619" w:history="1">
            <w:r w:rsidRPr="00133529">
              <w:rPr>
                <w:rStyle w:val="Hyperlink"/>
              </w:rPr>
              <w:t>2.2 Environmental clearance process for construction project grants</w:t>
            </w:r>
            <w:r>
              <w:rPr>
                <w:webHidden/>
              </w:rPr>
              <w:tab/>
            </w:r>
            <w:r>
              <w:rPr>
                <w:webHidden/>
              </w:rPr>
              <w:fldChar w:fldCharType="begin"/>
            </w:r>
            <w:r>
              <w:rPr>
                <w:webHidden/>
              </w:rPr>
              <w:instrText xml:space="preserve"> PAGEREF _Toc226018619 \h </w:instrText>
            </w:r>
            <w:r>
              <w:rPr>
                <w:webHidden/>
              </w:rPr>
            </w:r>
            <w:r>
              <w:rPr>
                <w:webHidden/>
              </w:rPr>
              <w:fldChar w:fldCharType="separate"/>
            </w:r>
            <w:r>
              <w:rPr>
                <w:webHidden/>
              </w:rPr>
              <w:t>3</w:t>
            </w:r>
            <w:r>
              <w:rPr>
                <w:webHidden/>
              </w:rPr>
              <w:fldChar w:fldCharType="end"/>
            </w:r>
          </w:hyperlink>
        </w:p>
        <w:p w14:paraId="2F9C6D6D" w14:textId="6F5C27FC" w:rsidR="00051894" w:rsidRDefault="00051894">
          <w:pPr>
            <w:pStyle w:val="TOC2"/>
            <w:tabs>
              <w:tab w:val="right" w:leader="dot" w:pos="9350"/>
            </w:tabs>
            <w:rPr>
              <w:rFonts w:eastAsiaTheme="minorEastAsia"/>
              <w:noProof/>
              <w:szCs w:val="24"/>
            </w:rPr>
          </w:pPr>
          <w:hyperlink w:anchor="_Toc226018620" w:history="1">
            <w:r w:rsidRPr="00133529">
              <w:rPr>
                <w:rStyle w:val="Hyperlink"/>
                <w:noProof/>
              </w:rPr>
              <w:t>Revision History</w:t>
            </w:r>
            <w:r>
              <w:rPr>
                <w:noProof/>
                <w:webHidden/>
              </w:rPr>
              <w:tab/>
            </w:r>
            <w:r>
              <w:rPr>
                <w:noProof/>
                <w:webHidden/>
              </w:rPr>
              <w:fldChar w:fldCharType="begin"/>
            </w:r>
            <w:r>
              <w:rPr>
                <w:noProof/>
                <w:webHidden/>
              </w:rPr>
              <w:instrText xml:space="preserve"> PAGEREF _Toc226018620 \h </w:instrText>
            </w:r>
            <w:r>
              <w:rPr>
                <w:noProof/>
                <w:webHidden/>
              </w:rPr>
            </w:r>
            <w:r>
              <w:rPr>
                <w:noProof/>
                <w:webHidden/>
              </w:rPr>
              <w:fldChar w:fldCharType="separate"/>
            </w:r>
            <w:r>
              <w:rPr>
                <w:noProof/>
                <w:webHidden/>
              </w:rPr>
              <w:t>6</w:t>
            </w:r>
            <w:r>
              <w:rPr>
                <w:noProof/>
                <w:webHidden/>
              </w:rPr>
              <w:fldChar w:fldCharType="end"/>
            </w:r>
          </w:hyperlink>
        </w:p>
        <w:p w14:paraId="6FC5ACC4" w14:textId="1F1EB6C2" w:rsidR="00AA10E8" w:rsidRDefault="00EB3C3E">
          <w:r>
            <w:rPr>
              <w:rFonts w:ascii="Verdana" w:eastAsia="MS Mincho" w:hAnsi="Verdana" w:cs="Traditional Arabic"/>
              <w:noProof/>
              <w:color w:val="0056A9"/>
              <w:kern w:val="0"/>
              <w:szCs w:val="28"/>
              <w14:ligatures w14:val="none"/>
            </w:rPr>
            <w:fldChar w:fldCharType="end"/>
          </w:r>
        </w:p>
      </w:sdtContent>
    </w:sdt>
    <w:p w14:paraId="0D81C9CD" w14:textId="77777777" w:rsidR="00AA10E8" w:rsidRDefault="00AA10E8">
      <w:pPr>
        <w:spacing w:after="0" w:line="240" w:lineRule="auto"/>
        <w:rPr>
          <w:rFonts w:asciiTheme="majorHAnsi" w:hAnsiTheme="majorHAnsi"/>
          <w:b/>
          <w:color w:val="0056A9"/>
          <w:sz w:val="32"/>
          <w:szCs w:val="32"/>
        </w:rPr>
      </w:pPr>
      <w:r>
        <w:br w:type="page"/>
      </w:r>
    </w:p>
    <w:p w14:paraId="472774D8" w14:textId="15141ECB" w:rsidR="003D0A5B" w:rsidRDefault="00FF57DC" w:rsidP="00295654">
      <w:pPr>
        <w:pStyle w:val="Heading2"/>
      </w:pPr>
      <w:bookmarkStart w:id="4" w:name="_Toc226018616"/>
      <w:r>
        <w:lastRenderedPageBreak/>
        <w:t xml:space="preserve">1.0 </w:t>
      </w:r>
      <w:bookmarkEnd w:id="3"/>
      <w:r w:rsidR="00470267">
        <w:t>Introduction</w:t>
      </w:r>
      <w:bookmarkEnd w:id="4"/>
    </w:p>
    <w:p w14:paraId="1B4498FC" w14:textId="6A75FB46" w:rsidR="00470267" w:rsidRDefault="00470267" w:rsidP="00B738D6">
      <w:pPr>
        <w:rPr>
          <w:b/>
        </w:rPr>
      </w:pPr>
      <w:bookmarkStart w:id="5" w:name="_Toc217895686"/>
      <w:r w:rsidRPr="00470267">
        <w:t xml:space="preserve">For most </w:t>
      </w:r>
      <w:r w:rsidR="00DB60CB">
        <w:t>Federal Highway Administration (</w:t>
      </w:r>
      <w:r w:rsidRPr="00470267">
        <w:t>FHWA</w:t>
      </w:r>
      <w:r w:rsidR="00DB60CB">
        <w:t>)</w:t>
      </w:r>
      <w:r w:rsidRPr="00470267">
        <w:t xml:space="preserve">-funded local government projects, </w:t>
      </w:r>
      <w:r w:rsidR="00DE48DB">
        <w:t>Texas Department Of Transportation (</w:t>
      </w:r>
      <w:r w:rsidRPr="00470267">
        <w:t>TxDOT</w:t>
      </w:r>
      <w:r w:rsidR="00DE48DB">
        <w:t>)</w:t>
      </w:r>
      <w:r w:rsidRPr="00470267">
        <w:t xml:space="preserve"> is the entity that submits the Federal Project Authorization and Agreement</w:t>
      </w:r>
      <w:r w:rsidR="0033059F">
        <w:t xml:space="preserve"> </w:t>
      </w:r>
      <w:r w:rsidRPr="00470267">
        <w:t>to FHWA request Federal funding for the local government project, and FHWA then provides the Federal funding for the local government project through TxDOT.</w:t>
      </w:r>
      <w:r w:rsidR="004E2AC0">
        <w:t xml:space="preserve"> </w:t>
      </w:r>
      <w:r w:rsidRPr="00470267">
        <w:t>However, some local government projects are funded by FHWA through a discretionary grant that is provided directly from FHWA to the local government recipient, without TxDOT acting as a go-between.</w:t>
      </w:r>
      <w:r w:rsidR="004E2AC0">
        <w:t xml:space="preserve"> </w:t>
      </w:r>
      <w:r w:rsidRPr="00470267">
        <w:t>This guidance explains the environmental clearance procedure for such direct recipient discretionary grant projects.</w:t>
      </w:r>
    </w:p>
    <w:p w14:paraId="2BE92F0F" w14:textId="5F34EFF3" w:rsidR="00470267" w:rsidRDefault="00470267" w:rsidP="00470267">
      <w:pPr>
        <w:pStyle w:val="Heading2"/>
      </w:pPr>
      <w:bookmarkStart w:id="6" w:name="_Toc226018617"/>
      <w:r>
        <w:t>2.0 Procedure</w:t>
      </w:r>
      <w:bookmarkEnd w:id="6"/>
    </w:p>
    <w:p w14:paraId="74D368C7" w14:textId="406A8681" w:rsidR="00470267" w:rsidRDefault="00470267" w:rsidP="00470267">
      <w:pPr>
        <w:pStyle w:val="ListNumber"/>
        <w:ind w:left="0" w:firstLine="0"/>
      </w:pPr>
      <w:r>
        <w:t>For each direct recipient discretionary grant project, as soon as FHWA-</w:t>
      </w:r>
      <w:r w:rsidR="000100E2">
        <w:t>Texas (</w:t>
      </w:r>
      <w:r>
        <w:t>TX</w:t>
      </w:r>
      <w:r w:rsidR="000100E2">
        <w:t>)</w:t>
      </w:r>
      <w:r>
        <w:t xml:space="preserve"> identifies a project that is anticipated to receive Federal funding through a discretionary grant, FHWA-TX provide</w:t>
      </w:r>
      <w:r w:rsidR="00B8585F">
        <w:t>s</w:t>
      </w:r>
      <w:r>
        <w:t xml:space="preserve"> a list of </w:t>
      </w:r>
      <w:r w:rsidR="0085240F">
        <w:t>Discretionary</w:t>
      </w:r>
      <w:r w:rsidR="008D2F34">
        <w:t xml:space="preserve"> Grant (</w:t>
      </w:r>
      <w:r w:rsidRPr="008D2F34">
        <w:t>DG</w:t>
      </w:r>
      <w:r w:rsidR="008D2F34">
        <w:t>)</w:t>
      </w:r>
      <w:r>
        <w:t xml:space="preserve"> projects to </w:t>
      </w:r>
      <w:r w:rsidR="00DA7866">
        <w:t>Environmental Affair Division (</w:t>
      </w:r>
      <w:r>
        <w:t>ENV</w:t>
      </w:r>
      <w:r w:rsidR="00DA7866">
        <w:t>)</w:t>
      </w:r>
      <w:r>
        <w:t>’s Project Delivery Section Director.</w:t>
      </w:r>
      <w:r w:rsidR="004E2AC0">
        <w:t xml:space="preserve"> </w:t>
      </w:r>
      <w:r>
        <w:t>The list will have the contact information for the grant recipient for each project.</w:t>
      </w:r>
    </w:p>
    <w:p w14:paraId="6D67903A" w14:textId="7DE1FAAE" w:rsidR="00470267" w:rsidRDefault="00470267" w:rsidP="00470267">
      <w:pPr>
        <w:pStyle w:val="ListNumber"/>
        <w:ind w:left="0" w:firstLine="0"/>
      </w:pPr>
      <w:r>
        <w:t>ENV’s Project Delivery Section Director assign</w:t>
      </w:r>
      <w:r w:rsidR="00B8585F">
        <w:t>s</w:t>
      </w:r>
      <w:r>
        <w:t xml:space="preserve"> a </w:t>
      </w:r>
      <w:r w:rsidR="001254E0">
        <w:t>Control</w:t>
      </w:r>
      <w:r w:rsidR="00AA59D4">
        <w:t>-</w:t>
      </w:r>
      <w:r w:rsidR="001254E0">
        <w:t>Section</w:t>
      </w:r>
      <w:r w:rsidR="00AA59D4">
        <w:t>-</w:t>
      </w:r>
      <w:r w:rsidR="001254E0">
        <w:t>Job</w:t>
      </w:r>
      <w:r w:rsidR="004F68E8">
        <w:t xml:space="preserve"> </w:t>
      </w:r>
      <w:r w:rsidR="00AA59D4">
        <w:t>(CSJ) n</w:t>
      </w:r>
      <w:r w:rsidR="004F68E8">
        <w:t xml:space="preserve">umber </w:t>
      </w:r>
      <w:r>
        <w:t>to each of the projects.</w:t>
      </w:r>
      <w:r w:rsidR="004E2AC0">
        <w:t xml:space="preserve"> </w:t>
      </w:r>
      <w:r>
        <w:t>ENV use</w:t>
      </w:r>
      <w:r w:rsidR="00B8585F">
        <w:t>s</w:t>
      </w:r>
      <w:r>
        <w:t xml:space="preserve"> a special numbering convention for the CSJs for these projects so that they can be easily identified in the monthly list of clearances that TxDOT provides to FHWA.</w:t>
      </w:r>
    </w:p>
    <w:p w14:paraId="3914FDAD" w14:textId="144FBC08" w:rsidR="00470267" w:rsidRDefault="00470267" w:rsidP="00470267">
      <w:pPr>
        <w:pStyle w:val="ListNumber"/>
        <w:ind w:left="0" w:firstLine="0"/>
      </w:pPr>
      <w:r>
        <w:t>ENV’s Project Delivery Section Director assign</w:t>
      </w:r>
      <w:r w:rsidR="008D13F9">
        <w:t>s</w:t>
      </w:r>
      <w:r>
        <w:t xml:space="preserve"> the project(s) to ENV Project Delivery Section Staff via email.</w:t>
      </w:r>
    </w:p>
    <w:p w14:paraId="76531A8E" w14:textId="15D3F3E3" w:rsidR="00470267" w:rsidRPr="00470267" w:rsidRDefault="00470267" w:rsidP="00470267">
      <w:pPr>
        <w:pStyle w:val="ListNumber"/>
        <w:ind w:left="0" w:firstLine="0"/>
      </w:pPr>
      <w:r>
        <w:t>ENV’s Project Delivery Staff enter</w:t>
      </w:r>
      <w:r w:rsidR="008D13F9">
        <w:t>s</w:t>
      </w:r>
      <w:r>
        <w:t xml:space="preserve"> the CSJ for the project and fill</w:t>
      </w:r>
      <w:r w:rsidR="008D13F9">
        <w:t>s</w:t>
      </w:r>
      <w:r w:rsidR="00684949">
        <w:t xml:space="preserve"> </w:t>
      </w:r>
      <w:r>
        <w:t xml:space="preserve">in the “ENV </w:t>
      </w:r>
      <w:r w:rsidR="00665B05">
        <w:t>Point of Contact (</w:t>
      </w:r>
      <w:r w:rsidRPr="008D2F34">
        <w:t>POC</w:t>
      </w:r>
      <w:r w:rsidR="00665B05">
        <w:t>)</w:t>
      </w:r>
      <w:r>
        <w:t>” column on the “FHWA Discretionary Grant Master List.xlsx” spreadsheet on the SharePoint site.</w:t>
      </w:r>
    </w:p>
    <w:p w14:paraId="3CCA24FB" w14:textId="7ACFED2C" w:rsidR="001C12E5" w:rsidRDefault="00470267" w:rsidP="00C27891">
      <w:pPr>
        <w:pStyle w:val="Heading3"/>
      </w:pPr>
      <w:bookmarkStart w:id="7" w:name="_Toc226018618"/>
      <w:r>
        <w:lastRenderedPageBreak/>
        <w:t>2</w:t>
      </w:r>
      <w:r w:rsidR="00FF57DC">
        <w:t xml:space="preserve">.1 </w:t>
      </w:r>
      <w:r w:rsidRPr="00470267">
        <w:t>Environmental clearance process for “planning-only” grants</w:t>
      </w:r>
      <w:bookmarkEnd w:id="5"/>
      <w:bookmarkEnd w:id="7"/>
    </w:p>
    <w:p w14:paraId="401424B7" w14:textId="36970E55" w:rsidR="00470267" w:rsidRPr="00470267" w:rsidRDefault="00470267" w:rsidP="008F61C5">
      <w:pPr>
        <w:pStyle w:val="ListNumber"/>
        <w:numPr>
          <w:ilvl w:val="0"/>
          <w:numId w:val="0"/>
        </w:numPr>
      </w:pPr>
      <w:bookmarkStart w:id="8" w:name="_Toc217896108"/>
      <w:r w:rsidRPr="00470267">
        <w:t>If the grant is merely for planning, and not for an actual construction project, and if in ENV’s judgment the grant qualifies for a (c)(1)</w:t>
      </w:r>
      <w:r w:rsidR="001D774B">
        <w:t xml:space="preserve"> Categorical Exclusion</w:t>
      </w:r>
      <w:r w:rsidRPr="00470267">
        <w:t xml:space="preserve"> </w:t>
      </w:r>
      <w:r w:rsidR="001D774B">
        <w:t>(</w:t>
      </w:r>
      <w:r w:rsidRPr="00470267">
        <w:t>CE</w:t>
      </w:r>
      <w:r w:rsidR="001D774B">
        <w:t>)</w:t>
      </w:r>
      <w:r w:rsidRPr="00470267">
        <w:t xml:space="preserve">, then ENV Project Delivery Section Staff </w:t>
      </w:r>
      <w:r w:rsidR="002B633C">
        <w:t xml:space="preserve">does </w:t>
      </w:r>
      <w:r w:rsidRPr="00470267">
        <w:t xml:space="preserve">not create a project in </w:t>
      </w:r>
      <w:r w:rsidR="00265BEA">
        <w:t>Environmental Compliance Oversight System</w:t>
      </w:r>
      <w:r w:rsidR="00FA500D">
        <w:t xml:space="preserve"> </w:t>
      </w:r>
      <w:r w:rsidR="00265BEA">
        <w:t>(</w:t>
      </w:r>
      <w:r w:rsidRPr="00470267">
        <w:t>ECOS</w:t>
      </w:r>
      <w:r w:rsidR="00265BEA">
        <w:t>)</w:t>
      </w:r>
      <w:r w:rsidRPr="00470267">
        <w:t>.</w:t>
      </w:r>
      <w:r w:rsidR="004E2AC0">
        <w:t xml:space="preserve"> </w:t>
      </w:r>
      <w:r w:rsidRPr="00470267">
        <w:t>Instead, ENV Project Delivery Staff environmentally clear</w:t>
      </w:r>
      <w:r w:rsidR="002B633C">
        <w:t>s</w:t>
      </w:r>
      <w:r w:rsidRPr="00470267">
        <w:t xml:space="preserve"> the grant as a (c)(1) CE by doing the following</w:t>
      </w:r>
      <w:r w:rsidR="00B831E5">
        <w:t>:</w:t>
      </w:r>
    </w:p>
    <w:p w14:paraId="5FD15D64" w14:textId="14BBB266" w:rsidR="00470267" w:rsidRPr="00470267" w:rsidRDefault="00470267" w:rsidP="008F61C5">
      <w:pPr>
        <w:pStyle w:val="ListNumber"/>
        <w:numPr>
          <w:ilvl w:val="0"/>
          <w:numId w:val="4"/>
        </w:numPr>
      </w:pPr>
      <w:r w:rsidRPr="00470267">
        <w:t>On the “FHWA Discretionary Grant Master List.xlsx” spreadsheet on the SharePoint site, ENV Project Delivery Section Staff fill</w:t>
      </w:r>
      <w:r w:rsidR="002B633C">
        <w:t>s</w:t>
      </w:r>
      <w:r w:rsidR="00920B5E">
        <w:t xml:space="preserve"> </w:t>
      </w:r>
      <w:r w:rsidRPr="00470267">
        <w:t>in the “Type of Env Doc” as (c)(1) CE</w:t>
      </w:r>
      <w:r w:rsidR="002B633C">
        <w:t xml:space="preserve"> </w:t>
      </w:r>
      <w:r w:rsidRPr="00470267">
        <w:t>and fill</w:t>
      </w:r>
      <w:r w:rsidR="002B633C">
        <w:t xml:space="preserve">s </w:t>
      </w:r>
      <w:r w:rsidRPr="00470267">
        <w:t>in the “NEPA Clearance Date” and any other relevant information on the spreadsheet.</w:t>
      </w:r>
    </w:p>
    <w:p w14:paraId="7DF8A828" w14:textId="3C509877" w:rsidR="00470267" w:rsidRPr="00470267" w:rsidRDefault="00470267" w:rsidP="008F61C5">
      <w:pPr>
        <w:pStyle w:val="ListNumber"/>
        <w:numPr>
          <w:ilvl w:val="0"/>
          <w:numId w:val="4"/>
        </w:numPr>
      </w:pPr>
      <w:r w:rsidRPr="00470267">
        <w:t>Towards the beginning of each month, ENV Project Delivery Staff will email a copy of the “FHWA Discretionary Grant Master List.xlsx” spreadsheet to FHWA-TX.</w:t>
      </w:r>
    </w:p>
    <w:p w14:paraId="52DEEFF2" w14:textId="61D1C134" w:rsidR="00470267" w:rsidRPr="00470267" w:rsidRDefault="00470267" w:rsidP="00992C53">
      <w:pPr>
        <w:pStyle w:val="ListNumber"/>
        <w:numPr>
          <w:ilvl w:val="0"/>
          <w:numId w:val="0"/>
        </w:numPr>
        <w:rPr>
          <w:b/>
          <w:i/>
        </w:rPr>
      </w:pPr>
      <w:r w:rsidRPr="00470267">
        <w:t xml:space="preserve">After completing the above steps, TxDOT </w:t>
      </w:r>
      <w:r w:rsidR="002B633C">
        <w:t>has</w:t>
      </w:r>
      <w:r w:rsidRPr="00470267">
        <w:t xml:space="preserve"> no further environmental review or compliance responsibilities or involvement regarding the project.</w:t>
      </w:r>
    </w:p>
    <w:p w14:paraId="1AC42F03" w14:textId="36393C23" w:rsidR="00470267" w:rsidRDefault="00470267" w:rsidP="00470267">
      <w:pPr>
        <w:pStyle w:val="Heading3"/>
      </w:pPr>
      <w:bookmarkStart w:id="9" w:name="_Toc226018619"/>
      <w:r>
        <w:t xml:space="preserve">2.2 </w:t>
      </w:r>
      <w:r w:rsidRPr="00470267">
        <w:t>Environmental clearance process for construction project grants</w:t>
      </w:r>
      <w:bookmarkEnd w:id="9"/>
    </w:p>
    <w:p w14:paraId="7C2DE792" w14:textId="5A7AF050" w:rsidR="00470267" w:rsidRDefault="00470267" w:rsidP="00470267">
      <w:pPr>
        <w:pStyle w:val="ListNumber"/>
        <w:numPr>
          <w:ilvl w:val="0"/>
          <w:numId w:val="7"/>
        </w:numPr>
        <w:ind w:left="0" w:firstLine="0"/>
      </w:pPr>
      <w:r>
        <w:t>ENV Project Delivery Section Staff reach</w:t>
      </w:r>
      <w:r w:rsidR="000E5C78">
        <w:t>es</w:t>
      </w:r>
      <w:r>
        <w:t xml:space="preserve"> out to the grant recipient contact person identified in the FHWA-TX list to collect information needed to complete the project work plan in ECOS.</w:t>
      </w:r>
    </w:p>
    <w:p w14:paraId="0819B731" w14:textId="4D3A496E" w:rsidR="00470267" w:rsidRDefault="00470267" w:rsidP="00470267">
      <w:pPr>
        <w:pStyle w:val="ListNumber"/>
        <w:numPr>
          <w:ilvl w:val="0"/>
          <w:numId w:val="7"/>
        </w:numPr>
        <w:ind w:left="0" w:firstLine="0"/>
      </w:pPr>
      <w:r>
        <w:t>ENV Project Delivery Section Staff create</w:t>
      </w:r>
      <w:r w:rsidR="000E5C78">
        <w:t>s</w:t>
      </w:r>
      <w:r>
        <w:t xml:space="preserve"> the project</w:t>
      </w:r>
      <w:r w:rsidR="00626419">
        <w:t xml:space="preserve"> and develops the project work plan</w:t>
      </w:r>
      <w:r>
        <w:t xml:space="preserve"> in ECOS (it </w:t>
      </w:r>
      <w:r w:rsidR="000E5C78">
        <w:t>is</w:t>
      </w:r>
      <w:r>
        <w:t xml:space="preserve"> likely </w:t>
      </w:r>
      <w:r w:rsidR="00626419">
        <w:t xml:space="preserve">to </w:t>
      </w:r>
      <w:r>
        <w:t xml:space="preserve">not be in </w:t>
      </w:r>
      <w:r w:rsidR="00EC171A">
        <w:t>TxDOTCONNECT</w:t>
      </w:r>
      <w:r>
        <w:t>).</w:t>
      </w:r>
      <w:r w:rsidR="004E2AC0">
        <w:t xml:space="preserve"> </w:t>
      </w:r>
      <w:r>
        <w:t>For the lead agency question, select “FHWA-Assigned to TxDOT” (unless the project crosses a state boundary or requires a Presidential Permit, in which case select “FHWA—Not Assigned to TxDOT”).</w:t>
      </w:r>
      <w:r w:rsidR="004E2AC0">
        <w:t xml:space="preserve"> </w:t>
      </w:r>
      <w:r>
        <w:t>For the project sponsor question, select “TxDOT” unless the grant recipient is a local government that intends to be the official project sponsor for purposes of the environmental review.</w:t>
      </w:r>
    </w:p>
    <w:p w14:paraId="043DB01C" w14:textId="52D8C94B" w:rsidR="00470267" w:rsidRDefault="00470267" w:rsidP="00470267">
      <w:pPr>
        <w:pStyle w:val="ListNumber"/>
        <w:numPr>
          <w:ilvl w:val="0"/>
          <w:numId w:val="7"/>
        </w:numPr>
        <w:ind w:left="0" w:firstLine="0"/>
      </w:pPr>
      <w:r>
        <w:lastRenderedPageBreak/>
        <w:t xml:space="preserve">The grant recipient </w:t>
      </w:r>
      <w:r w:rsidR="00EF70CC">
        <w:t>is</w:t>
      </w:r>
      <w:r>
        <w:t xml:space="preserve"> responsible for:</w:t>
      </w:r>
    </w:p>
    <w:p w14:paraId="38833E2E" w14:textId="77777777" w:rsidR="00470267" w:rsidRDefault="00470267" w:rsidP="0064267C">
      <w:pPr>
        <w:pStyle w:val="ListNumber"/>
        <w:numPr>
          <w:ilvl w:val="1"/>
          <w:numId w:val="8"/>
        </w:numPr>
        <w:ind w:left="1170" w:hanging="450"/>
      </w:pPr>
      <w:r>
        <w:t>Providing all reports, documents, analysis, and information required for completion of TxDOT’s environmental review process as specified ENV’s guidance and instructions, including but not limited to the guidance and instructions provided on ENV’s Environmental Compliance Toolkits web page on www.txdot.gov.</w:t>
      </w:r>
    </w:p>
    <w:p w14:paraId="1DF53471" w14:textId="5482B637" w:rsidR="00470267" w:rsidRDefault="00470267" w:rsidP="0064267C">
      <w:pPr>
        <w:pStyle w:val="ListNumber"/>
        <w:numPr>
          <w:ilvl w:val="1"/>
          <w:numId w:val="8"/>
        </w:numPr>
        <w:ind w:left="1170" w:hanging="450"/>
      </w:pPr>
      <w:r>
        <w:t>Conducting coordination with other agencies and public involvement as specified in ENV’s guidance and instructions, including but not limited to the guidance and instructions provided on ENV’s Environmental Compliance Toolkits web page on www.txdot.gov.</w:t>
      </w:r>
      <w:r w:rsidR="004E2AC0">
        <w:t xml:space="preserve"> </w:t>
      </w:r>
      <w:r>
        <w:t xml:space="preserve">(ENV’s </w:t>
      </w:r>
      <w:r w:rsidRPr="000B2DE4">
        <w:rPr>
          <w:i/>
          <w:iCs/>
        </w:rPr>
        <w:t>Environmental Guide Volume 2</w:t>
      </w:r>
      <w:r>
        <w:t xml:space="preserve"> has instructions about which entity is responsible for agency coordination for specific types of resource impacts. The references to “district environmental staff” in ENV’s instructions means the grant recipient or their consultant.</w:t>
      </w:r>
      <w:r w:rsidR="004E2AC0">
        <w:t xml:space="preserve"> </w:t>
      </w:r>
      <w:r>
        <w:t>A grant recipient should discuss with ENV Project Delivery Section Staff to determine responsibility for resource agency coordination, since it differs depending on the agency.)</w:t>
      </w:r>
    </w:p>
    <w:p w14:paraId="62E9A2B3" w14:textId="75EF8443" w:rsidR="00470267" w:rsidRDefault="00470267" w:rsidP="0064267C">
      <w:pPr>
        <w:pStyle w:val="ListNumber"/>
        <w:numPr>
          <w:ilvl w:val="1"/>
          <w:numId w:val="8"/>
        </w:numPr>
        <w:ind w:left="1170" w:hanging="450"/>
      </w:pPr>
      <w:r>
        <w:t>Obtaining all required permits, authorizations, and approvals required by applicable environmental laws and regulations.</w:t>
      </w:r>
    </w:p>
    <w:p w14:paraId="38138A17" w14:textId="3C1C164F" w:rsidR="00470267" w:rsidRDefault="00470267" w:rsidP="0064267C">
      <w:pPr>
        <w:pStyle w:val="ListNumber"/>
        <w:numPr>
          <w:ilvl w:val="1"/>
          <w:numId w:val="8"/>
        </w:numPr>
        <w:ind w:left="1170" w:hanging="450"/>
      </w:pPr>
      <w:r>
        <w:t xml:space="preserve">Ensuring that the </w:t>
      </w:r>
      <w:r w:rsidR="0062411C">
        <w:t>p</w:t>
      </w:r>
      <w:r>
        <w:t>roject complies with all applicable environmental laws and regulations.</w:t>
      </w:r>
    </w:p>
    <w:p w14:paraId="6CA45E43" w14:textId="31C2D10B" w:rsidR="00470267" w:rsidRDefault="00470267" w:rsidP="0064267C">
      <w:pPr>
        <w:pStyle w:val="ListNumber"/>
        <w:numPr>
          <w:ilvl w:val="1"/>
          <w:numId w:val="8"/>
        </w:numPr>
        <w:ind w:left="1170" w:hanging="450"/>
      </w:pPr>
      <w:r>
        <w:t>Performing any mitigation identified during the environmental review process</w:t>
      </w:r>
      <w:r w:rsidR="00531653">
        <w:t>.</w:t>
      </w:r>
    </w:p>
    <w:p w14:paraId="78550E0C" w14:textId="00859790" w:rsidR="00B738D6" w:rsidRDefault="00B738D6" w:rsidP="00A163A9">
      <w:r>
        <w:t xml:space="preserve">If the grant recipient intends to use discretionary grant funds to provide the analyses and conduct the coordination, public involvement, </w:t>
      </w:r>
      <w:r w:rsidR="00C37929">
        <w:t>etcetera</w:t>
      </w:r>
      <w:r>
        <w:t xml:space="preserve"> described above, then the grant recipient need</w:t>
      </w:r>
      <w:r w:rsidR="00EF70CC">
        <w:t>s</w:t>
      </w:r>
      <w:r>
        <w:t xml:space="preserve"> to wait until </w:t>
      </w:r>
      <w:r w:rsidR="001176C8">
        <w:t xml:space="preserve">it </w:t>
      </w:r>
      <w:r>
        <w:t>executes a grant agreement with FHWA before it can do so.</w:t>
      </w:r>
    </w:p>
    <w:p w14:paraId="074CB14B" w14:textId="211516BD" w:rsidR="00DF184C" w:rsidRDefault="00B738D6" w:rsidP="00A163A9">
      <w:pPr>
        <w:pStyle w:val="ListNumber"/>
      </w:pPr>
      <w:r>
        <w:lastRenderedPageBreak/>
        <w:t xml:space="preserve">ENV Project Delivery Section Staff and ENV subject matter experts process the materials provided by the grant recipient as specified in ENV’s </w:t>
      </w:r>
      <w:r w:rsidRPr="00C36B6B">
        <w:rPr>
          <w:i/>
          <w:iCs/>
        </w:rPr>
        <w:t>Environmental Guide Volume 2</w:t>
      </w:r>
      <w:r>
        <w:t>.</w:t>
      </w:r>
      <w:r w:rsidR="004E2AC0">
        <w:t xml:space="preserve"> </w:t>
      </w:r>
      <w:r>
        <w:t xml:space="preserve">ENV Project Delivery Section Staff issue the </w:t>
      </w:r>
      <w:r w:rsidR="00C37929" w:rsidRPr="00C37929">
        <w:t>National Environmental Policy Act</w:t>
      </w:r>
      <w:r w:rsidR="00C37929">
        <w:t xml:space="preserve"> (</w:t>
      </w:r>
      <w:r>
        <w:t>NEPA</w:t>
      </w:r>
      <w:r w:rsidR="00C37929">
        <w:t>)</w:t>
      </w:r>
      <w:r>
        <w:t xml:space="preserve"> clearance in ECOS in accordance with TxDOT’s authority under the </w:t>
      </w:r>
      <w:r w:rsidR="00D803C7" w:rsidRPr="00D803C7">
        <w:t xml:space="preserve">NEPA Assignment Program (23 </w:t>
      </w:r>
      <w:r w:rsidR="00C36B6B">
        <w:t>United States Code (</w:t>
      </w:r>
      <w:r w:rsidR="00D803C7" w:rsidRPr="00D803C7">
        <w:t>U.S.C.</w:t>
      </w:r>
      <w:r w:rsidR="00C36B6B">
        <w:t xml:space="preserve">) </w:t>
      </w:r>
      <w:r w:rsidR="00D803C7" w:rsidRPr="00D803C7">
        <w:t>327)</w:t>
      </w:r>
      <w:r>
        <w:t xml:space="preserve"> if ENV Project Delivery Section Staff determine that the grant recipient has satisfied all prerequisites as specified in ENV’s guidance and instructions.</w:t>
      </w:r>
    </w:p>
    <w:p w14:paraId="56030CDC" w14:textId="48084ED2" w:rsidR="00B738D6" w:rsidRDefault="00B738D6" w:rsidP="00A163A9">
      <w:pPr>
        <w:pStyle w:val="ListNumber"/>
      </w:pPr>
      <w:r>
        <w:t>ENV Project Delivery Section Staff fill</w:t>
      </w:r>
      <w:r w:rsidR="00517260">
        <w:t xml:space="preserve">s </w:t>
      </w:r>
      <w:r>
        <w:t>in the “Type of Env Doc,” “NEPA Clearance Date,” and any other relevant information on the “FHWA Discretionary Grant Master List.xlsx” spreadsheet on the SharePoint site.</w:t>
      </w:r>
      <w:r w:rsidR="004E2AC0">
        <w:t xml:space="preserve"> </w:t>
      </w:r>
    </w:p>
    <w:p w14:paraId="4E1137F3" w14:textId="269E726A" w:rsidR="00B738D6" w:rsidRDefault="00B738D6" w:rsidP="00A163A9">
      <w:pPr>
        <w:pStyle w:val="ListNumber"/>
      </w:pPr>
      <w:r>
        <w:t>Towards the beginning of each month, ENV Project Delivery Staff email a copy of the “FHWA Discretionary Grant Master List.xlsx” spreadsheet to FHWA-TX.</w:t>
      </w:r>
    </w:p>
    <w:p w14:paraId="369B231D" w14:textId="3154BC92" w:rsidR="00A163A9" w:rsidRDefault="00B738D6" w:rsidP="00A163A9">
      <w:r>
        <w:t xml:space="preserve">After completing the above steps, TxDOT </w:t>
      </w:r>
      <w:r w:rsidR="00051894">
        <w:t>has</w:t>
      </w:r>
      <w:r>
        <w:t xml:space="preserve"> no further environmental review or compliance responsibilities or involvement regarding the project.</w:t>
      </w:r>
    </w:p>
    <w:p w14:paraId="437C826A" w14:textId="77777777" w:rsidR="00A163A9" w:rsidRDefault="00A163A9">
      <w:pPr>
        <w:spacing w:after="0" w:line="240" w:lineRule="auto"/>
      </w:pPr>
      <w:r>
        <w:br w:type="page"/>
      </w:r>
    </w:p>
    <w:p w14:paraId="7CE88801" w14:textId="69A5AF55" w:rsidR="00211BC0" w:rsidRDefault="00C23D63" w:rsidP="00AA0CB8">
      <w:pPr>
        <w:pStyle w:val="Heading2"/>
      </w:pPr>
      <w:bookmarkStart w:id="10" w:name="_Toc226018620"/>
      <w:bookmarkEnd w:id="8"/>
      <w:r>
        <w:lastRenderedPageBreak/>
        <w:t>Revision History</w:t>
      </w:r>
      <w:bookmarkEnd w:id="10"/>
    </w:p>
    <w:p w14:paraId="3B8F84C3" w14:textId="5CEE9333" w:rsidR="00C23D63" w:rsidRPr="00A163A9" w:rsidRDefault="00C23D63" w:rsidP="00A163A9">
      <w:pPr>
        <w:pStyle w:val="Caption"/>
      </w:pPr>
      <w:r w:rsidRPr="00A163A9">
        <w:t xml:space="preserve">Table </w:t>
      </w:r>
      <w:r>
        <w:fldChar w:fldCharType="begin"/>
      </w:r>
      <w:r>
        <w:instrText xml:space="preserve"> SEQ Table \* ARABIC </w:instrText>
      </w:r>
      <w:r>
        <w:fldChar w:fldCharType="separate"/>
      </w:r>
      <w:r w:rsidRPr="00A163A9">
        <w:rPr>
          <w:noProof/>
        </w:rPr>
        <w:t>1</w:t>
      </w:r>
      <w:r>
        <w:rPr>
          <w:noProof/>
        </w:rPr>
        <w:fldChar w:fldCharType="end"/>
      </w:r>
      <w:r w:rsidRPr="00A163A9">
        <w:t>. Document revision history</w:t>
      </w:r>
    </w:p>
    <w:tbl>
      <w:tblPr>
        <w:tblStyle w:val="ATFTxDOTTable"/>
        <w:tblW w:w="9355" w:type="dxa"/>
        <w:tblLook w:val="0020" w:firstRow="1" w:lastRow="0" w:firstColumn="0" w:lastColumn="0" w:noHBand="0" w:noVBand="0"/>
        <w:tblCaption w:val="Document revision history"/>
      </w:tblPr>
      <w:tblGrid>
        <w:gridCol w:w="2335"/>
        <w:gridCol w:w="7020"/>
      </w:tblGrid>
      <w:tr w:rsidR="00C23D63" w:rsidRPr="00211BC0" w14:paraId="0BB7F4BB" w14:textId="77777777" w:rsidTr="00C23D63">
        <w:trPr>
          <w:cnfStyle w:val="100000000000" w:firstRow="1" w:lastRow="0" w:firstColumn="0" w:lastColumn="0" w:oddVBand="0" w:evenVBand="0" w:oddHBand="0" w:evenHBand="0" w:firstRowFirstColumn="0" w:firstRowLastColumn="0" w:lastRowFirstColumn="0" w:lastRowLastColumn="0"/>
          <w:cantSplit/>
          <w:tblHeader/>
        </w:trPr>
        <w:tc>
          <w:tcPr>
            <w:tcW w:w="2335" w:type="dxa"/>
          </w:tcPr>
          <w:p w14:paraId="02E0EAE3" w14:textId="77777777" w:rsidR="00C23D63" w:rsidRDefault="00C23D63" w:rsidP="00C23D63">
            <w:pPr>
              <w:pStyle w:val="TableHeadingSingle"/>
              <w:framePr w:wrap="auto" w:vAnchor="margin" w:yAlign="inline"/>
              <w:suppressOverlap w:val="0"/>
              <w:rPr>
                <w:rFonts w:asciiTheme="minorHAnsi" w:hAnsiTheme="minorHAnsi"/>
                <w:bCs/>
                <w:szCs w:val="24"/>
              </w:rPr>
            </w:pPr>
            <w:r>
              <w:rPr>
                <w:rFonts w:asciiTheme="minorHAnsi" w:hAnsiTheme="minorHAnsi"/>
                <w:b/>
                <w:bCs/>
                <w:szCs w:val="24"/>
              </w:rPr>
              <w:t>Effective date</w:t>
            </w:r>
          </w:p>
          <w:p w14:paraId="7FB68E56" w14:textId="6309A106" w:rsidR="00C23D63" w:rsidRPr="00211BC0" w:rsidRDefault="00C23D63" w:rsidP="00C23D63">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(month year)</w:t>
            </w:r>
          </w:p>
        </w:tc>
        <w:tc>
          <w:tcPr>
            <w:tcW w:w="7020" w:type="dxa"/>
          </w:tcPr>
          <w:p w14:paraId="197F82BD" w14:textId="4798B703" w:rsidR="00C23D63" w:rsidRPr="00211BC0" w:rsidRDefault="00C23D63" w:rsidP="00C23D63">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Reason for and description of change</w:t>
            </w:r>
          </w:p>
        </w:tc>
      </w:tr>
      <w:tr w:rsidR="00C23D63" w:rsidRPr="00211BC0" w14:paraId="0C9E39D6" w14:textId="77777777" w:rsidTr="00C23D63">
        <w:trPr>
          <w:cnfStyle w:val="000000100000" w:firstRow="0" w:lastRow="0" w:firstColumn="0" w:lastColumn="0" w:oddVBand="0" w:evenVBand="0" w:oddHBand="1" w:evenHBand="0" w:firstRowFirstColumn="0" w:firstRowLastColumn="0" w:lastRowFirstColumn="0" w:lastRowLastColumn="0"/>
          <w:cantSplit/>
          <w:trHeight w:val="25"/>
        </w:trPr>
        <w:tc>
          <w:tcPr>
            <w:tcW w:w="2335" w:type="dxa"/>
          </w:tcPr>
          <w:p w14:paraId="2B345B50" w14:textId="4BD0DF68" w:rsidR="00C23D63" w:rsidRPr="00211BC0" w:rsidRDefault="00C23D63" w:rsidP="00C23D63">
            <w:pPr>
              <w:pStyle w:val="TableNormalNoSpaceAfter"/>
              <w:rPr>
                <w:szCs w:val="24"/>
              </w:rPr>
            </w:pPr>
            <w:r>
              <w:rPr>
                <w:szCs w:val="24"/>
              </w:rPr>
              <w:t>April 2026</w:t>
            </w:r>
          </w:p>
        </w:tc>
        <w:tc>
          <w:tcPr>
            <w:tcW w:w="7020" w:type="dxa"/>
          </w:tcPr>
          <w:p w14:paraId="031B20EB" w14:textId="77777777" w:rsidR="00C23D63" w:rsidRDefault="00C23D63" w:rsidP="00AB31A5">
            <w:r>
              <w:t>Version 5</w:t>
            </w:r>
          </w:p>
          <w:p w14:paraId="129FDA71" w14:textId="483FDFC5" w:rsidR="00C23D63" w:rsidRPr="00211BC0" w:rsidRDefault="00C23D63" w:rsidP="00C23D63">
            <w:pPr>
              <w:pStyle w:val="ListBullet"/>
            </w:pPr>
            <w:r>
              <w:t xml:space="preserve">Updated for </w:t>
            </w:r>
            <w:r w:rsidRPr="00C23D63">
              <w:t>accessibility compliance and TxDOT branding standards.</w:t>
            </w:r>
          </w:p>
        </w:tc>
      </w:tr>
      <w:tr w:rsidR="00C23D63" w:rsidRPr="00211BC0" w14:paraId="0CB72F89" w14:textId="77777777" w:rsidTr="00C23D63">
        <w:trPr>
          <w:cnfStyle w:val="000000010000" w:firstRow="0" w:lastRow="0" w:firstColumn="0" w:lastColumn="0" w:oddVBand="0" w:evenVBand="0" w:oddHBand="0" w:evenHBand="1" w:firstRowFirstColumn="0" w:firstRowLastColumn="0" w:lastRowFirstColumn="0" w:lastRowLastColumn="0"/>
          <w:cantSplit/>
        </w:trPr>
        <w:tc>
          <w:tcPr>
            <w:tcW w:w="2335" w:type="dxa"/>
          </w:tcPr>
          <w:p w14:paraId="2D1D7353" w14:textId="19862128" w:rsidR="00C23D63" w:rsidRPr="00211BC0" w:rsidRDefault="00C23D63" w:rsidP="00C23D63">
            <w:pPr>
              <w:pStyle w:val="TableNormalNoSpaceAfter"/>
              <w:rPr>
                <w:szCs w:val="24"/>
              </w:rPr>
            </w:pPr>
            <w:r>
              <w:t>November 2025</w:t>
            </w:r>
          </w:p>
        </w:tc>
        <w:tc>
          <w:tcPr>
            <w:tcW w:w="7020" w:type="dxa"/>
          </w:tcPr>
          <w:p w14:paraId="667516F5" w14:textId="3665673D" w:rsidR="00C23D63" w:rsidRPr="00C23D63" w:rsidRDefault="00C23D63" w:rsidP="00AB31A5">
            <w:r w:rsidRPr="00C23D63">
              <w:t>Version 4</w:t>
            </w:r>
          </w:p>
          <w:p w14:paraId="5DDE13E9" w14:textId="23824A7C" w:rsidR="00C23D63" w:rsidRPr="00211BC0" w:rsidRDefault="00C23D63" w:rsidP="00C23D63">
            <w:pPr>
              <w:pStyle w:val="ListBullet"/>
              <w:rPr>
                <w:szCs w:val="24"/>
              </w:rPr>
            </w:pPr>
            <w:r>
              <w:t xml:space="preserve">Revised to indicate that TxDOT no longer submits a monthly list of all NEPA approvals to FHWA, but </w:t>
            </w:r>
            <w:r w:rsidR="00F50400">
              <w:t xml:space="preserve">ENV </w:t>
            </w:r>
            <w:r w:rsidR="00613C9C">
              <w:t xml:space="preserve">Project Delivery </w:t>
            </w:r>
            <w:r w:rsidR="00F50400">
              <w:t xml:space="preserve">Section </w:t>
            </w:r>
            <w:r w:rsidR="00613C9C">
              <w:t>(</w:t>
            </w:r>
            <w:r>
              <w:t>PD</w:t>
            </w:r>
            <w:r w:rsidR="00613C9C">
              <w:t>)</w:t>
            </w:r>
            <w:r>
              <w:t xml:space="preserve"> transmit</w:t>
            </w:r>
            <w:r w:rsidR="00051894">
              <w:t>s</w:t>
            </w:r>
            <w:r>
              <w:t xml:space="preserve"> the “FHWA Discretionary Grant Master List.xlsx” spreadsheet to FHWA-TX towards the beginning of each month.</w:t>
            </w:r>
          </w:p>
        </w:tc>
      </w:tr>
      <w:tr w:rsidR="00C23D63" w:rsidRPr="00211BC0" w14:paraId="4390AC69" w14:textId="77777777" w:rsidTr="00C23D63">
        <w:trPr>
          <w:cnfStyle w:val="000000100000" w:firstRow="0" w:lastRow="0" w:firstColumn="0" w:lastColumn="0" w:oddVBand="0" w:evenVBand="0" w:oddHBand="1" w:evenHBand="0" w:firstRowFirstColumn="0" w:firstRowLastColumn="0" w:lastRowFirstColumn="0" w:lastRowLastColumn="0"/>
          <w:cantSplit/>
        </w:trPr>
        <w:tc>
          <w:tcPr>
            <w:tcW w:w="2335" w:type="dxa"/>
          </w:tcPr>
          <w:p w14:paraId="6AA7495F" w14:textId="23DAD077" w:rsidR="00C23D63" w:rsidRPr="00211BC0" w:rsidRDefault="00C23D63" w:rsidP="00C23D63">
            <w:pPr>
              <w:pStyle w:val="TableNormalNoSpaceAfter"/>
              <w:rPr>
                <w:szCs w:val="24"/>
              </w:rPr>
            </w:pPr>
            <w:r>
              <w:t>September 2024</w:t>
            </w:r>
          </w:p>
        </w:tc>
        <w:tc>
          <w:tcPr>
            <w:tcW w:w="7020" w:type="dxa"/>
          </w:tcPr>
          <w:p w14:paraId="640578CC" w14:textId="742E19B2" w:rsidR="00C23D63" w:rsidRDefault="00C23D63" w:rsidP="00AB31A5">
            <w:r w:rsidRPr="00C23D63">
              <w:t>Version 3</w:t>
            </w:r>
            <w:r>
              <w:t xml:space="preserve"> </w:t>
            </w:r>
          </w:p>
          <w:p w14:paraId="2EB6C0F7" w14:textId="40F81AE0" w:rsidR="00C23D63" w:rsidRPr="00211BC0" w:rsidRDefault="00C23D63" w:rsidP="00C23D63">
            <w:pPr>
              <w:pStyle w:val="ListBullet"/>
              <w:rPr>
                <w:szCs w:val="24"/>
              </w:rPr>
            </w:pPr>
            <w:r>
              <w:t>Revised procedure for (c)(1) “planning only” grants so that ENV will transmit a copy of the spreadsheet to FHWA along with the monthly list of approvals and decisions as a workaround due to technical issues with FHWA-TX directly accessing the spreadsheet on SharePoint.</w:t>
            </w:r>
          </w:p>
        </w:tc>
      </w:tr>
      <w:tr w:rsidR="00C23D63" w:rsidRPr="00211BC0" w14:paraId="4D1FF9D5" w14:textId="77777777" w:rsidTr="00C23D63">
        <w:trPr>
          <w:cnfStyle w:val="000000010000" w:firstRow="0" w:lastRow="0" w:firstColumn="0" w:lastColumn="0" w:oddVBand="0" w:evenVBand="0" w:oddHBand="0" w:evenHBand="1" w:firstRowFirstColumn="0" w:firstRowLastColumn="0" w:lastRowFirstColumn="0" w:lastRowLastColumn="0"/>
          <w:cantSplit/>
        </w:trPr>
        <w:tc>
          <w:tcPr>
            <w:tcW w:w="2335" w:type="dxa"/>
          </w:tcPr>
          <w:p w14:paraId="2033125C" w14:textId="74F1A035" w:rsidR="00C23D63" w:rsidRPr="00211BC0" w:rsidRDefault="00C23D63" w:rsidP="00C23D63">
            <w:pPr>
              <w:pStyle w:val="TableNormalNoSpaceAfter"/>
              <w:rPr>
                <w:szCs w:val="24"/>
              </w:rPr>
            </w:pPr>
            <w:r w:rsidRPr="00021070">
              <w:lastRenderedPageBreak/>
              <w:t>August 2024</w:t>
            </w:r>
          </w:p>
        </w:tc>
        <w:tc>
          <w:tcPr>
            <w:tcW w:w="7020" w:type="dxa"/>
          </w:tcPr>
          <w:p w14:paraId="2AE02CD3" w14:textId="77777777" w:rsidR="00C23D63" w:rsidRPr="00C23D63" w:rsidRDefault="00C23D63" w:rsidP="001C3113">
            <w:r w:rsidRPr="00C23D63">
              <w:t xml:space="preserve">Version 2 </w:t>
            </w:r>
          </w:p>
          <w:p w14:paraId="1249CA29" w14:textId="72AB2610" w:rsidR="00C23D63" w:rsidRDefault="00C23D63" w:rsidP="00C23D63">
            <w:pPr>
              <w:pStyle w:val="ListBullet"/>
            </w:pPr>
            <w:r w:rsidRPr="00C23D63">
              <w:t>Added separate instructions for “planning only” grants.</w:t>
            </w:r>
          </w:p>
          <w:p w14:paraId="62542192" w14:textId="33DD3DE5" w:rsidR="00C23D63" w:rsidRPr="00C23D63" w:rsidRDefault="00C23D63" w:rsidP="00C23D63">
            <w:pPr>
              <w:pStyle w:val="ListBullet"/>
            </w:pPr>
            <w:r w:rsidRPr="00021070">
              <w:t>Added instructions for ENV Project Delivery Section Staff to fill-in information in the “FHWA NEPA Conveyance List_Master.xlsx” spreadsheet on the SharePoint site.</w:t>
            </w:r>
          </w:p>
        </w:tc>
      </w:tr>
      <w:tr w:rsidR="00C23D63" w:rsidRPr="00211BC0" w14:paraId="42047A44" w14:textId="77777777" w:rsidTr="00C23D63">
        <w:trPr>
          <w:cnfStyle w:val="000000100000" w:firstRow="0" w:lastRow="0" w:firstColumn="0" w:lastColumn="0" w:oddVBand="0" w:evenVBand="0" w:oddHBand="1" w:evenHBand="0" w:firstRowFirstColumn="0" w:firstRowLastColumn="0" w:lastRowFirstColumn="0" w:lastRowLastColumn="0"/>
          <w:cantSplit/>
        </w:trPr>
        <w:tc>
          <w:tcPr>
            <w:tcW w:w="2335" w:type="dxa"/>
          </w:tcPr>
          <w:p w14:paraId="5EC04AB3" w14:textId="096DF554" w:rsidR="00C23D63" w:rsidRPr="00211BC0" w:rsidRDefault="00C23D63" w:rsidP="00C23D63">
            <w:pPr>
              <w:pStyle w:val="TableNormalNoSpaceAfter"/>
              <w:rPr>
                <w:szCs w:val="24"/>
              </w:rPr>
            </w:pPr>
            <w:r w:rsidRPr="00021070">
              <w:t>December 2023</w:t>
            </w:r>
          </w:p>
        </w:tc>
        <w:tc>
          <w:tcPr>
            <w:tcW w:w="7020" w:type="dxa"/>
          </w:tcPr>
          <w:p w14:paraId="38024ED1" w14:textId="77777777" w:rsidR="00C23D63" w:rsidRDefault="00C23D63" w:rsidP="001C3113">
            <w:r w:rsidRPr="00021070">
              <w:t xml:space="preserve">Version 1 </w:t>
            </w:r>
          </w:p>
          <w:p w14:paraId="11FEAB91" w14:textId="59429CA3" w:rsidR="00C23D63" w:rsidRPr="00211BC0" w:rsidRDefault="00AA0CB8" w:rsidP="00C23D63">
            <w:pPr>
              <w:pStyle w:val="ListBullet"/>
            </w:pPr>
            <w:r>
              <w:t xml:space="preserve">Guidance contains a </w:t>
            </w:r>
            <w:r w:rsidRPr="00AA0CB8">
              <w:t>procedure regarding direct recipient discretionary grant projects for which environmental review is requested by FHW</w:t>
            </w:r>
            <w:r>
              <w:t>A</w:t>
            </w:r>
            <w:r w:rsidR="001C3113">
              <w:t>.</w:t>
            </w:r>
          </w:p>
        </w:tc>
      </w:tr>
    </w:tbl>
    <w:p w14:paraId="0724D716" w14:textId="77777777" w:rsidR="00C776E4" w:rsidRDefault="00C776E4" w:rsidP="00AA0CB8"/>
    <w:sectPr w:rsidR="00C776E4" w:rsidSect="001C12E5">
      <w:footerReference w:type="default" r:id="rId15"/>
      <w:footerReference w:type="first" r:id="rId16"/>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83A1" w14:textId="77777777" w:rsidR="00EF7AB6" w:rsidRDefault="00EF7AB6" w:rsidP="00E9313B">
      <w:pPr>
        <w:spacing w:after="0" w:line="240" w:lineRule="auto"/>
      </w:pPr>
      <w:r>
        <w:separator/>
      </w:r>
    </w:p>
  </w:endnote>
  <w:endnote w:type="continuationSeparator" w:id="0">
    <w:p w14:paraId="51BB60F0" w14:textId="77777777" w:rsidR="00EF7AB6" w:rsidRDefault="00EF7AB6" w:rsidP="003D0A5B">
      <w:pPr>
        <w:spacing w:after="0" w:line="240" w:lineRule="auto"/>
      </w:pPr>
      <w:r>
        <w:continuationSeparator/>
      </w:r>
    </w:p>
    <w:p w14:paraId="1C82C7A8" w14:textId="77777777" w:rsidR="00EF7AB6" w:rsidRDefault="00EF7AB6"/>
    <w:p w14:paraId="60324428" w14:textId="77777777" w:rsidR="00EF7AB6" w:rsidRDefault="00EF7AB6"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2BBA530F-8CCE-47F9-8412-46D3E18B736E}"/>
    <w:embedBold r:id="rId2" w:fontKey="{466F1209-C8B0-4690-8F7D-A474CCDCA91C}"/>
    <w:embedItalic r:id="rId3" w:fontKey="{4AC9CD70-0874-4552-937D-857014B59CCF}"/>
    <w:embedBoldItalic r:id="rId4" w:fontKey="{24F9BB4F-B857-48D4-8CBE-3E11BDDB6904}"/>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9373"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C0FC"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2F9F670C" wp14:editId="1141025E">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A0B45"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8A80" w14:textId="1C67F8E5"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76672" behindDoc="0" locked="0" layoutInCell="1" allowOverlap="1" wp14:anchorId="06047CCF" wp14:editId="7534CE90">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C3BC7"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330AAC">
      <w:t>Guidance:</w:t>
    </w:r>
    <w:r w:rsidR="00330AAC" w:rsidRPr="00330AAC">
      <w:t xml:space="preserve"> </w:t>
    </w:r>
    <w:r w:rsidR="00330AAC" w:rsidRPr="00330AAC">
      <w:rPr>
        <w:noProof/>
      </w:rPr>
      <w:t>F</w:t>
    </w:r>
    <w:r w:rsidR="00A93EF6">
      <w:rPr>
        <w:noProof/>
      </w:rPr>
      <w:t>ederal Highway Administration</w:t>
    </w:r>
    <w:r w:rsidR="00330AAC" w:rsidRPr="00330AAC">
      <w:rPr>
        <w:noProof/>
      </w:rPr>
      <w:t xml:space="preserve"> Direct Recipient Discretionary Grant projects</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C972"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05E56174" wp14:editId="4BD84B6C">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506BB"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4B95" w14:textId="77777777" w:rsidR="00EF7AB6" w:rsidRDefault="00EF7AB6" w:rsidP="00E9313B">
      <w:pPr>
        <w:spacing w:after="0" w:line="240" w:lineRule="auto"/>
      </w:pPr>
      <w:r>
        <w:separator/>
      </w:r>
    </w:p>
  </w:footnote>
  <w:footnote w:type="continuationSeparator" w:id="0">
    <w:p w14:paraId="27B52FAE" w14:textId="77777777" w:rsidR="00EF7AB6" w:rsidRDefault="00EF7AB6" w:rsidP="003D0A5B">
      <w:pPr>
        <w:spacing w:after="0" w:line="240" w:lineRule="auto"/>
      </w:pPr>
      <w:r>
        <w:continuationSeparator/>
      </w:r>
    </w:p>
    <w:p w14:paraId="6CF2E273" w14:textId="77777777" w:rsidR="00EF7AB6" w:rsidRDefault="00EF7AB6"/>
    <w:p w14:paraId="3CE6577B" w14:textId="77777777" w:rsidR="00EF7AB6" w:rsidRDefault="00EF7AB6"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5ED"/>
    <w:multiLevelType w:val="multilevel"/>
    <w:tmpl w:val="CA8C0290"/>
    <w:lvl w:ilvl="0">
      <w:start w:val="1"/>
      <w:numFmt w:val="decimal"/>
      <w:lvlText w:val="%1."/>
      <w:lvlJc w:val="left"/>
      <w:pPr>
        <w:ind w:left="720" w:hanging="360"/>
      </w:pPr>
      <w:rPr>
        <w:rFonts w:hint="default"/>
        <w:b w:val="0"/>
        <w:bCs/>
        <w:i w:val="0"/>
        <w:iCs/>
      </w:rPr>
    </w:lvl>
    <w:lvl w:ilvl="1">
      <w:start w:val="1"/>
      <w:numFmt w:val="lowerLetter"/>
      <w:lvlText w:val="%2."/>
      <w:lvlJc w:val="left"/>
      <w:pPr>
        <w:ind w:left="1080" w:hanging="360"/>
      </w:p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88D0A1E"/>
    <w:multiLevelType w:val="hybridMultilevel"/>
    <w:tmpl w:val="BE2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C12DE"/>
    <w:multiLevelType w:val="multilevel"/>
    <w:tmpl w:val="15A4B14A"/>
    <w:lvl w:ilvl="0">
      <w:start w:val="1"/>
      <w:numFmt w:val="decimal"/>
      <w:pStyle w:val="ListNumber"/>
      <w:lvlText w:val="%1."/>
      <w:lvlJc w:val="left"/>
      <w:pPr>
        <w:ind w:left="720" w:hanging="360"/>
      </w:pPr>
      <w:rPr>
        <w:rFonts w:hint="default"/>
        <w:b w:val="0"/>
        <w:bCs/>
        <w:i w:val="0"/>
        <w:i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2"/>
  </w:num>
  <w:num w:numId="2" w16cid:durableId="486940803">
    <w:abstractNumId w:val="4"/>
  </w:num>
  <w:num w:numId="3" w16cid:durableId="1131048890">
    <w:abstractNumId w:val="3"/>
  </w:num>
  <w:num w:numId="4" w16cid:durableId="244607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195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2517832">
    <w:abstractNumId w:val="2"/>
  </w:num>
  <w:num w:numId="7" w16cid:durableId="39047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7196558">
    <w:abstractNumId w:val="0"/>
  </w:num>
  <w:num w:numId="9" w16cid:durableId="1272473223">
    <w:abstractNumId w:val="2"/>
  </w:num>
  <w:num w:numId="10" w16cid:durableId="27429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PGRjEVxejy0yisvtj0TMAAr2nw0vttCkoDgjBakib1W3RypJ1AiA4bGZjGYRYxL2ZshFOhUAHj7aCarfwrxhIw==" w:salt="QpDNop9UpUxr2aR06Nkg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67"/>
    <w:rsid w:val="000100E2"/>
    <w:rsid w:val="00020E5C"/>
    <w:rsid w:val="000424F1"/>
    <w:rsid w:val="000446C8"/>
    <w:rsid w:val="00051894"/>
    <w:rsid w:val="00064619"/>
    <w:rsid w:val="00076960"/>
    <w:rsid w:val="000A272A"/>
    <w:rsid w:val="000B2DE4"/>
    <w:rsid w:val="000B67B1"/>
    <w:rsid w:val="000C0D5B"/>
    <w:rsid w:val="000D78CE"/>
    <w:rsid w:val="000E0D7D"/>
    <w:rsid w:val="000E5C78"/>
    <w:rsid w:val="000F126D"/>
    <w:rsid w:val="001149B9"/>
    <w:rsid w:val="001176C8"/>
    <w:rsid w:val="001254E0"/>
    <w:rsid w:val="00145F56"/>
    <w:rsid w:val="00155E89"/>
    <w:rsid w:val="001809BD"/>
    <w:rsid w:val="001B5742"/>
    <w:rsid w:val="001C12E5"/>
    <w:rsid w:val="001C3113"/>
    <w:rsid w:val="001D09DF"/>
    <w:rsid w:val="001D276C"/>
    <w:rsid w:val="001D774B"/>
    <w:rsid w:val="001F3E0C"/>
    <w:rsid w:val="00211BC0"/>
    <w:rsid w:val="00227F91"/>
    <w:rsid w:val="002301AB"/>
    <w:rsid w:val="00232D1C"/>
    <w:rsid w:val="00240B34"/>
    <w:rsid w:val="0024512C"/>
    <w:rsid w:val="00247CB8"/>
    <w:rsid w:val="00265BEA"/>
    <w:rsid w:val="00295654"/>
    <w:rsid w:val="00295885"/>
    <w:rsid w:val="002A04D8"/>
    <w:rsid w:val="002A05A5"/>
    <w:rsid w:val="002A3C78"/>
    <w:rsid w:val="002B0BA2"/>
    <w:rsid w:val="002B37CB"/>
    <w:rsid w:val="002B633C"/>
    <w:rsid w:val="002D4E37"/>
    <w:rsid w:val="002D6560"/>
    <w:rsid w:val="002F1020"/>
    <w:rsid w:val="00300CD1"/>
    <w:rsid w:val="00300E82"/>
    <w:rsid w:val="0031019E"/>
    <w:rsid w:val="00330402"/>
    <w:rsid w:val="0033059F"/>
    <w:rsid w:val="00330AAC"/>
    <w:rsid w:val="00333FB6"/>
    <w:rsid w:val="00345AEF"/>
    <w:rsid w:val="003852FC"/>
    <w:rsid w:val="00387F2F"/>
    <w:rsid w:val="003B6CAE"/>
    <w:rsid w:val="003C2A4C"/>
    <w:rsid w:val="003C6079"/>
    <w:rsid w:val="003C71B7"/>
    <w:rsid w:val="003D0A5B"/>
    <w:rsid w:val="003D192A"/>
    <w:rsid w:val="003D4749"/>
    <w:rsid w:val="003E43D0"/>
    <w:rsid w:val="003F1DAC"/>
    <w:rsid w:val="003F767E"/>
    <w:rsid w:val="003F7E90"/>
    <w:rsid w:val="00400F33"/>
    <w:rsid w:val="00402F1A"/>
    <w:rsid w:val="004053A6"/>
    <w:rsid w:val="0041293E"/>
    <w:rsid w:val="00435F70"/>
    <w:rsid w:val="00442D5B"/>
    <w:rsid w:val="00445393"/>
    <w:rsid w:val="00466FDF"/>
    <w:rsid w:val="0046726C"/>
    <w:rsid w:val="00470267"/>
    <w:rsid w:val="00490361"/>
    <w:rsid w:val="004A625C"/>
    <w:rsid w:val="004B0DE9"/>
    <w:rsid w:val="004D3590"/>
    <w:rsid w:val="004D525F"/>
    <w:rsid w:val="004E2AC0"/>
    <w:rsid w:val="004F68E8"/>
    <w:rsid w:val="00505CA3"/>
    <w:rsid w:val="00517260"/>
    <w:rsid w:val="005218C4"/>
    <w:rsid w:val="005260EC"/>
    <w:rsid w:val="005275CB"/>
    <w:rsid w:val="00531653"/>
    <w:rsid w:val="00546918"/>
    <w:rsid w:val="005470AB"/>
    <w:rsid w:val="005622ED"/>
    <w:rsid w:val="00574731"/>
    <w:rsid w:val="00582328"/>
    <w:rsid w:val="005C2664"/>
    <w:rsid w:val="005C2BFE"/>
    <w:rsid w:val="005C5281"/>
    <w:rsid w:val="005D2983"/>
    <w:rsid w:val="005D3011"/>
    <w:rsid w:val="005D38BE"/>
    <w:rsid w:val="00604295"/>
    <w:rsid w:val="00611081"/>
    <w:rsid w:val="00613C9C"/>
    <w:rsid w:val="006158A6"/>
    <w:rsid w:val="0062411C"/>
    <w:rsid w:val="00626419"/>
    <w:rsid w:val="00626F7E"/>
    <w:rsid w:val="0063569F"/>
    <w:rsid w:val="0064267C"/>
    <w:rsid w:val="00642BC1"/>
    <w:rsid w:val="006440DC"/>
    <w:rsid w:val="00651507"/>
    <w:rsid w:val="006550CA"/>
    <w:rsid w:val="006550CD"/>
    <w:rsid w:val="0065532A"/>
    <w:rsid w:val="00665B05"/>
    <w:rsid w:val="0068078C"/>
    <w:rsid w:val="00684949"/>
    <w:rsid w:val="00685C66"/>
    <w:rsid w:val="00694D8D"/>
    <w:rsid w:val="006A60EA"/>
    <w:rsid w:val="006B2846"/>
    <w:rsid w:val="007142F9"/>
    <w:rsid w:val="007147F5"/>
    <w:rsid w:val="00715F60"/>
    <w:rsid w:val="007202E7"/>
    <w:rsid w:val="00723362"/>
    <w:rsid w:val="00745D4A"/>
    <w:rsid w:val="00760D4F"/>
    <w:rsid w:val="00766567"/>
    <w:rsid w:val="00795D53"/>
    <w:rsid w:val="007975FA"/>
    <w:rsid w:val="007C7010"/>
    <w:rsid w:val="00830DDB"/>
    <w:rsid w:val="00851E5C"/>
    <w:rsid w:val="0085240F"/>
    <w:rsid w:val="00857EE1"/>
    <w:rsid w:val="0088087A"/>
    <w:rsid w:val="00895020"/>
    <w:rsid w:val="008A57EA"/>
    <w:rsid w:val="008B0E37"/>
    <w:rsid w:val="008B3AE8"/>
    <w:rsid w:val="008D13F9"/>
    <w:rsid w:val="008D2811"/>
    <w:rsid w:val="008D2F34"/>
    <w:rsid w:val="008D72A6"/>
    <w:rsid w:val="008E4682"/>
    <w:rsid w:val="008E6AA5"/>
    <w:rsid w:val="008F61C5"/>
    <w:rsid w:val="009043AE"/>
    <w:rsid w:val="00907379"/>
    <w:rsid w:val="00910CC7"/>
    <w:rsid w:val="00913DF0"/>
    <w:rsid w:val="0091552B"/>
    <w:rsid w:val="00920B5E"/>
    <w:rsid w:val="00935DFA"/>
    <w:rsid w:val="00937873"/>
    <w:rsid w:val="00941F40"/>
    <w:rsid w:val="00952F15"/>
    <w:rsid w:val="00953721"/>
    <w:rsid w:val="00980550"/>
    <w:rsid w:val="00992C53"/>
    <w:rsid w:val="009946A6"/>
    <w:rsid w:val="009B4629"/>
    <w:rsid w:val="009C460F"/>
    <w:rsid w:val="009D1F42"/>
    <w:rsid w:val="009D3D76"/>
    <w:rsid w:val="009D6EB9"/>
    <w:rsid w:val="009E02BD"/>
    <w:rsid w:val="009E1957"/>
    <w:rsid w:val="009E5068"/>
    <w:rsid w:val="009F1DD4"/>
    <w:rsid w:val="00A02B24"/>
    <w:rsid w:val="00A1426D"/>
    <w:rsid w:val="00A163A9"/>
    <w:rsid w:val="00A66AF4"/>
    <w:rsid w:val="00A7674C"/>
    <w:rsid w:val="00A80824"/>
    <w:rsid w:val="00A93EF6"/>
    <w:rsid w:val="00AA0CB8"/>
    <w:rsid w:val="00AA10E8"/>
    <w:rsid w:val="00AA49FA"/>
    <w:rsid w:val="00AA4F86"/>
    <w:rsid w:val="00AA59D4"/>
    <w:rsid w:val="00AA73E2"/>
    <w:rsid w:val="00AB31A5"/>
    <w:rsid w:val="00AB41E2"/>
    <w:rsid w:val="00AE4C68"/>
    <w:rsid w:val="00B11660"/>
    <w:rsid w:val="00B15547"/>
    <w:rsid w:val="00B227C9"/>
    <w:rsid w:val="00B272A7"/>
    <w:rsid w:val="00B274FE"/>
    <w:rsid w:val="00B71F7F"/>
    <w:rsid w:val="00B72EAF"/>
    <w:rsid w:val="00B738D6"/>
    <w:rsid w:val="00B831E5"/>
    <w:rsid w:val="00B84643"/>
    <w:rsid w:val="00B8585F"/>
    <w:rsid w:val="00B93B4F"/>
    <w:rsid w:val="00BA63DC"/>
    <w:rsid w:val="00BB29D7"/>
    <w:rsid w:val="00BB4982"/>
    <w:rsid w:val="00BC2A0C"/>
    <w:rsid w:val="00BC2FB8"/>
    <w:rsid w:val="00BC7158"/>
    <w:rsid w:val="00BE127F"/>
    <w:rsid w:val="00BE3E16"/>
    <w:rsid w:val="00C001A8"/>
    <w:rsid w:val="00C23D63"/>
    <w:rsid w:val="00C27891"/>
    <w:rsid w:val="00C33034"/>
    <w:rsid w:val="00C36B6B"/>
    <w:rsid w:val="00C37929"/>
    <w:rsid w:val="00C41BAA"/>
    <w:rsid w:val="00C423F6"/>
    <w:rsid w:val="00C431EA"/>
    <w:rsid w:val="00C436ED"/>
    <w:rsid w:val="00C445B3"/>
    <w:rsid w:val="00C548C9"/>
    <w:rsid w:val="00C639EB"/>
    <w:rsid w:val="00C64139"/>
    <w:rsid w:val="00C74B3E"/>
    <w:rsid w:val="00C776E4"/>
    <w:rsid w:val="00CB29A7"/>
    <w:rsid w:val="00CC1F1A"/>
    <w:rsid w:val="00CC2BDA"/>
    <w:rsid w:val="00D04728"/>
    <w:rsid w:val="00D04CBF"/>
    <w:rsid w:val="00D47744"/>
    <w:rsid w:val="00D63A51"/>
    <w:rsid w:val="00D775EA"/>
    <w:rsid w:val="00D803C7"/>
    <w:rsid w:val="00DA7866"/>
    <w:rsid w:val="00DB60CB"/>
    <w:rsid w:val="00DE34F5"/>
    <w:rsid w:val="00DE450C"/>
    <w:rsid w:val="00DE48DB"/>
    <w:rsid w:val="00DE5111"/>
    <w:rsid w:val="00DE69FF"/>
    <w:rsid w:val="00DF0E25"/>
    <w:rsid w:val="00DF184C"/>
    <w:rsid w:val="00E00839"/>
    <w:rsid w:val="00E112C3"/>
    <w:rsid w:val="00E21354"/>
    <w:rsid w:val="00E43CD8"/>
    <w:rsid w:val="00E455A8"/>
    <w:rsid w:val="00E9313B"/>
    <w:rsid w:val="00EA4356"/>
    <w:rsid w:val="00EB3C3E"/>
    <w:rsid w:val="00EB6AE0"/>
    <w:rsid w:val="00EB78FA"/>
    <w:rsid w:val="00EC171A"/>
    <w:rsid w:val="00EC1C9F"/>
    <w:rsid w:val="00ED0775"/>
    <w:rsid w:val="00ED5131"/>
    <w:rsid w:val="00EE5342"/>
    <w:rsid w:val="00EF1531"/>
    <w:rsid w:val="00EF5B22"/>
    <w:rsid w:val="00EF70CC"/>
    <w:rsid w:val="00EF70ED"/>
    <w:rsid w:val="00EF7AB6"/>
    <w:rsid w:val="00F50400"/>
    <w:rsid w:val="00F602D4"/>
    <w:rsid w:val="00F66D09"/>
    <w:rsid w:val="00F84154"/>
    <w:rsid w:val="00F919D6"/>
    <w:rsid w:val="00F92530"/>
    <w:rsid w:val="00F96D2C"/>
    <w:rsid w:val="00FA500D"/>
    <w:rsid w:val="00FB2011"/>
    <w:rsid w:val="00FB6EB5"/>
    <w:rsid w:val="00FC262D"/>
    <w:rsid w:val="00FD0EAF"/>
    <w:rsid w:val="00FD568D"/>
    <w:rsid w:val="00FE02B2"/>
    <w:rsid w:val="00FE0689"/>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65B6C"/>
  <w15:chartTrackingRefBased/>
  <w15:docId w15:val="{C554FABA-8DD1-47B9-971F-41F27556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A163A9"/>
    <w:pPr>
      <w:keepNext/>
      <w:spacing w:line="240" w:lineRule="auto"/>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B738D6"/>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customStyle="1" w:styleId="SOPTableEntry">
    <w:name w:val="SOP Table Entry"/>
    <w:basedOn w:val="Normal"/>
    <w:qFormat/>
    <w:rsid w:val="00C23D63"/>
    <w:pPr>
      <w:spacing w:before="60" w:after="120" w:line="276" w:lineRule="auto"/>
    </w:pPr>
    <w:rPr>
      <w:rFonts w:ascii="Arial" w:eastAsia="Times New Roman" w:hAnsi="Arial" w:cs="Arial"/>
      <w:kern w:val="0"/>
      <w:sz w:val="20"/>
      <w:szCs w:val="22"/>
      <w14:ligatures w14:val="none"/>
    </w:rPr>
  </w:style>
  <w:style w:type="character" w:styleId="CommentReference">
    <w:name w:val="annotation reference"/>
    <w:basedOn w:val="DefaultParagraphFont"/>
    <w:uiPriority w:val="99"/>
    <w:semiHidden/>
    <w:unhideWhenUsed/>
    <w:rsid w:val="00BE127F"/>
    <w:rPr>
      <w:sz w:val="16"/>
      <w:szCs w:val="16"/>
    </w:rPr>
  </w:style>
  <w:style w:type="paragraph" w:styleId="CommentText">
    <w:name w:val="annotation text"/>
    <w:basedOn w:val="Normal"/>
    <w:link w:val="CommentTextChar"/>
    <w:uiPriority w:val="99"/>
    <w:unhideWhenUsed/>
    <w:rsid w:val="00BE127F"/>
    <w:pPr>
      <w:spacing w:line="240" w:lineRule="auto"/>
    </w:pPr>
    <w:rPr>
      <w:sz w:val="20"/>
    </w:rPr>
  </w:style>
  <w:style w:type="character" w:customStyle="1" w:styleId="CommentTextChar">
    <w:name w:val="Comment Text Char"/>
    <w:basedOn w:val="DefaultParagraphFont"/>
    <w:link w:val="CommentText"/>
    <w:uiPriority w:val="99"/>
    <w:rsid w:val="00BE127F"/>
    <w:rPr>
      <w:sz w:val="20"/>
      <w:szCs w:val="20"/>
    </w:rPr>
  </w:style>
  <w:style w:type="paragraph" w:styleId="CommentSubject">
    <w:name w:val="annotation subject"/>
    <w:basedOn w:val="CommentText"/>
    <w:next w:val="CommentText"/>
    <w:link w:val="CommentSubjectChar"/>
    <w:uiPriority w:val="99"/>
    <w:semiHidden/>
    <w:unhideWhenUsed/>
    <w:rsid w:val="00BE127F"/>
    <w:rPr>
      <w:b/>
      <w:bCs/>
    </w:rPr>
  </w:style>
  <w:style w:type="character" w:customStyle="1" w:styleId="CommentSubjectChar">
    <w:name w:val="Comment Subject Char"/>
    <w:basedOn w:val="CommentTextChar"/>
    <w:link w:val="CommentSubject"/>
    <w:uiPriority w:val="99"/>
    <w:semiHidden/>
    <w:rsid w:val="00BE127F"/>
    <w:rPr>
      <w:b/>
      <w:bCs/>
      <w:sz w:val="20"/>
      <w:szCs w:val="20"/>
    </w:rPr>
  </w:style>
  <w:style w:type="character" w:styleId="UnresolvedMention">
    <w:name w:val="Unresolved Mention"/>
    <w:basedOn w:val="DefaultParagraphFont"/>
    <w:uiPriority w:val="99"/>
    <w:semiHidden/>
    <w:unhideWhenUsed/>
    <w:rsid w:val="0069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927205a2-004c-1000-884d-bcbb795e1b2d&amp;CT=1774978893633"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7005-AB4A-499C-AB48-03684AF9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AB9F02DA-8656-4BD8-A5E4-F6F7AB09512D}">
  <ds:schemaRefs>
    <ds:schemaRef ds:uri="http://schemas.microsoft.com/office/2006/documentManagement/types"/>
    <ds:schemaRef ds:uri="4f546ee9-1892-45b9-9ba2-985592e03772"/>
    <ds:schemaRef ds:uri="http://schemas.microsoft.com/office/2006/metadata/properties"/>
    <ds:schemaRef ds:uri="http://purl.org/dc/elements/1.1/"/>
    <ds:schemaRef ds:uri="7fef7c20-eb6f-4e1b-9e04-31bde27da1d8"/>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env-coverpage-word-accessible-template.dotx?OR=81dd2b71-fb82-4b33-ac71-fed46bf0f87a&amp;CID=927205a2-004c-1000-884d-bcbb795e1b2d&amp;CT=1774978893633</Template>
  <TotalTime>99</TotalTime>
  <Pages>8</Pages>
  <Words>1218</Words>
  <Characters>6944</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Guidance: Federal Highway Administration Direct Recipient Discretionary Grant projects</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Federal Highway Administration Direct Recipient Discretionary Grant projects</dc:title>
  <dc:subject>This guidance contains a procedure regarding direct recipient discretionary grant projects for which environmental review is requested by Federal Highway Administration (FHWA).</dc:subject>
  <dc:creator>TxDOT</dc:creator>
  <cp:keywords>110-04-gui; FHWA Direct recipient; discretionary grant projects; procedure</cp:keywords>
  <dc:description/>
  <cp:lastModifiedBy>Lauren Miller</cp:lastModifiedBy>
  <cp:revision>68</cp:revision>
  <dcterms:created xsi:type="dcterms:W3CDTF">2026-03-31T17:41:00Z</dcterms:created>
  <dcterms:modified xsi:type="dcterms:W3CDTF">2026-04-02T15:37:00Z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