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5E3" w14:textId="3D7D6BF5" w:rsidR="004F697B" w:rsidRPr="00917F65" w:rsidRDefault="00EC6D27" w:rsidP="00771021">
      <w:pPr>
        <w:pStyle w:val="Heading1"/>
        <w:rPr>
          <w:szCs w:val="48"/>
        </w:rPr>
      </w:pPr>
      <w:r w:rsidRPr="00EC6D27">
        <w:rPr>
          <w:szCs w:val="48"/>
        </w:rPr>
        <w:t>Automatic Authorization Process for Large Construction Activities</w:t>
      </w:r>
    </w:p>
    <w:bookmarkStart w:id="0" w:name="_Hlk228265354"/>
    <w:p w14:paraId="4B55BC5A" w14:textId="58CDD8A5" w:rsidR="00EC6D27" w:rsidRDefault="00EC6D27" w:rsidP="00E71A8A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CE0D0" wp14:editId="1D9F9B6F">
                <wp:simplePos x="0" y="0"/>
                <wp:positionH relativeFrom="column">
                  <wp:posOffset>-28169</wp:posOffset>
                </wp:positionH>
                <wp:positionV relativeFrom="paragraph">
                  <wp:posOffset>13124</wp:posOffset>
                </wp:positionV>
                <wp:extent cx="203682" cy="193964"/>
                <wp:effectExtent l="0" t="0" r="25400" b="15875"/>
                <wp:wrapNone/>
                <wp:docPr id="1246260768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82" cy="193964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56A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EFB356" id="Oval 2" o:spid="_x0000_s1026" alt="&quot;&quot;" style="position:absolute;margin-left:-2.2pt;margin-top:1.05pt;width:16.05pt;height: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" filled="f" strokecolor="#0056a9" strokeweight="2pt">
                <v:stroke joinstyle="miter"/>
              </v:oval>
            </w:pict>
          </mc:Fallback>
        </mc:AlternateContent>
      </w:r>
      <w:r>
        <w:t xml:space="preserve">     </w:t>
      </w:r>
      <w:r w:rsidR="0070588B">
        <w:tab/>
        <w:t>Circle</w:t>
      </w:r>
      <w:r>
        <w:t xml:space="preserve"> (blue) – Texas Department </w:t>
      </w:r>
      <w:r w:rsidR="6F39E2C7">
        <w:t>o</w:t>
      </w:r>
      <w:r>
        <w:t>f Transportation (TxDOT) actions</w:t>
      </w:r>
    </w:p>
    <w:p w14:paraId="3327B45E" w14:textId="42613C49" w:rsidR="00EC6D27" w:rsidRDefault="00E71A8A" w:rsidP="00E71A8A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6FBC50" wp14:editId="4BACC991">
                <wp:simplePos x="0" y="0"/>
                <wp:positionH relativeFrom="column">
                  <wp:posOffset>-31115</wp:posOffset>
                </wp:positionH>
                <wp:positionV relativeFrom="paragraph">
                  <wp:posOffset>17203</wp:posOffset>
                </wp:positionV>
                <wp:extent cx="196215" cy="156210"/>
                <wp:effectExtent l="0" t="0" r="13335" b="15240"/>
                <wp:wrapNone/>
                <wp:docPr id="89226818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" cy="15621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2CE1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  <w:pict>
              <v:roundrect id="Rectangle: Rounded Corners 3" style="position:absolute;margin-left:-2.45pt;margin-top:1.35pt;width:15.4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ed="f" strokecolor="#f2ce1b" strokeweight="2pt" arcsize="10923f" w14:anchorId="53EB2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">
                <v:stroke joinstyle="miter"/>
              </v:roundrect>
            </w:pict>
          </mc:Fallback>
        </mc:AlternateContent>
      </w:r>
      <w:r w:rsidR="00EC6D27">
        <w:t xml:space="preserve">     </w:t>
      </w:r>
      <w:r w:rsidR="0070588B">
        <w:tab/>
      </w:r>
      <w:r w:rsidR="00EC6D27">
        <w:t>Rectangle (yellow) – TxDOT and Contractor actions</w:t>
      </w:r>
    </w:p>
    <w:p w14:paraId="460AFAD3" w14:textId="2C79D53B" w:rsidR="00EC6D27" w:rsidRDefault="00E71A8A" w:rsidP="00F845BD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11ED8AE" wp14:editId="58F5FC2B">
                <wp:simplePos x="0" y="0"/>
                <wp:positionH relativeFrom="column">
                  <wp:posOffset>-46355</wp:posOffset>
                </wp:positionH>
                <wp:positionV relativeFrom="paragraph">
                  <wp:posOffset>36253</wp:posOffset>
                </wp:positionV>
                <wp:extent cx="248285" cy="154305"/>
                <wp:effectExtent l="19050" t="0" r="37465" b="17145"/>
                <wp:wrapNone/>
                <wp:docPr id="2070683069" name="Hexagon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54305"/>
                        </a:xfrm>
                        <a:prstGeom prst="hexagon">
                          <a:avLst/>
                        </a:prstGeom>
                        <a:noFill/>
                        <a:ln w="25400">
                          <a:solidFill>
                            <a:srgbClr val="D90D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C0E2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4" o:spid="_x0000_s1026" type="#_x0000_t9" alt="&quot;&quot;" style="position:absolute;margin-left:-3.65pt;margin-top:2.85pt;width:19.55pt;height:12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" adj="3356" filled="f" strokecolor="#d90d0d" strokeweight="2pt"/>
            </w:pict>
          </mc:Fallback>
        </mc:AlternateContent>
      </w:r>
      <w:r w:rsidR="00EC6D27">
        <w:t xml:space="preserve">     </w:t>
      </w:r>
      <w:r w:rsidR="00C66935">
        <w:tab/>
      </w:r>
      <w:r w:rsidR="00EC6D27">
        <w:t>Hexagon (red) – Contractor actions</w:t>
      </w:r>
      <w:bookmarkEnd w:id="0"/>
      <w:r w:rsidR="00EC6D27">
        <w:rPr>
          <w:b/>
          <w:noProof/>
        </w:rPr>
        <w:drawing>
          <wp:inline distT="0" distB="0" distL="0" distR="0" wp14:anchorId="23B4F5F5" wp14:editId="5C03DB4D">
            <wp:extent cx="5919007" cy="4192437"/>
            <wp:effectExtent l="0" t="0" r="0" b="0"/>
            <wp:docPr id="33262768" name="Picture 1" descr="This is a flow chart showing the process for obtaining a construction general permit for  large construction activities.  A blue circle indicates steps that TxDOT must take, a yellow rectangle indicates steps that TxDOT and the contractor must take, and a red hexagon shows contractor actions.  The first step is developing the stormwater pollution prevention plan (SWP3).  Then submitting a Notice of Intent (NOI).  Final steps are submitting a Notice of Termination (NOT) and removing construction site not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2768" name="Picture 1" descr="This is a flow chart showing the process for obtaining a construction general permit for  large construction activities.  A blue circle indicates steps that TxDOT must take, a yellow rectangle indicates steps that TxDOT and the contractor must take, and a red hexagon shows contractor actions.  The first step is developing the stormwater pollution prevention plan (SWP3).  Then submitting a Notice of Intent (NOI).  Final steps are submitting a Notice of Termination (NOT) and removing construction site notice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59" r="10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455" cy="431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F26E1" w14:textId="233F2928" w:rsidR="00EC6D27" w:rsidRDefault="00EC6D27" w:rsidP="00E71A8A">
      <w:pPr>
        <w:pStyle w:val="Caption"/>
      </w:pPr>
      <w:r>
        <w:t xml:space="preserve">Figure </w:t>
      </w:r>
      <w:r w:rsidRPr="5FA0D813">
        <w:fldChar w:fldCharType="begin"/>
      </w:r>
      <w:r>
        <w:instrText xml:space="preserve"> SEQ Figure \* ARABIC </w:instrText>
      </w:r>
      <w:r w:rsidRPr="5FA0D813">
        <w:fldChar w:fldCharType="separate"/>
      </w:r>
      <w:r w:rsidRPr="5FA0D813">
        <w:rPr>
          <w:noProof/>
        </w:rPr>
        <w:t>1</w:t>
      </w:r>
      <w:r w:rsidRPr="5FA0D813">
        <w:rPr>
          <w:noProof/>
        </w:rPr>
        <w:fldChar w:fldCharType="end"/>
      </w:r>
      <w:r>
        <w:t>. TxDOT large Construction General Permit (CGP) authorization process flow.</w:t>
      </w:r>
      <w:r w:rsidR="00F845BD" w:rsidRPr="00F845BD">
        <w:rPr>
          <w:rStyle w:val="FootnoteReference"/>
          <w:color w:val="auto"/>
        </w:rPr>
        <w:footnoteReference w:id="1"/>
      </w:r>
      <w:r w:rsidR="00F845BD" w:rsidRPr="00F845BD">
        <w:rPr>
          <w:rStyle w:val="FootnoteReference"/>
          <w:color w:val="auto"/>
        </w:rPr>
        <w:footnoteReference w:id="2"/>
      </w:r>
    </w:p>
    <w:sectPr w:rsidR="00EC6D27" w:rsidSect="0010454F">
      <w:headerReference w:type="default" r:id="rId12"/>
      <w:footerReference w:type="default" r:id="rId13"/>
      <w:headerReference w:type="first" r:id="rId14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4393" w14:textId="77777777" w:rsidR="003A396D" w:rsidRDefault="003A396D" w:rsidP="00CE2B96">
      <w:pPr>
        <w:spacing w:after="0"/>
      </w:pPr>
      <w:r>
        <w:separator/>
      </w:r>
    </w:p>
  </w:endnote>
  <w:endnote w:type="continuationSeparator" w:id="0">
    <w:p w14:paraId="091AD25D" w14:textId="77777777" w:rsidR="003A396D" w:rsidRDefault="003A396D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023E" w14:textId="7F6C16FB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81A5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9CC050" wp14:editId="7E8A9134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 xmlns:arto="http://schemas.microsoft.com/office/word/2006/arto">
          <w:pict>
            <v:shapetype id="_x0000_t32" coordsize="21600,21600" o:oned="t" filled="f" o:spt="32" path="m,l21600,21600e" w14:anchorId="5E04759F">
              <v:path fillok="f" arrowok="t" o:connecttype="none"/>
              <o:lock v:ext="edit" shapetype="t"/>
            </v:shapetype>
            <v:shape id="AutoShape 12" style="position:absolute;margin-left:0;margin-top:6.8pt;width:538.95pt;height: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alt="&quot;&quot;" o:spid="_x0000_s1026" strokecolor="#d81f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>
              <w10:wrap anchorx="margin"/>
            </v:shape>
          </w:pict>
        </mc:Fallback>
      </mc:AlternateContent>
    </w:r>
    <w:r w:rsidR="00EC6D27">
      <w:rPr>
        <w:color w:val="0056A9"/>
      </w:rPr>
      <w:t>Automatic Authorization Process for Large Construction Activities</w:t>
    </w:r>
    <w:r w:rsidR="0032481A">
      <w:rPr>
        <w:color w:val="0056A9"/>
      </w:rPr>
      <w:t xml:space="preserve"> </w:t>
    </w:r>
    <w:r w:rsidR="00BD2218" w:rsidRPr="009E532E">
      <w:rPr>
        <w:color w:val="0056A9"/>
      </w:rPr>
      <w:t>|</w:t>
    </w:r>
    <w:r w:rsidR="00BD2218" w:rsidRPr="00BD2218">
      <w:rPr>
        <w:b/>
        <w:bCs/>
        <w:color w:val="0056A9"/>
      </w:rPr>
      <w:t xml:space="preserve">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6D0FB706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A75D" w14:textId="77777777" w:rsidR="003A396D" w:rsidRDefault="003A396D" w:rsidP="00CE2B96">
      <w:pPr>
        <w:spacing w:after="0"/>
      </w:pPr>
      <w:r>
        <w:separator/>
      </w:r>
    </w:p>
  </w:footnote>
  <w:footnote w:type="continuationSeparator" w:id="0">
    <w:p w14:paraId="3FDF9AD9" w14:textId="77777777" w:rsidR="003A396D" w:rsidRDefault="003A396D" w:rsidP="00CE2B96">
      <w:pPr>
        <w:spacing w:after="0"/>
      </w:pPr>
      <w:r>
        <w:continuationSeparator/>
      </w:r>
    </w:p>
  </w:footnote>
  <w:footnote w:id="1">
    <w:p w14:paraId="36B8EDF2" w14:textId="1077ABAD" w:rsidR="00F845BD" w:rsidRDefault="00F845BD" w:rsidP="00F845BD">
      <w:r>
        <w:rPr>
          <w:rStyle w:val="FootnoteReference"/>
        </w:rPr>
        <w:footnoteRef/>
      </w:r>
      <w:r>
        <w:t xml:space="preserve"> </w:t>
      </w:r>
      <w:r w:rsidRPr="00A638A1">
        <w:t xml:space="preserve">If an additional primary operator is added after the initial </w:t>
      </w:r>
      <w:r>
        <w:t>Notice of Intent (</w:t>
      </w:r>
      <w:r w:rsidRPr="00A638A1">
        <w:t>NOI</w:t>
      </w:r>
      <w:r>
        <w:t>)</w:t>
      </w:r>
      <w:r w:rsidRPr="00A638A1">
        <w:t xml:space="preserve"> is submitted, the additional primary operator must meet the same requirements for existing primary operator(s), as indicated above.</w:t>
      </w:r>
    </w:p>
  </w:footnote>
  <w:footnote w:id="2">
    <w:p w14:paraId="6F8D248B" w14:textId="77777777" w:rsidR="00F845BD" w:rsidRDefault="00F845BD" w:rsidP="00F845BD">
      <w:r>
        <w:rPr>
          <w:rStyle w:val="FootnoteReference"/>
        </w:rPr>
        <w:footnoteRef/>
      </w:r>
      <w:r>
        <w:t xml:space="preserve"> If </w:t>
      </w:r>
      <w:r w:rsidRPr="00964ECA">
        <w:t>construction is ongoing under a recently expired CGP.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BB9B" w14:textId="77777777" w:rsidR="001705BC" w:rsidRDefault="009E532E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4624376C" wp14:editId="766F159B">
          <wp:extent cx="2020824" cy="384048"/>
          <wp:effectExtent l="0" t="0" r="0" b="0"/>
          <wp:docPr id="825028343" name="Picture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96457" name="Picture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A45F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27"/>
    <w:rsid w:val="0003040F"/>
    <w:rsid w:val="00033084"/>
    <w:rsid w:val="00042206"/>
    <w:rsid w:val="00051E7A"/>
    <w:rsid w:val="0005583F"/>
    <w:rsid w:val="00073C60"/>
    <w:rsid w:val="00074844"/>
    <w:rsid w:val="00075AE3"/>
    <w:rsid w:val="000940FB"/>
    <w:rsid w:val="000A5D0B"/>
    <w:rsid w:val="000B2945"/>
    <w:rsid w:val="000B5A5C"/>
    <w:rsid w:val="000C7AD7"/>
    <w:rsid w:val="000E0386"/>
    <w:rsid w:val="000F736D"/>
    <w:rsid w:val="0010454F"/>
    <w:rsid w:val="00105532"/>
    <w:rsid w:val="001371DF"/>
    <w:rsid w:val="001468A0"/>
    <w:rsid w:val="00146BE0"/>
    <w:rsid w:val="001705BC"/>
    <w:rsid w:val="001761D7"/>
    <w:rsid w:val="00181735"/>
    <w:rsid w:val="0018694B"/>
    <w:rsid w:val="00190DCD"/>
    <w:rsid w:val="00191AFD"/>
    <w:rsid w:val="00193C0D"/>
    <w:rsid w:val="001A69C9"/>
    <w:rsid w:val="001B0171"/>
    <w:rsid w:val="001B5185"/>
    <w:rsid w:val="001B6C26"/>
    <w:rsid w:val="001C3E75"/>
    <w:rsid w:val="001E539F"/>
    <w:rsid w:val="001E5E7E"/>
    <w:rsid w:val="001F4FAC"/>
    <w:rsid w:val="002340C7"/>
    <w:rsid w:val="002376C2"/>
    <w:rsid w:val="002531E4"/>
    <w:rsid w:val="00273031"/>
    <w:rsid w:val="002805FC"/>
    <w:rsid w:val="00284504"/>
    <w:rsid w:val="00290571"/>
    <w:rsid w:val="00290A05"/>
    <w:rsid w:val="002934DC"/>
    <w:rsid w:val="002A05A5"/>
    <w:rsid w:val="002A12D5"/>
    <w:rsid w:val="002A75F2"/>
    <w:rsid w:val="002B04FC"/>
    <w:rsid w:val="002B1115"/>
    <w:rsid w:val="002C57BC"/>
    <w:rsid w:val="002D0309"/>
    <w:rsid w:val="002D228D"/>
    <w:rsid w:val="002D44DC"/>
    <w:rsid w:val="002F28FD"/>
    <w:rsid w:val="0032481A"/>
    <w:rsid w:val="003452E7"/>
    <w:rsid w:val="003A396D"/>
    <w:rsid w:val="003A504F"/>
    <w:rsid w:val="003C2405"/>
    <w:rsid w:val="003D41C5"/>
    <w:rsid w:val="003D6291"/>
    <w:rsid w:val="003E1328"/>
    <w:rsid w:val="003F3CC1"/>
    <w:rsid w:val="004112F8"/>
    <w:rsid w:val="0042061E"/>
    <w:rsid w:val="00427DBB"/>
    <w:rsid w:val="004301F5"/>
    <w:rsid w:val="00437A34"/>
    <w:rsid w:val="004567BC"/>
    <w:rsid w:val="00487276"/>
    <w:rsid w:val="004A1071"/>
    <w:rsid w:val="004B325C"/>
    <w:rsid w:val="004E496F"/>
    <w:rsid w:val="004E7B23"/>
    <w:rsid w:val="004F697B"/>
    <w:rsid w:val="00501A04"/>
    <w:rsid w:val="00511452"/>
    <w:rsid w:val="005172CB"/>
    <w:rsid w:val="0054314A"/>
    <w:rsid w:val="005456F3"/>
    <w:rsid w:val="005555C5"/>
    <w:rsid w:val="005D35F1"/>
    <w:rsid w:val="005D638D"/>
    <w:rsid w:val="005D6FD8"/>
    <w:rsid w:val="005D7E79"/>
    <w:rsid w:val="005E008C"/>
    <w:rsid w:val="005E37D5"/>
    <w:rsid w:val="005E451D"/>
    <w:rsid w:val="006125F2"/>
    <w:rsid w:val="00623AC9"/>
    <w:rsid w:val="00624C21"/>
    <w:rsid w:val="006258E9"/>
    <w:rsid w:val="00626A92"/>
    <w:rsid w:val="00630866"/>
    <w:rsid w:val="00640ADD"/>
    <w:rsid w:val="00643281"/>
    <w:rsid w:val="0064565C"/>
    <w:rsid w:val="00687A4D"/>
    <w:rsid w:val="006A1FE4"/>
    <w:rsid w:val="006B34EF"/>
    <w:rsid w:val="0070413E"/>
    <w:rsid w:val="0070588B"/>
    <w:rsid w:val="0072002A"/>
    <w:rsid w:val="007414D4"/>
    <w:rsid w:val="007416F1"/>
    <w:rsid w:val="007524CB"/>
    <w:rsid w:val="00763838"/>
    <w:rsid w:val="00767521"/>
    <w:rsid w:val="00771021"/>
    <w:rsid w:val="00781A58"/>
    <w:rsid w:val="00791127"/>
    <w:rsid w:val="007A3B26"/>
    <w:rsid w:val="007B00A8"/>
    <w:rsid w:val="007C06C2"/>
    <w:rsid w:val="007C4BC5"/>
    <w:rsid w:val="007D6707"/>
    <w:rsid w:val="007E4B7F"/>
    <w:rsid w:val="00812145"/>
    <w:rsid w:val="00845D4F"/>
    <w:rsid w:val="0086528F"/>
    <w:rsid w:val="0087110F"/>
    <w:rsid w:val="00885A03"/>
    <w:rsid w:val="008905E4"/>
    <w:rsid w:val="00893375"/>
    <w:rsid w:val="00894429"/>
    <w:rsid w:val="008B49EB"/>
    <w:rsid w:val="008C1217"/>
    <w:rsid w:val="008C1F9A"/>
    <w:rsid w:val="008C7955"/>
    <w:rsid w:val="008C7DB8"/>
    <w:rsid w:val="008D2495"/>
    <w:rsid w:val="008E67E8"/>
    <w:rsid w:val="00900F14"/>
    <w:rsid w:val="00915FFB"/>
    <w:rsid w:val="009160AB"/>
    <w:rsid w:val="0091704D"/>
    <w:rsid w:val="00917F65"/>
    <w:rsid w:val="009260DC"/>
    <w:rsid w:val="0092667E"/>
    <w:rsid w:val="00947AC2"/>
    <w:rsid w:val="00955095"/>
    <w:rsid w:val="00967F5A"/>
    <w:rsid w:val="0097321E"/>
    <w:rsid w:val="00976A16"/>
    <w:rsid w:val="00995A37"/>
    <w:rsid w:val="009B0174"/>
    <w:rsid w:val="009E532E"/>
    <w:rsid w:val="009F478F"/>
    <w:rsid w:val="009F72F5"/>
    <w:rsid w:val="00A07068"/>
    <w:rsid w:val="00A07348"/>
    <w:rsid w:val="00A166DE"/>
    <w:rsid w:val="00A22F82"/>
    <w:rsid w:val="00A44609"/>
    <w:rsid w:val="00A47D0D"/>
    <w:rsid w:val="00A517D8"/>
    <w:rsid w:val="00A53A66"/>
    <w:rsid w:val="00A70747"/>
    <w:rsid w:val="00A71049"/>
    <w:rsid w:val="00A858D7"/>
    <w:rsid w:val="00AC07C1"/>
    <w:rsid w:val="00AD4351"/>
    <w:rsid w:val="00AE1A16"/>
    <w:rsid w:val="00B016C2"/>
    <w:rsid w:val="00B0594B"/>
    <w:rsid w:val="00B076D5"/>
    <w:rsid w:val="00B1281D"/>
    <w:rsid w:val="00B22256"/>
    <w:rsid w:val="00B406D5"/>
    <w:rsid w:val="00B47D14"/>
    <w:rsid w:val="00B50B67"/>
    <w:rsid w:val="00B55323"/>
    <w:rsid w:val="00B63B4E"/>
    <w:rsid w:val="00B63CB8"/>
    <w:rsid w:val="00B84690"/>
    <w:rsid w:val="00B85D46"/>
    <w:rsid w:val="00B900B0"/>
    <w:rsid w:val="00B9181D"/>
    <w:rsid w:val="00BB41EB"/>
    <w:rsid w:val="00BD2218"/>
    <w:rsid w:val="00BD7E0B"/>
    <w:rsid w:val="00C02127"/>
    <w:rsid w:val="00C10F1E"/>
    <w:rsid w:val="00C27E67"/>
    <w:rsid w:val="00C31BC5"/>
    <w:rsid w:val="00C47987"/>
    <w:rsid w:val="00C575AE"/>
    <w:rsid w:val="00C614AF"/>
    <w:rsid w:val="00C66935"/>
    <w:rsid w:val="00C75AB3"/>
    <w:rsid w:val="00C81F53"/>
    <w:rsid w:val="00C923ED"/>
    <w:rsid w:val="00C96034"/>
    <w:rsid w:val="00CB2FFC"/>
    <w:rsid w:val="00CB302C"/>
    <w:rsid w:val="00CC00DC"/>
    <w:rsid w:val="00CD03EB"/>
    <w:rsid w:val="00CE2B96"/>
    <w:rsid w:val="00CE6274"/>
    <w:rsid w:val="00CE6A5A"/>
    <w:rsid w:val="00CF0FA4"/>
    <w:rsid w:val="00CF238E"/>
    <w:rsid w:val="00D04FDE"/>
    <w:rsid w:val="00D058C9"/>
    <w:rsid w:val="00D05E31"/>
    <w:rsid w:val="00D07333"/>
    <w:rsid w:val="00D11322"/>
    <w:rsid w:val="00D4473A"/>
    <w:rsid w:val="00D46BC3"/>
    <w:rsid w:val="00D52D93"/>
    <w:rsid w:val="00D641FB"/>
    <w:rsid w:val="00D66517"/>
    <w:rsid w:val="00D87291"/>
    <w:rsid w:val="00DB6A6F"/>
    <w:rsid w:val="00DB6E38"/>
    <w:rsid w:val="00DB7C4F"/>
    <w:rsid w:val="00DD5129"/>
    <w:rsid w:val="00DE6ED5"/>
    <w:rsid w:val="00E04EB5"/>
    <w:rsid w:val="00E126B6"/>
    <w:rsid w:val="00E15D9F"/>
    <w:rsid w:val="00E30105"/>
    <w:rsid w:val="00E302A4"/>
    <w:rsid w:val="00E33825"/>
    <w:rsid w:val="00E42A56"/>
    <w:rsid w:val="00E47D85"/>
    <w:rsid w:val="00E50774"/>
    <w:rsid w:val="00E71A8A"/>
    <w:rsid w:val="00E75EDD"/>
    <w:rsid w:val="00E83835"/>
    <w:rsid w:val="00EB0613"/>
    <w:rsid w:val="00EC6D27"/>
    <w:rsid w:val="00ED20AC"/>
    <w:rsid w:val="00EE5A53"/>
    <w:rsid w:val="00EE6DDC"/>
    <w:rsid w:val="00EF7847"/>
    <w:rsid w:val="00F11034"/>
    <w:rsid w:val="00F22C28"/>
    <w:rsid w:val="00F35F29"/>
    <w:rsid w:val="00F37011"/>
    <w:rsid w:val="00F44653"/>
    <w:rsid w:val="00F47B34"/>
    <w:rsid w:val="00F53357"/>
    <w:rsid w:val="00F63F58"/>
    <w:rsid w:val="00F845BD"/>
    <w:rsid w:val="00F8718F"/>
    <w:rsid w:val="00FB2FFC"/>
    <w:rsid w:val="00FB3F6D"/>
    <w:rsid w:val="00FC4A49"/>
    <w:rsid w:val="00FD70AA"/>
    <w:rsid w:val="00FE4D24"/>
    <w:rsid w:val="00FF4496"/>
    <w:rsid w:val="30633F0E"/>
    <w:rsid w:val="5FA0D813"/>
    <w:rsid w:val="6642CEC5"/>
    <w:rsid w:val="6F39E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F23B4"/>
  <w15:chartTrackingRefBased/>
  <w15:docId w15:val="{F89A2B85-57BE-4290-9FE7-2BA3A196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5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71A8A"/>
    <w:pPr>
      <w:keepNext/>
    </w:pPr>
    <w:rPr>
      <w:iCs/>
      <w:color w:val="000000" w:themeColor="text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C6D27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1E5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39F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39F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2" ma:contentTypeDescription="Create a new document." ma:contentTypeScope="" ma:versionID="fca719a13aa2498d06bfceb6e6660780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0f82efb1a3b27cbd668432558a50b48d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8030A-1151-48DB-8A23-26F7EDCC7F4A}">
  <ds:schemaRefs>
    <ds:schemaRef ds:uri="7fef7c20-eb6f-4e1b-9e04-31bde27da1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f546ee9-1892-45b9-9ba2-985592e0377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0D7638-1A34-489F-9EA2-A281B605CA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Automatic Authorization Process for Large Construction Activities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 Authorization Process for Large Construction Activities</dc:title>
  <dc:subject>Construction General Permit Process for Large Construction Activities</dc:subject>
  <dc:creator>TxDOT</dc:creator>
  <cp:keywords>915-03-fig; Authorization procss; large projects</cp:keywords>
  <dc:description/>
  <cp:lastModifiedBy>Sarah Matthews</cp:lastModifiedBy>
  <cp:revision>2</cp:revision>
  <dcterms:created xsi:type="dcterms:W3CDTF">2026-04-28T15:49:00Z</dcterms:created>
  <dcterms:modified xsi:type="dcterms:W3CDTF">2026-04-28T15:49:00Z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