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55E3" w14:textId="6D311B1E" w:rsidR="004F697B" w:rsidRPr="00917F65" w:rsidRDefault="00EC6D27" w:rsidP="00771021">
      <w:pPr>
        <w:pStyle w:val="Heading1"/>
        <w:rPr>
          <w:szCs w:val="48"/>
        </w:rPr>
      </w:pPr>
      <w:r w:rsidRPr="00EC6D27">
        <w:rPr>
          <w:szCs w:val="48"/>
        </w:rPr>
        <w:t xml:space="preserve">Automatic Authorization Process for </w:t>
      </w:r>
      <w:r w:rsidR="00295571">
        <w:rPr>
          <w:szCs w:val="48"/>
        </w:rPr>
        <w:t>Small</w:t>
      </w:r>
      <w:r w:rsidRPr="00EC6D27">
        <w:rPr>
          <w:szCs w:val="48"/>
        </w:rPr>
        <w:t xml:space="preserve"> Construction Activities</w:t>
      </w:r>
    </w:p>
    <w:p w14:paraId="4B55BC5A" w14:textId="429694A4" w:rsidR="00EC6D27" w:rsidRDefault="00EC6D27" w:rsidP="00E71A8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1CE0D0" wp14:editId="0BB51796">
                <wp:simplePos x="0" y="0"/>
                <wp:positionH relativeFrom="column">
                  <wp:posOffset>-26670</wp:posOffset>
                </wp:positionH>
                <wp:positionV relativeFrom="paragraph">
                  <wp:posOffset>14605</wp:posOffset>
                </wp:positionV>
                <wp:extent cx="205740" cy="193964"/>
                <wp:effectExtent l="0" t="0" r="22860" b="15875"/>
                <wp:wrapNone/>
                <wp:docPr id="1246260768" name="Oval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3964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56A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B7211" id="Oval 2" o:spid="_x0000_s1026" alt="&quot;&quot;" style="position:absolute;margin-left:-2.1pt;margin-top:1.15pt;width:16.2pt;height:1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" filled="f" strokecolor="#0056a9" strokeweight="2pt">
                <v:stroke joinstyle="miter"/>
              </v:oval>
            </w:pict>
          </mc:Fallback>
        </mc:AlternateContent>
      </w:r>
      <w:r w:rsidR="4933EDC0">
        <w:t xml:space="preserve">     </w:t>
      </w:r>
      <w:r w:rsidR="00CF7F39">
        <w:tab/>
      </w:r>
      <w:r w:rsidR="00502610">
        <w:t>Circle</w:t>
      </w:r>
      <w:r w:rsidR="4933EDC0">
        <w:t xml:space="preserve"> (blue) – Texas Department </w:t>
      </w:r>
      <w:r w:rsidR="613BBA82">
        <w:t>o</w:t>
      </w:r>
      <w:r w:rsidR="4933EDC0">
        <w:t>f Transportation (TxDOT) actions</w:t>
      </w:r>
    </w:p>
    <w:p w14:paraId="3327B45E" w14:textId="212DA5C4" w:rsidR="00EC6D27" w:rsidRDefault="00E71A8A" w:rsidP="00E71A8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6FBC50" wp14:editId="4040909D">
                <wp:simplePos x="0" y="0"/>
                <wp:positionH relativeFrom="column">
                  <wp:posOffset>-31115</wp:posOffset>
                </wp:positionH>
                <wp:positionV relativeFrom="paragraph">
                  <wp:posOffset>17203</wp:posOffset>
                </wp:positionV>
                <wp:extent cx="196215" cy="156210"/>
                <wp:effectExtent l="0" t="0" r="13335" b="15240"/>
                <wp:wrapNone/>
                <wp:docPr id="89226818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" cy="15621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19653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A0B85" id="Rectangle: Rounded Corners 3" o:spid="_x0000_s1026" alt="&quot;&quot;" style="position:absolute;margin-left:-2.45pt;margin-top:1.35pt;width:15.45pt;height:12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" filled="f" strokecolor="#196533" strokeweight="2pt">
                <v:stroke joinstyle="miter"/>
              </v:roundrect>
            </w:pict>
          </mc:Fallback>
        </mc:AlternateContent>
      </w:r>
      <w:r w:rsidR="4933EDC0">
        <w:t xml:space="preserve">     </w:t>
      </w:r>
      <w:r w:rsidR="00CF7F39">
        <w:tab/>
      </w:r>
      <w:r w:rsidR="4933EDC0">
        <w:t>Rectangle (</w:t>
      </w:r>
      <w:r w:rsidR="00387B1F">
        <w:t>green</w:t>
      </w:r>
      <w:r w:rsidR="4933EDC0">
        <w:t>) – TxDOT and Contractor actions</w:t>
      </w:r>
    </w:p>
    <w:p w14:paraId="7C6118A7" w14:textId="77777777" w:rsidR="00C90A35" w:rsidRDefault="00E71A8A" w:rsidP="00C90A35">
      <w:pPr>
        <w:spacing w:line="276" w:lineRule="auto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11ED8AE" wp14:editId="7BDEE4C7">
                <wp:simplePos x="0" y="0"/>
                <wp:positionH relativeFrom="column">
                  <wp:posOffset>-46355</wp:posOffset>
                </wp:positionH>
                <wp:positionV relativeFrom="paragraph">
                  <wp:posOffset>36253</wp:posOffset>
                </wp:positionV>
                <wp:extent cx="248285" cy="154305"/>
                <wp:effectExtent l="19050" t="0" r="37465" b="17145"/>
                <wp:wrapNone/>
                <wp:docPr id="2070683069" name="Hexago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54305"/>
                        </a:xfrm>
                        <a:prstGeom prst="hexagon">
                          <a:avLst/>
                        </a:prstGeom>
                        <a:noFill/>
                        <a:ln w="25400">
                          <a:solidFill>
                            <a:srgbClr val="D90D0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1DD30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4" o:spid="_x0000_s1026" type="#_x0000_t9" alt="&quot;&quot;" style="position:absolute;margin-left:-3.65pt;margin-top:2.85pt;width:19.55pt;height:12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" adj="3356" filled="f" strokecolor="#d90d0d" strokeweight="2pt"/>
            </w:pict>
          </mc:Fallback>
        </mc:AlternateContent>
      </w:r>
      <w:r w:rsidR="00EC6D27">
        <w:t>Hexagon (red) – Contractor actions</w:t>
      </w:r>
    </w:p>
    <w:p w14:paraId="415F26E1" w14:textId="6F3D1E3D" w:rsidR="00EC6D27" w:rsidRPr="00EB794D" w:rsidRDefault="00387B1F" w:rsidP="00C90A35">
      <w:pPr>
        <w:spacing w:line="276" w:lineRule="auto"/>
        <w:ind w:firstLine="720"/>
      </w:pPr>
      <w:r>
        <w:rPr>
          <w:noProof/>
        </w:rPr>
        <w:lastRenderedPageBreak/>
        <w:drawing>
          <wp:inline distT="0" distB="0" distL="0" distR="0" wp14:anchorId="34C3CFD4" wp14:editId="371F2776">
            <wp:extent cx="6400800" cy="4156964"/>
            <wp:effectExtent l="0" t="0" r="0" b="0"/>
            <wp:docPr id="1878043509" name="Picture 1" descr="This is a flow chart showing the automatic authorization process for small construction activities.  It starts with development of a stormwater pollution prevention plan (SWP3) and ends when construction and final stabilization is complete.  A blue circle represents an action by Texas Department of Transportation (TxDOT), a green rectangle represents actions by both TxDOT and the contractor, and a red hexagon represents actions by the contrac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043509" name="Picture 1" descr="This is a flow chart showing the automatic authorization process for small construction activities.  It starts with development of a stormwater pollution prevention plan (SWP3) and ends when construction and final stabilization is complete.  A blue circle represents an action by Texas Department of Transportation (TxDOT), a green rectangle represents actions by both TxDOT and the contractor, and a red hexagon represents actions by the contractor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5300" cy="4159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6D27" w:rsidRPr="00EB794D">
        <w:t xml:space="preserve">Figure </w:t>
      </w:r>
      <w:r w:rsidR="00EC6D27" w:rsidRPr="00EB794D">
        <w:fldChar w:fldCharType="begin"/>
      </w:r>
      <w:r w:rsidR="00EC6D27" w:rsidRPr="00EB794D">
        <w:instrText xml:space="preserve"> SEQ Figure \* ARABIC </w:instrText>
      </w:r>
      <w:r w:rsidR="00EC6D27" w:rsidRPr="00EB794D">
        <w:fldChar w:fldCharType="separate"/>
      </w:r>
      <w:r w:rsidR="00EC6D27" w:rsidRPr="00EB794D">
        <w:rPr>
          <w:noProof/>
        </w:rPr>
        <w:t>1</w:t>
      </w:r>
      <w:r w:rsidR="00EC6D27" w:rsidRPr="00EB794D">
        <w:rPr>
          <w:noProof/>
        </w:rPr>
        <w:fldChar w:fldCharType="end"/>
      </w:r>
      <w:r w:rsidR="00EC6D27" w:rsidRPr="00EB794D">
        <w:t xml:space="preserve">. TxDOT </w:t>
      </w:r>
      <w:r w:rsidR="00D659F9" w:rsidRPr="00EB794D">
        <w:t>S</w:t>
      </w:r>
      <w:r w:rsidR="00295571" w:rsidRPr="00EB794D">
        <w:t>mall</w:t>
      </w:r>
      <w:r w:rsidR="00EC6D27" w:rsidRPr="00EB794D">
        <w:t xml:space="preserve"> Construction General Permit (CGP) authorization process flow.</w:t>
      </w:r>
      <w:r w:rsidR="00140F47" w:rsidRPr="00EB794D">
        <w:rPr>
          <w:rStyle w:val="FootnoteReference"/>
        </w:rPr>
        <w:footnoteReference w:id="1"/>
      </w:r>
      <w:r w:rsidR="00ED2125" w:rsidRPr="00EB794D">
        <w:rPr>
          <w:rStyle w:val="FootnoteReference"/>
        </w:rPr>
        <w:footnoteReference w:id="2"/>
      </w:r>
    </w:p>
    <w:sectPr w:rsidR="00EC6D27" w:rsidRPr="00EB794D" w:rsidSect="00324F85">
      <w:headerReference w:type="default" r:id="rId12"/>
      <w:footerReference w:type="default" r:id="rId13"/>
      <w:headerReference w:type="first" r:id="rId14"/>
      <w:pgSz w:w="12240" w:h="15840" w:code="1"/>
      <w:pgMar w:top="630" w:right="720" w:bottom="108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FE6A5" w14:textId="77777777" w:rsidR="002172DE" w:rsidRDefault="002172DE" w:rsidP="00CE2B96">
      <w:pPr>
        <w:spacing w:after="0"/>
      </w:pPr>
      <w:r>
        <w:separator/>
      </w:r>
    </w:p>
  </w:endnote>
  <w:endnote w:type="continuationSeparator" w:id="0">
    <w:p w14:paraId="46521F92" w14:textId="77777777" w:rsidR="002172DE" w:rsidRDefault="002172DE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1023E" w14:textId="09A83C96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81A5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9CC050" wp14:editId="7E8A9134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3743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EC6D27">
      <w:rPr>
        <w:color w:val="0056A9"/>
      </w:rPr>
      <w:t xml:space="preserve">Automatic Authorization Process for </w:t>
    </w:r>
    <w:r w:rsidR="00425E14">
      <w:rPr>
        <w:color w:val="0056A9"/>
      </w:rPr>
      <w:t>Small</w:t>
    </w:r>
    <w:r w:rsidR="00CD268C">
      <w:rPr>
        <w:color w:val="0056A9"/>
      </w:rPr>
      <w:t xml:space="preserve"> </w:t>
    </w:r>
    <w:r w:rsidR="00EC6D27">
      <w:rPr>
        <w:color w:val="0056A9"/>
      </w:rPr>
      <w:t>Construction Activities</w:t>
    </w:r>
    <w:r w:rsidR="0032481A">
      <w:rPr>
        <w:color w:val="0056A9"/>
      </w:rPr>
      <w:t xml:space="preserve"> </w:t>
    </w:r>
    <w:r w:rsidR="00BD2218" w:rsidRPr="009E532E">
      <w:rPr>
        <w:color w:val="0056A9"/>
      </w:rPr>
      <w:t>|</w:t>
    </w:r>
    <w:r w:rsidR="00BD2218" w:rsidRPr="00BD2218">
      <w:rPr>
        <w:b/>
        <w:bCs/>
        <w:color w:val="0056A9"/>
      </w:rPr>
      <w:t xml:space="preserve">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6D0FB706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B5900" w14:textId="77777777" w:rsidR="002172DE" w:rsidRDefault="002172DE" w:rsidP="00CE2B96">
      <w:pPr>
        <w:spacing w:after="0"/>
      </w:pPr>
      <w:r>
        <w:separator/>
      </w:r>
    </w:p>
  </w:footnote>
  <w:footnote w:type="continuationSeparator" w:id="0">
    <w:p w14:paraId="0ACDE2F5" w14:textId="77777777" w:rsidR="002172DE" w:rsidRDefault="002172DE" w:rsidP="00CE2B96">
      <w:pPr>
        <w:spacing w:after="0"/>
      </w:pPr>
      <w:r>
        <w:continuationSeparator/>
      </w:r>
    </w:p>
  </w:footnote>
  <w:footnote w:id="1">
    <w:p w14:paraId="20AE8C3B" w14:textId="06E04F87" w:rsidR="00140F47" w:rsidRDefault="00140F47" w:rsidP="00140F47">
      <w:r>
        <w:rPr>
          <w:rStyle w:val="FootnoteReference"/>
        </w:rPr>
        <w:footnoteRef/>
      </w:r>
      <w:r>
        <w:t xml:space="preserve"> </w:t>
      </w:r>
      <w:r w:rsidR="00146E75">
        <w:t xml:space="preserve">The posted Construction Site Notice (CSN) should have redacted signatures where signatures are present. The original signed and certified CSN should be maintained onsite in the </w:t>
      </w:r>
      <w:r w:rsidR="00831219">
        <w:t>Stormwater Pollution Prevention Plan (</w:t>
      </w:r>
      <w:r w:rsidR="00146E75">
        <w:t>SWP3</w:t>
      </w:r>
      <w:r w:rsidR="00831219">
        <w:t>)</w:t>
      </w:r>
      <w:r w:rsidR="00FE4211">
        <w:t xml:space="preserve"> Binder and available for review by an applicable regulatory authority.</w:t>
      </w:r>
    </w:p>
  </w:footnote>
  <w:footnote w:id="2">
    <w:p w14:paraId="5EE21F17" w14:textId="3100A47F" w:rsidR="00693CCA" w:rsidRDefault="00ED2125" w:rsidP="00ED2125">
      <w:r>
        <w:rPr>
          <w:rStyle w:val="FootnoteReference"/>
        </w:rPr>
        <w:footnoteRef/>
      </w:r>
      <w:r>
        <w:t xml:space="preserve"> </w:t>
      </w:r>
      <w:r w:rsidRPr="00ED2125">
        <w:t>If construction is ongoing under a recently expired CGP. Texas Commission on Environmental Quality (TCEQ) renews the CGP on a five-year cycle.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5BB9B" w14:textId="77777777" w:rsidR="001705BC" w:rsidRDefault="009E532E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4624376C" wp14:editId="766F159B">
          <wp:extent cx="2020824" cy="384048"/>
          <wp:effectExtent l="0" t="0" r="0" b="0"/>
          <wp:docPr id="1873476493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A45F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27"/>
    <w:rsid w:val="00013799"/>
    <w:rsid w:val="0003040F"/>
    <w:rsid w:val="00042206"/>
    <w:rsid w:val="00051E7A"/>
    <w:rsid w:val="0005583F"/>
    <w:rsid w:val="00073C60"/>
    <w:rsid w:val="00074844"/>
    <w:rsid w:val="00075AE3"/>
    <w:rsid w:val="0008508A"/>
    <w:rsid w:val="000940FB"/>
    <w:rsid w:val="000A5D0B"/>
    <w:rsid w:val="000B126B"/>
    <w:rsid w:val="000B2945"/>
    <w:rsid w:val="000B5A5C"/>
    <w:rsid w:val="000C7AD7"/>
    <w:rsid w:val="000E0386"/>
    <w:rsid w:val="000F736D"/>
    <w:rsid w:val="000F791D"/>
    <w:rsid w:val="000F7C45"/>
    <w:rsid w:val="0010454F"/>
    <w:rsid w:val="00105532"/>
    <w:rsid w:val="00112E99"/>
    <w:rsid w:val="00140F47"/>
    <w:rsid w:val="00144296"/>
    <w:rsid w:val="001468A0"/>
    <w:rsid w:val="00146BE0"/>
    <w:rsid w:val="00146E75"/>
    <w:rsid w:val="00146E88"/>
    <w:rsid w:val="001705BC"/>
    <w:rsid w:val="001761D7"/>
    <w:rsid w:val="00181735"/>
    <w:rsid w:val="0018694B"/>
    <w:rsid w:val="00190DCD"/>
    <w:rsid w:val="00191AFD"/>
    <w:rsid w:val="00193C0D"/>
    <w:rsid w:val="001A69C9"/>
    <w:rsid w:val="001B0171"/>
    <w:rsid w:val="001B5185"/>
    <w:rsid w:val="001B6C26"/>
    <w:rsid w:val="001C0D86"/>
    <w:rsid w:val="001C3E75"/>
    <w:rsid w:val="001D6C8A"/>
    <w:rsid w:val="001E539F"/>
    <w:rsid w:val="001E5857"/>
    <w:rsid w:val="001E5E7E"/>
    <w:rsid w:val="001F4FAC"/>
    <w:rsid w:val="00202B6D"/>
    <w:rsid w:val="002172DE"/>
    <w:rsid w:val="002253C4"/>
    <w:rsid w:val="00231549"/>
    <w:rsid w:val="002340C7"/>
    <w:rsid w:val="002376C2"/>
    <w:rsid w:val="002531E4"/>
    <w:rsid w:val="002550AD"/>
    <w:rsid w:val="00273031"/>
    <w:rsid w:val="00273C7A"/>
    <w:rsid w:val="002805FC"/>
    <w:rsid w:val="00282A61"/>
    <w:rsid w:val="00284504"/>
    <w:rsid w:val="0028717F"/>
    <w:rsid w:val="00290571"/>
    <w:rsid w:val="00290A05"/>
    <w:rsid w:val="002934DC"/>
    <w:rsid w:val="00295571"/>
    <w:rsid w:val="002A05A5"/>
    <w:rsid w:val="002A12D5"/>
    <w:rsid w:val="002A75F2"/>
    <w:rsid w:val="002B1115"/>
    <w:rsid w:val="002C57BC"/>
    <w:rsid w:val="002D0309"/>
    <w:rsid w:val="002D7819"/>
    <w:rsid w:val="002E2783"/>
    <w:rsid w:val="002F1880"/>
    <w:rsid w:val="00301DBE"/>
    <w:rsid w:val="003060CF"/>
    <w:rsid w:val="0032481A"/>
    <w:rsid w:val="00324F85"/>
    <w:rsid w:val="00326088"/>
    <w:rsid w:val="003452E7"/>
    <w:rsid w:val="00357F77"/>
    <w:rsid w:val="00361A41"/>
    <w:rsid w:val="003751AE"/>
    <w:rsid w:val="00387B1F"/>
    <w:rsid w:val="003A504F"/>
    <w:rsid w:val="003B4966"/>
    <w:rsid w:val="003C2405"/>
    <w:rsid w:val="003C5BAB"/>
    <w:rsid w:val="003D0129"/>
    <w:rsid w:val="003D41C5"/>
    <w:rsid w:val="003D460B"/>
    <w:rsid w:val="003D6291"/>
    <w:rsid w:val="003E1328"/>
    <w:rsid w:val="003F3CC1"/>
    <w:rsid w:val="003F703F"/>
    <w:rsid w:val="004043FE"/>
    <w:rsid w:val="004112F8"/>
    <w:rsid w:val="0042061E"/>
    <w:rsid w:val="00425E14"/>
    <w:rsid w:val="00427DBB"/>
    <w:rsid w:val="00437A34"/>
    <w:rsid w:val="004567BC"/>
    <w:rsid w:val="0046130E"/>
    <w:rsid w:val="0047314A"/>
    <w:rsid w:val="00487276"/>
    <w:rsid w:val="004A1071"/>
    <w:rsid w:val="004A25C2"/>
    <w:rsid w:val="004B325C"/>
    <w:rsid w:val="004E496F"/>
    <w:rsid w:val="004E7B23"/>
    <w:rsid w:val="004F336B"/>
    <w:rsid w:val="004F37D6"/>
    <w:rsid w:val="004F697B"/>
    <w:rsid w:val="00501A04"/>
    <w:rsid w:val="00502610"/>
    <w:rsid w:val="0054314A"/>
    <w:rsid w:val="005456F3"/>
    <w:rsid w:val="005555C5"/>
    <w:rsid w:val="005B44FD"/>
    <w:rsid w:val="005C165F"/>
    <w:rsid w:val="005D1C2F"/>
    <w:rsid w:val="005D2070"/>
    <w:rsid w:val="005D35F1"/>
    <w:rsid w:val="005D5EAF"/>
    <w:rsid w:val="005D638D"/>
    <w:rsid w:val="005D6FD8"/>
    <w:rsid w:val="005E1605"/>
    <w:rsid w:val="005E451D"/>
    <w:rsid w:val="005E7055"/>
    <w:rsid w:val="005F6464"/>
    <w:rsid w:val="006125F2"/>
    <w:rsid w:val="00612AFF"/>
    <w:rsid w:val="00624C21"/>
    <w:rsid w:val="006258E9"/>
    <w:rsid w:val="00626A92"/>
    <w:rsid w:val="00630866"/>
    <w:rsid w:val="006331DF"/>
    <w:rsid w:val="00640ADD"/>
    <w:rsid w:val="00643281"/>
    <w:rsid w:val="0064565C"/>
    <w:rsid w:val="00666E75"/>
    <w:rsid w:val="006713EE"/>
    <w:rsid w:val="00687A4D"/>
    <w:rsid w:val="00693CCA"/>
    <w:rsid w:val="006B34EF"/>
    <w:rsid w:val="006B5E66"/>
    <w:rsid w:val="006C7C88"/>
    <w:rsid w:val="006D2B5B"/>
    <w:rsid w:val="006E12B3"/>
    <w:rsid w:val="0070413E"/>
    <w:rsid w:val="0072002A"/>
    <w:rsid w:val="0072076B"/>
    <w:rsid w:val="00727FA3"/>
    <w:rsid w:val="00733CE2"/>
    <w:rsid w:val="007414D4"/>
    <w:rsid w:val="0074377B"/>
    <w:rsid w:val="007524CB"/>
    <w:rsid w:val="00754E85"/>
    <w:rsid w:val="00763838"/>
    <w:rsid w:val="00767521"/>
    <w:rsid w:val="00771021"/>
    <w:rsid w:val="00781A58"/>
    <w:rsid w:val="00791127"/>
    <w:rsid w:val="007A3B26"/>
    <w:rsid w:val="007B00A8"/>
    <w:rsid w:val="007B0610"/>
    <w:rsid w:val="007B1BBE"/>
    <w:rsid w:val="007B3193"/>
    <w:rsid w:val="007B3CB4"/>
    <w:rsid w:val="007C06C2"/>
    <w:rsid w:val="007E4B7F"/>
    <w:rsid w:val="008025E1"/>
    <w:rsid w:val="00807262"/>
    <w:rsid w:val="0082023A"/>
    <w:rsid w:val="00831219"/>
    <w:rsid w:val="0086528F"/>
    <w:rsid w:val="0087110F"/>
    <w:rsid w:val="00885A03"/>
    <w:rsid w:val="00886463"/>
    <w:rsid w:val="008905E4"/>
    <w:rsid w:val="00893375"/>
    <w:rsid w:val="00894429"/>
    <w:rsid w:val="008B49EB"/>
    <w:rsid w:val="008C1217"/>
    <w:rsid w:val="008D12E1"/>
    <w:rsid w:val="008D2495"/>
    <w:rsid w:val="00900F14"/>
    <w:rsid w:val="00915FFB"/>
    <w:rsid w:val="009160AB"/>
    <w:rsid w:val="0091704D"/>
    <w:rsid w:val="00917F65"/>
    <w:rsid w:val="00923746"/>
    <w:rsid w:val="009260DC"/>
    <w:rsid w:val="00934A40"/>
    <w:rsid w:val="00944D4F"/>
    <w:rsid w:val="00947AC2"/>
    <w:rsid w:val="00955095"/>
    <w:rsid w:val="00967F5A"/>
    <w:rsid w:val="00970866"/>
    <w:rsid w:val="00971135"/>
    <w:rsid w:val="0097321E"/>
    <w:rsid w:val="00976A16"/>
    <w:rsid w:val="00995A37"/>
    <w:rsid w:val="009A7B4A"/>
    <w:rsid w:val="009B0174"/>
    <w:rsid w:val="009E532E"/>
    <w:rsid w:val="009E5629"/>
    <w:rsid w:val="009F72F5"/>
    <w:rsid w:val="00A05E18"/>
    <w:rsid w:val="00A07068"/>
    <w:rsid w:val="00A07348"/>
    <w:rsid w:val="00A1036E"/>
    <w:rsid w:val="00A166DE"/>
    <w:rsid w:val="00A17306"/>
    <w:rsid w:val="00A22F82"/>
    <w:rsid w:val="00A44609"/>
    <w:rsid w:val="00A47D0D"/>
    <w:rsid w:val="00A50E0E"/>
    <w:rsid w:val="00A517D8"/>
    <w:rsid w:val="00A53A66"/>
    <w:rsid w:val="00A65AE9"/>
    <w:rsid w:val="00A70747"/>
    <w:rsid w:val="00A71049"/>
    <w:rsid w:val="00A858D7"/>
    <w:rsid w:val="00AD18F1"/>
    <w:rsid w:val="00AD4351"/>
    <w:rsid w:val="00AE1A16"/>
    <w:rsid w:val="00AE39DB"/>
    <w:rsid w:val="00AE6235"/>
    <w:rsid w:val="00AE7E82"/>
    <w:rsid w:val="00B00C8C"/>
    <w:rsid w:val="00B0636C"/>
    <w:rsid w:val="00B076D5"/>
    <w:rsid w:val="00B13D4E"/>
    <w:rsid w:val="00B22256"/>
    <w:rsid w:val="00B3463B"/>
    <w:rsid w:val="00B406D5"/>
    <w:rsid w:val="00B530DC"/>
    <w:rsid w:val="00B55323"/>
    <w:rsid w:val="00B6127A"/>
    <w:rsid w:val="00B63CB8"/>
    <w:rsid w:val="00B72B11"/>
    <w:rsid w:val="00B84690"/>
    <w:rsid w:val="00B85D46"/>
    <w:rsid w:val="00B900B0"/>
    <w:rsid w:val="00B9181D"/>
    <w:rsid w:val="00BA2E7E"/>
    <w:rsid w:val="00BA76F3"/>
    <w:rsid w:val="00BC0DE2"/>
    <w:rsid w:val="00BD2218"/>
    <w:rsid w:val="00BD7E0B"/>
    <w:rsid w:val="00BE1535"/>
    <w:rsid w:val="00C00218"/>
    <w:rsid w:val="00C02127"/>
    <w:rsid w:val="00C10F1E"/>
    <w:rsid w:val="00C17E04"/>
    <w:rsid w:val="00C22A70"/>
    <w:rsid w:val="00C233E4"/>
    <w:rsid w:val="00C27E67"/>
    <w:rsid w:val="00C30707"/>
    <w:rsid w:val="00C31BC5"/>
    <w:rsid w:val="00C5091E"/>
    <w:rsid w:val="00C575AE"/>
    <w:rsid w:val="00C57FA8"/>
    <w:rsid w:val="00C6152B"/>
    <w:rsid w:val="00C624A6"/>
    <w:rsid w:val="00C74210"/>
    <w:rsid w:val="00C75AB3"/>
    <w:rsid w:val="00C81F53"/>
    <w:rsid w:val="00C90A35"/>
    <w:rsid w:val="00C921D7"/>
    <w:rsid w:val="00C923ED"/>
    <w:rsid w:val="00C94E24"/>
    <w:rsid w:val="00CA16DD"/>
    <w:rsid w:val="00CB2FFC"/>
    <w:rsid w:val="00CC00DC"/>
    <w:rsid w:val="00CD268C"/>
    <w:rsid w:val="00CE2B96"/>
    <w:rsid w:val="00CE3BEB"/>
    <w:rsid w:val="00CE5EEA"/>
    <w:rsid w:val="00CE6274"/>
    <w:rsid w:val="00CE6936"/>
    <w:rsid w:val="00CE6A5A"/>
    <w:rsid w:val="00CF0FA4"/>
    <w:rsid w:val="00CF7426"/>
    <w:rsid w:val="00CF7F39"/>
    <w:rsid w:val="00D01558"/>
    <w:rsid w:val="00D058C9"/>
    <w:rsid w:val="00D07333"/>
    <w:rsid w:val="00D11322"/>
    <w:rsid w:val="00D1452E"/>
    <w:rsid w:val="00D32878"/>
    <w:rsid w:val="00D4473A"/>
    <w:rsid w:val="00D46BC3"/>
    <w:rsid w:val="00D47922"/>
    <w:rsid w:val="00D51310"/>
    <w:rsid w:val="00D52D93"/>
    <w:rsid w:val="00D641FB"/>
    <w:rsid w:val="00D659F9"/>
    <w:rsid w:val="00D87291"/>
    <w:rsid w:val="00DA64FA"/>
    <w:rsid w:val="00DB1860"/>
    <w:rsid w:val="00DB6A6F"/>
    <w:rsid w:val="00DD0A0C"/>
    <w:rsid w:val="00DD5129"/>
    <w:rsid w:val="00DE03C3"/>
    <w:rsid w:val="00DE60A6"/>
    <w:rsid w:val="00DE6ED5"/>
    <w:rsid w:val="00E017A2"/>
    <w:rsid w:val="00E01DB1"/>
    <w:rsid w:val="00E04EB5"/>
    <w:rsid w:val="00E1206A"/>
    <w:rsid w:val="00E15D9F"/>
    <w:rsid w:val="00E302A4"/>
    <w:rsid w:val="00E314B4"/>
    <w:rsid w:val="00E33825"/>
    <w:rsid w:val="00E42A56"/>
    <w:rsid w:val="00E4377C"/>
    <w:rsid w:val="00E47D85"/>
    <w:rsid w:val="00E50774"/>
    <w:rsid w:val="00E71403"/>
    <w:rsid w:val="00E71A8A"/>
    <w:rsid w:val="00E75EDD"/>
    <w:rsid w:val="00E83835"/>
    <w:rsid w:val="00E87227"/>
    <w:rsid w:val="00EB0613"/>
    <w:rsid w:val="00EB794D"/>
    <w:rsid w:val="00EC43D4"/>
    <w:rsid w:val="00EC6501"/>
    <w:rsid w:val="00EC6D27"/>
    <w:rsid w:val="00ED20AC"/>
    <w:rsid w:val="00ED2125"/>
    <w:rsid w:val="00EE11FC"/>
    <w:rsid w:val="00EE3BA0"/>
    <w:rsid w:val="00EE572A"/>
    <w:rsid w:val="00EE5A53"/>
    <w:rsid w:val="00EE6DDC"/>
    <w:rsid w:val="00EF7847"/>
    <w:rsid w:val="00EF7C79"/>
    <w:rsid w:val="00F11034"/>
    <w:rsid w:val="00F219B1"/>
    <w:rsid w:val="00F22C28"/>
    <w:rsid w:val="00F235B0"/>
    <w:rsid w:val="00F23A83"/>
    <w:rsid w:val="00F35F29"/>
    <w:rsid w:val="00F37011"/>
    <w:rsid w:val="00F44653"/>
    <w:rsid w:val="00F44659"/>
    <w:rsid w:val="00F47B34"/>
    <w:rsid w:val="00F53357"/>
    <w:rsid w:val="00F63F58"/>
    <w:rsid w:val="00F72DFF"/>
    <w:rsid w:val="00F8718F"/>
    <w:rsid w:val="00FB2FFC"/>
    <w:rsid w:val="00FB3F6D"/>
    <w:rsid w:val="00FC4A49"/>
    <w:rsid w:val="00FE4211"/>
    <w:rsid w:val="00FE4D24"/>
    <w:rsid w:val="00FF4496"/>
    <w:rsid w:val="1EAEF07F"/>
    <w:rsid w:val="27EBCC75"/>
    <w:rsid w:val="3D263192"/>
    <w:rsid w:val="4933EDC0"/>
    <w:rsid w:val="5A793C85"/>
    <w:rsid w:val="613BBA82"/>
    <w:rsid w:val="637AC2A1"/>
    <w:rsid w:val="6C60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F23B4"/>
  <w15:chartTrackingRefBased/>
  <w15:docId w15:val="{8B457F6A-72F0-4846-AB0C-7744DDAF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EB794D"/>
    <w:pPr>
      <w:keepNext/>
    </w:pPr>
    <w:rPr>
      <w:iCs/>
      <w:color w:val="000000" w:themeColor="text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C6D27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1E5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5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39F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5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539F"/>
    <w:rPr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bca7cf-140a-45ee-a57c-232cbe52a914">
      <Terms xmlns="http://schemas.microsoft.com/office/infopath/2007/PartnerControls"/>
    </lcf76f155ced4ddcb4097134ff3c332f>
    <TaxCatchAll xmlns="3f35f2c0-af66-4f50-9ad3-498689aa4a67" xsi:nil="true"/>
    <Time xmlns="2ebca7cf-140a-45ee-a57c-232cbe52a9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CB62EFC96F3B4C9C8D33BF0C6D11BD" ma:contentTypeVersion="12" ma:contentTypeDescription="Create a new document." ma:contentTypeScope="" ma:versionID="8390d8ca7b9189817c1d4cdd75220ae1">
  <xsd:schema xmlns:xsd="http://www.w3.org/2001/XMLSchema" xmlns:xs="http://www.w3.org/2001/XMLSchema" xmlns:p="http://schemas.microsoft.com/office/2006/metadata/properties" xmlns:ns2="2ebca7cf-140a-45ee-a57c-232cbe52a914" xmlns:ns3="3f35f2c0-af66-4f50-9ad3-498689aa4a67" targetNamespace="http://schemas.microsoft.com/office/2006/metadata/properties" ma:root="true" ma:fieldsID="4d4a4b03d014dabd9a2d84942e34b9de" ns2:_="" ns3:_="">
    <xsd:import namespace="2ebca7cf-140a-45ee-a57c-232cbe52a914"/>
    <xsd:import namespace="3f35f2c0-af66-4f50-9ad3-498689aa4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Tim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ca7cf-140a-45ee-a57c-232cbe52a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Time" ma:index="17" nillable="true" ma:displayName="Time" ma:format="DateTime" ma:internalName="Time">
      <xsd:simpleType>
        <xsd:restriction base="dms:DateTime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5f2c0-af66-4f50-9ad3-498689aa4a6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79517d-46e2-42ed-9d9f-dbfb45608765}" ma:internalName="TaxCatchAll" ma:showField="CatchAllData" ma:web="3f35f2c0-af66-4f50-9ad3-498689aa4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8030A-1151-48DB-8A23-26F7EDCC7F4A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ebca7cf-140a-45ee-a57c-232cbe52a914"/>
    <ds:schemaRef ds:uri="http://purl.org/dc/elements/1.1/"/>
    <ds:schemaRef ds:uri="http://schemas.microsoft.com/office/infopath/2007/PartnerControls"/>
    <ds:schemaRef ds:uri="3f35f2c0-af66-4f50-9ad3-498689aa4a67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56FBFB-5673-4635-A249-7DA847DAF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ca7cf-140a-45ee-a57c-232cbe52a914"/>
    <ds:schemaRef ds:uri="3f35f2c0-af66-4f50-9ad3-498689aa4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 Authorization Process for Small Construction Activities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 Authorization Process for Small Construction Activities</dc:title>
  <dc:subject>Construction General Permit Automatic Authorization Process for Small Construction Activities</dc:subject>
  <dc:creator>TxDOT</dc:creator>
  <cp:keywords>915-02-fig; SWP3; stormwater; ECAT</cp:keywords>
  <dc:description/>
  <cp:lastModifiedBy>Stacy Hargrove</cp:lastModifiedBy>
  <cp:revision>8</cp:revision>
  <dcterms:created xsi:type="dcterms:W3CDTF">2026-04-28T15:53:00Z</dcterms:created>
  <dcterms:modified xsi:type="dcterms:W3CDTF">2026-06-08T18:46:00Z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0x010100D4CB62EFC96F3B4C9C8D33BF0C6D11BD</vt:lpwstr>
  </property>
  <property fmtid="{D5CDD505-2E9C-101B-9397-08002B2CF9AE}" pid="3" name="MediaServiceImageTags">
    <vt:lpwstr/>
  </property>
  <property fmtid="{D5CDD505-2E9C-101B-9397-08002B2CF9AE}" pid="4" name="Order">
    <vt:r8>163200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