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6EFB" w14:textId="77777777" w:rsidR="002222F0" w:rsidRPr="002222F0" w:rsidRDefault="002222F0" w:rsidP="002222F0">
      <w:pPr>
        <w:rPr>
          <w:i/>
        </w:rPr>
      </w:pPr>
      <w:r w:rsidRPr="002222F0">
        <w:rPr>
          <w:i/>
        </w:rPr>
        <w:t xml:space="preserve">Use this template to prepare a notice advertising to the public that a </w:t>
      </w:r>
      <w:r w:rsidR="00A251B7">
        <w:rPr>
          <w:i/>
        </w:rPr>
        <w:t xml:space="preserve">final </w:t>
      </w:r>
      <w:r w:rsidRPr="002222F0">
        <w:rPr>
          <w:i/>
        </w:rPr>
        <w:t xml:space="preserve">environmental assessment </w:t>
      </w:r>
      <w:r w:rsidR="00A251B7">
        <w:rPr>
          <w:i/>
        </w:rPr>
        <w:t xml:space="preserve">(EA) </w:t>
      </w:r>
      <w:r w:rsidRPr="002222F0">
        <w:rPr>
          <w:i/>
        </w:rPr>
        <w:t>is ready for review. The template can be used for federal projects assigned to TxDOT by the Federal Highway Administration</w:t>
      </w:r>
      <w:r w:rsidR="00C84EE0">
        <w:rPr>
          <w:i/>
        </w:rPr>
        <w:t xml:space="preserve"> when a separate notice of availability for the final EA must be issued 30 days before the FONSI is signed because the project is of a type that normally requires an environmental impact statement per 23 CFR 771.115(a)</w:t>
      </w:r>
      <w:r w:rsidRPr="002222F0">
        <w:rPr>
          <w:i/>
        </w:rPr>
        <w:t xml:space="preserve">. </w:t>
      </w:r>
      <w:r w:rsidR="00C84EE0" w:rsidRPr="00C84EE0">
        <w:rPr>
          <w:i/>
        </w:rPr>
        <w:t>See</w:t>
      </w:r>
      <w:r w:rsidR="00C84EE0">
        <w:rPr>
          <w:i/>
        </w:rPr>
        <w:t xml:space="preserve"> </w:t>
      </w:r>
      <w:r w:rsidR="00C84EE0">
        <w:t xml:space="preserve">23 CFR 771.119(h) and 40 CFR 1501.4(e)(2).  </w:t>
      </w:r>
      <w:r w:rsidRPr="002222F0">
        <w:rPr>
          <w:i/>
        </w:rPr>
        <w:t>Notices created with this template can be distributed by many methods, such as being included in a letter, posted on a website, etc.</w:t>
      </w:r>
    </w:p>
    <w:p w14:paraId="56C7836D" w14:textId="77777777" w:rsidR="007713F9" w:rsidRDefault="002222F0" w:rsidP="007713F9">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must meet the TxDOT publication standards as outlined in the </w:t>
      </w:r>
      <w:hyperlink r:id="rId6" w:history="1">
        <w:r w:rsidRPr="002222F0">
          <w:rPr>
            <w:rStyle w:val="Hyperlink"/>
            <w:i/>
          </w:rPr>
          <w:t>TxDOT Brand Guidelines: Advancing the Standard</w:t>
        </w:r>
      </w:hyperlink>
      <w:r w:rsidR="007713F9">
        <w:rPr>
          <w:rStyle w:val="Hyperlink"/>
          <w:i/>
        </w:rPr>
        <w:t xml:space="preserve"> </w:t>
      </w:r>
      <w:r w:rsidR="007713F9" w:rsidRPr="0000381C">
        <w:rPr>
          <w:i/>
        </w:rPr>
        <w:t>which addresses the font and formatting requirements.</w:t>
      </w:r>
    </w:p>
    <w:p w14:paraId="3F09CA2F" w14:textId="77777777" w:rsidR="007713F9" w:rsidRPr="002222F0" w:rsidRDefault="002222F0" w:rsidP="007713F9">
      <w:pPr>
        <w:rPr>
          <w:i/>
        </w:rPr>
      </w:pPr>
      <w:r w:rsidRPr="002222F0">
        <w:rPr>
          <w:i/>
        </w:rPr>
        <w:t xml:space="preserve">To prepare the content required to be included in a notice, enter project-specific information in the prompts of the template. Do not change the text, unless prompted by the template. Prompts are highlighted in grey and set off by </w:t>
      </w:r>
      <w:r w:rsidR="007713F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7713F9" w:rsidRPr="007713F9">
        <w:rPr>
          <w:i/>
        </w:rPr>
        <w:t xml:space="preserve"> </w:t>
      </w:r>
      <w:r w:rsidR="007713F9">
        <w:rPr>
          <w:i/>
        </w:rPr>
        <w:t>Do not copy these instructions, the title of the template, or the headers and footers.</w:t>
      </w:r>
    </w:p>
    <w:p w14:paraId="759E41E4" w14:textId="77777777" w:rsidR="002222F0" w:rsidRDefault="0034405F">
      <w:r>
        <w:pict w14:anchorId="52647980">
          <v:rect id="_x0000_i1025" style="width:467.65pt;height:1.5pt" o:hralign="center" o:hrstd="t" o:hrnoshade="t" o:hr="t" fillcolor="#bfbfbf" stroked="f"/>
        </w:pict>
      </w:r>
    </w:p>
    <w:p w14:paraId="5352B958" w14:textId="77777777" w:rsidR="00F27578" w:rsidRPr="004F6D44" w:rsidRDefault="00F27578" w:rsidP="004F6D44">
      <w:pPr>
        <w:jc w:val="center"/>
        <w:rPr>
          <w:b/>
        </w:rPr>
      </w:pPr>
      <w:r w:rsidRPr="004F6D44">
        <w:rPr>
          <w:b/>
        </w:rPr>
        <w:t>Notice</w:t>
      </w:r>
    </w:p>
    <w:p w14:paraId="279D4601" w14:textId="77777777" w:rsidR="00A251B7" w:rsidRDefault="00A251B7" w:rsidP="004857F9">
      <w:pPr>
        <w:jc w:val="center"/>
        <w:rPr>
          <w:b/>
        </w:rPr>
      </w:pPr>
      <w:r w:rsidRPr="004F6D44">
        <w:rPr>
          <w:b/>
        </w:rPr>
        <w:t>Final Environmental Assessment</w:t>
      </w:r>
      <w:r>
        <w:rPr>
          <w:b/>
        </w:rPr>
        <w:t xml:space="preserve"> </w:t>
      </w:r>
      <w:r w:rsidR="004857F9">
        <w:rPr>
          <w:b/>
        </w:rPr>
        <w:br/>
      </w:r>
      <w:r>
        <w:rPr>
          <w:b/>
        </w:rPr>
        <w:t>Available for Public Review</w:t>
      </w:r>
    </w:p>
    <w:p w14:paraId="57935074" w14:textId="77777777" w:rsidR="00F27578" w:rsidRPr="004F6D44" w:rsidRDefault="00A251B7" w:rsidP="004F6D44">
      <w:pPr>
        <w:jc w:val="center"/>
        <w:rPr>
          <w:b/>
        </w:rPr>
      </w:pPr>
      <w:r w:rsidRPr="00CC06A6">
        <w:rPr>
          <w:b/>
          <w:caps/>
          <w:highlight w:val="lightGray"/>
        </w:rPr>
        <w:t>&lt;</w:t>
      </w:r>
      <w:r w:rsidRPr="00CC06A6">
        <w:rPr>
          <w:b/>
          <w:highlight w:val="lightGray"/>
        </w:rPr>
        <w:t>Enter Roadway Name and/or Number</w:t>
      </w:r>
      <w:r w:rsidRPr="00CC06A6">
        <w:rPr>
          <w:b/>
          <w:caps/>
          <w:highlight w:val="lightGray"/>
        </w:rPr>
        <w:t>&gt;</w:t>
      </w:r>
    </w:p>
    <w:p w14:paraId="498265E8" w14:textId="77777777" w:rsidR="00A251B7" w:rsidRDefault="00F27578" w:rsidP="004F6D44">
      <w:pPr>
        <w:jc w:val="center"/>
        <w:rPr>
          <w:b/>
        </w:rPr>
      </w:pPr>
      <w:r w:rsidRPr="004F6D44">
        <w:rPr>
          <w:b/>
        </w:rPr>
        <w:t xml:space="preserve">From </w:t>
      </w:r>
      <w:r w:rsidR="00A251B7" w:rsidRPr="00CC06A6">
        <w:rPr>
          <w:b/>
          <w:highlight w:val="lightGray"/>
        </w:rPr>
        <w:t>&lt;Enter Starting Project Limit&gt;</w:t>
      </w:r>
      <w:r w:rsidR="00D85076">
        <w:rPr>
          <w:b/>
        </w:rPr>
        <w:t xml:space="preserve"> </w:t>
      </w:r>
      <w:r w:rsidRPr="004F6D44">
        <w:rPr>
          <w:b/>
        </w:rPr>
        <w:t xml:space="preserve">to </w:t>
      </w:r>
      <w:r w:rsidR="00A251B7" w:rsidRPr="00CC06A6">
        <w:rPr>
          <w:b/>
          <w:highlight w:val="lightGray"/>
        </w:rPr>
        <w:t>&lt;Enter Ending Project Limit&gt;</w:t>
      </w:r>
    </w:p>
    <w:p w14:paraId="2A8C411C" w14:textId="77777777" w:rsidR="00F27578" w:rsidRPr="004F6D44" w:rsidRDefault="00F27578" w:rsidP="004F6D44">
      <w:pPr>
        <w:jc w:val="center"/>
        <w:rPr>
          <w:b/>
        </w:rPr>
      </w:pPr>
      <w:r w:rsidRPr="004F6D44">
        <w:rPr>
          <w:b/>
        </w:rPr>
        <w:t xml:space="preserve">CSJs: </w:t>
      </w:r>
      <w:r w:rsidRPr="004F6D44">
        <w:rPr>
          <w:b/>
          <w:highlight w:val="lightGray"/>
        </w:rPr>
        <w:t>&lt;0000-00-000&gt;</w:t>
      </w:r>
    </w:p>
    <w:p w14:paraId="61AAA21E" w14:textId="77777777" w:rsidR="00F27578" w:rsidRDefault="00F27578" w:rsidP="004F6D44">
      <w:pPr>
        <w:jc w:val="center"/>
        <w:rPr>
          <w:b/>
        </w:rPr>
      </w:pPr>
      <w:r w:rsidRPr="004F6D44">
        <w:rPr>
          <w:b/>
          <w:highlight w:val="lightGray"/>
        </w:rPr>
        <w:t>&lt;</w:t>
      </w:r>
      <w:r w:rsidR="00D85076">
        <w:rPr>
          <w:b/>
          <w:highlight w:val="lightGray"/>
        </w:rPr>
        <w:t>Enter County</w:t>
      </w:r>
      <w:r w:rsidRPr="004F6D44">
        <w:rPr>
          <w:b/>
          <w:highlight w:val="lightGray"/>
        </w:rPr>
        <w:t>&gt;</w:t>
      </w:r>
      <w:r w:rsidRPr="004F6D44">
        <w:rPr>
          <w:b/>
        </w:rPr>
        <w:t xml:space="preserve"> County, Texas</w:t>
      </w:r>
    </w:p>
    <w:p w14:paraId="6A1A35A8" w14:textId="77777777" w:rsidR="00D85076" w:rsidRPr="004F6D44" w:rsidRDefault="00D85076" w:rsidP="004F6D44">
      <w:pPr>
        <w:jc w:val="center"/>
        <w:rPr>
          <w:b/>
        </w:rPr>
      </w:pPr>
    </w:p>
    <w:p w14:paraId="0A89694B" w14:textId="77777777" w:rsidR="008117BC" w:rsidRDefault="00D85076" w:rsidP="004F6D44">
      <w:r>
        <w:t>T</w:t>
      </w:r>
      <w:r w:rsidR="00A251B7">
        <w:t xml:space="preserve">his </w:t>
      </w:r>
      <w:r w:rsidR="00F27578">
        <w:t>notice advise</w:t>
      </w:r>
      <w:r w:rsidR="00A251B7">
        <w:t>s</w:t>
      </w:r>
      <w:r w:rsidR="00F27578">
        <w:t xml:space="preserve"> the public that </w:t>
      </w:r>
      <w:r w:rsidR="00404290">
        <w:t xml:space="preserve">the Texas Department of Transportation (TxDOT) has issued </w:t>
      </w:r>
      <w:r w:rsidR="00F27578">
        <w:t xml:space="preserve">a </w:t>
      </w:r>
      <w:r w:rsidR="00A251B7">
        <w:t xml:space="preserve">final environmental assessment </w:t>
      </w:r>
      <w:r w:rsidR="00F27578">
        <w:t xml:space="preserve">(EA) for the proposed </w:t>
      </w:r>
      <w:r w:rsidR="00F27578" w:rsidRPr="00F27578">
        <w:rPr>
          <w:highlight w:val="lightGray"/>
        </w:rPr>
        <w:t>&lt;</w:t>
      </w:r>
      <w:r>
        <w:rPr>
          <w:highlight w:val="lightGray"/>
        </w:rPr>
        <w:t>e</w:t>
      </w:r>
      <w:r w:rsidR="00A251B7">
        <w:rPr>
          <w:highlight w:val="lightGray"/>
        </w:rPr>
        <w:t xml:space="preserve">nter </w:t>
      </w:r>
      <w:r>
        <w:rPr>
          <w:highlight w:val="lightGray"/>
        </w:rPr>
        <w:t>name of project</w:t>
      </w:r>
      <w:r w:rsidR="00F27578" w:rsidRPr="00F27578">
        <w:rPr>
          <w:highlight w:val="lightGray"/>
        </w:rPr>
        <w:t>&gt;</w:t>
      </w:r>
      <w:r w:rsidR="00404290">
        <w:t xml:space="preserve"> project, and that the final EA </w:t>
      </w:r>
      <w:r w:rsidR="00D63150">
        <w:t xml:space="preserve">is available for public review.  </w:t>
      </w:r>
      <w:r>
        <w:rPr>
          <w:rFonts w:cs="Arial"/>
          <w:szCs w:val="20"/>
        </w:rPr>
        <w:t xml:space="preserve">The proposed project </w:t>
      </w:r>
      <w:r w:rsidR="00B02948">
        <w:rPr>
          <w:rFonts w:cs="Arial"/>
          <w:szCs w:val="20"/>
        </w:rPr>
        <w:t>would</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p>
    <w:p w14:paraId="54990E01" w14:textId="77777777" w:rsidR="00B02948" w:rsidRDefault="00B02948" w:rsidP="004F6D44">
      <w:r>
        <w:t xml:space="preserve">The approved final EA is </w:t>
      </w:r>
      <w:r w:rsidR="00FD115C">
        <w:t xml:space="preserve">on file and available for inspection Monday through Friday between the hours of 8 a.m. and 5 p.m. at </w:t>
      </w:r>
      <w:r w:rsidR="00FD115C">
        <w:rPr>
          <w:highlight w:val="lightGray"/>
        </w:rPr>
        <w:t>&lt;enter the district office, area office, or local government’s office, address, and phone number&gt;</w:t>
      </w:r>
      <w:r w:rsidR="00FD115C">
        <w:t xml:space="preserve">.  It is also </w:t>
      </w:r>
      <w:r>
        <w:t xml:space="preserve">available online at </w:t>
      </w:r>
      <w:r w:rsidRPr="002C03B6">
        <w:rPr>
          <w:highlight w:val="lightGray"/>
        </w:rPr>
        <w:t>&lt;enter web address&gt;</w:t>
      </w:r>
      <w:r>
        <w:t xml:space="preserve">.  </w:t>
      </w:r>
    </w:p>
    <w:p w14:paraId="0EBB1934" w14:textId="77777777" w:rsidR="00B02948" w:rsidRDefault="00C84EE0" w:rsidP="004F6D44">
      <w:r>
        <w:t xml:space="preserve">Pursuant to 23 CFR 771.119(h), TxDOT will issue a finding of no significant impact (FONSI) for this project no sooner than 30 days after the issuance of this notice of availability.  </w:t>
      </w:r>
    </w:p>
    <w:p w14:paraId="3AC29564" w14:textId="77777777" w:rsidR="00F27578" w:rsidRDefault="00F27578" w:rsidP="004F6D44">
      <w:r>
        <w:t>For further information</w:t>
      </w:r>
      <w:r w:rsidR="00586B1C">
        <w:t xml:space="preserve"> or to request a copy of the approved final EA</w:t>
      </w:r>
      <w:r>
        <w:t xml:space="preserve">, please contact </w:t>
      </w:r>
      <w:r w:rsidR="00B02948" w:rsidRPr="00412605">
        <w:rPr>
          <w:highlight w:val="lightGray"/>
        </w:rPr>
        <w:t>&lt;enter contact person’s name, title, phone number, and email address&gt;</w:t>
      </w:r>
      <w:r w:rsidR="00B02948" w:rsidRPr="00C50B64">
        <w:t>.</w:t>
      </w:r>
    </w:p>
    <w:p w14:paraId="55E9EB54" w14:textId="77777777" w:rsidR="00A45F81" w:rsidRDefault="00A45F81" w:rsidP="004F6D44">
      <w:r w:rsidRPr="00BA6FBE">
        <w:lastRenderedPageBreak/>
        <w:t>The EA is written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review the EA, please contact </w:t>
      </w:r>
      <w:r w:rsidRPr="00BA6FBE">
        <w:rPr>
          <w:highlight w:val="lightGray"/>
        </w:rPr>
        <w:t>&lt;contact name (PIO/or other appropriate contact), District or Division Name&gt;</w:t>
      </w:r>
      <w:r w:rsidRPr="00BA6FBE">
        <w:t>, at </w:t>
      </w:r>
      <w:r w:rsidRPr="00BA6FBE">
        <w:rPr>
          <w:highlight w:val="lightGray"/>
        </w:rPr>
        <w:t>&lt;phone number with area code&gt;</w:t>
      </w:r>
      <w:r w:rsidRPr="00BA6FBE">
        <w:t xml:space="preserve"> no later than 4 p.m. CT, at least three business days before the date on which you would like to review the EA.  Please be aware that advance notice is required as </w:t>
      </w:r>
      <w:r w:rsidRPr="00BA6FBE">
        <w:t>some services and accommodations may require time for TxDOT to arrange.</w:t>
      </w:r>
    </w:p>
    <w:p w14:paraId="662924D6" w14:textId="46F58282" w:rsidR="00FB2099" w:rsidRPr="00280631" w:rsidRDefault="000D1D71" w:rsidP="004F6D44">
      <w:pPr>
        <w:rPr>
          <w:i/>
          <w:iCs/>
        </w:rPr>
      </w:pPr>
      <w:r>
        <w:rPr>
          <w:i/>
          <w:iCs/>
          <w:lang w:val="es-MX"/>
        </w:rPr>
        <w:t>El EA</w:t>
      </w:r>
      <w:r w:rsidR="00FB2099">
        <w:rPr>
          <w:i/>
          <w:iCs/>
          <w:lang w:val="es-MX"/>
        </w:rPr>
        <w:t xml:space="preserve"> está escrito en inglés. Si usted necesita un intérprete o un traductor de documentos porque su idioma principal no es el inglés o tiene alguna dificultad para comunicarse eficazmente en inglés, se le proporcionará uno. Si usted tiene alguna discapacidad y necesita ayuda, se pueden hacer arreglos especiales para atender la mayoría de las necesidades. Si usted necesita servicios de interpretación o traducción o es una persona con alguna discapacidad que requiera una adaptación para revisar </w:t>
      </w:r>
      <w:r w:rsidR="00CC05D9">
        <w:rPr>
          <w:i/>
          <w:iCs/>
          <w:lang w:val="es-MX"/>
        </w:rPr>
        <w:t>el EA</w:t>
      </w:r>
      <w:r w:rsidR="00FB2099">
        <w:rPr>
          <w:i/>
          <w:iCs/>
          <w:lang w:val="es-MX"/>
        </w:rPr>
        <w:t xml:space="preserve"> o enviar información, por favor póngase en contacto con </w:t>
      </w:r>
      <w:r w:rsidR="00FB2099">
        <w:rPr>
          <w:i/>
          <w:iCs/>
          <w:color w:val="000000"/>
          <w:shd w:val="clear" w:color="auto" w:fill="D3D3D3"/>
          <w:lang w:val="es-MX"/>
        </w:rPr>
        <w:t>&lt;contact name (PIO/or other appropriate contact), District or Division Name&gt;</w:t>
      </w:r>
      <w:r w:rsidR="00FB2099">
        <w:rPr>
          <w:i/>
          <w:iCs/>
          <w:lang w:val="es-MX"/>
        </w:rPr>
        <w:t xml:space="preserve">, al número </w:t>
      </w:r>
      <w:r w:rsidR="00FB2099">
        <w:rPr>
          <w:i/>
          <w:iCs/>
          <w:color w:val="000000"/>
          <w:shd w:val="clear" w:color="auto" w:fill="D3D3D3"/>
          <w:lang w:val="es-MX"/>
        </w:rPr>
        <w:t>&lt;phone number with area code&gt;</w:t>
      </w:r>
      <w:r w:rsidR="00FB2099">
        <w:rPr>
          <w:i/>
          <w:iCs/>
          <w:lang w:val="es-MX"/>
        </w:rPr>
        <w:t xml:space="preserve"> a más tardar a las 4:00 p.m. hora central, al menos tres días hábiles antes de la fecha en la que desea revisar </w:t>
      </w:r>
      <w:r w:rsidR="00383DEB">
        <w:rPr>
          <w:i/>
          <w:iCs/>
          <w:lang w:val="es-MX"/>
        </w:rPr>
        <w:t>el EA</w:t>
      </w:r>
      <w:r w:rsidR="00FB2099">
        <w:rPr>
          <w:i/>
          <w:iCs/>
          <w:lang w:val="es-MX"/>
        </w:rPr>
        <w:t xml:space="preserve"> o enviar información. Por favor sepa que es necesario dar aviso con anticipación, ya que algunos servicios y adaptaciones pueden requerir tiempo para que TxDOT los organice.</w:t>
      </w:r>
    </w:p>
    <w:p w14:paraId="09F5D2BB" w14:textId="77777777" w:rsidR="00D85076" w:rsidRDefault="00D85076" w:rsidP="00D85076">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36A201E9" w14:textId="77777777" w:rsidR="00D85076" w:rsidRPr="000F2399" w:rsidRDefault="00D85076" w:rsidP="00D85076">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t xml:space="preserve">  The lead agency under the National Environmental Policy Act for the proposed project is the Federal Highway Administration. </w:t>
      </w:r>
    </w:p>
    <w:p w14:paraId="00302768" w14:textId="77777777" w:rsidR="00D85076" w:rsidRDefault="00D85076" w:rsidP="004F6D44"/>
    <w:sectPr w:rsidR="00D85076" w:rsidSect="00BF1A97">
      <w:headerReference w:type="default" r:id="rId7"/>
      <w:footerReference w:type="default" r:id="rId8"/>
      <w:headerReference w:type="first" r:id="rId9"/>
      <w:footerReference w:type="first" r:id="rId10"/>
      <w:pgSz w:w="12240" w:h="15840"/>
      <w:pgMar w:top="144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9027" w14:textId="77777777" w:rsidR="000C2BE0" w:rsidRDefault="000C2BE0" w:rsidP="002222F0">
      <w:pPr>
        <w:spacing w:before="0" w:after="0" w:line="240" w:lineRule="auto"/>
      </w:pPr>
      <w:r>
        <w:separator/>
      </w:r>
    </w:p>
  </w:endnote>
  <w:endnote w:type="continuationSeparator" w:id="0">
    <w:p w14:paraId="5AEC4313" w14:textId="77777777" w:rsidR="000C2BE0" w:rsidRDefault="000C2BE0"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A595" w14:textId="77777777" w:rsidR="003E2083" w:rsidRPr="003E2083" w:rsidRDefault="0034405F" w:rsidP="003E2083">
    <w:pPr>
      <w:tabs>
        <w:tab w:val="left" w:pos="1377"/>
      </w:tabs>
      <w:spacing w:before="0" w:after="0" w:line="240" w:lineRule="auto"/>
      <w:rPr>
        <w:rFonts w:eastAsia="Times New Roman" w:cs="Arial"/>
        <w:color w:val="D9D9D9"/>
      </w:rPr>
    </w:pPr>
    <w:r>
      <w:rPr>
        <w:rFonts w:eastAsia="Times New Roman" w:cs="Arial"/>
        <w:color w:val="D9D9D9"/>
      </w:rPr>
      <w:pict w14:anchorId="4255C081">
        <v:rect id="_x0000_i1027" style="width:468pt;height:1pt" o:hrstd="t" o:hrnoshade="t" o:hr="t" fillcolor="#bfbfbf" stroked="f"/>
      </w:pict>
    </w:r>
  </w:p>
  <w:p w14:paraId="7C9AF7A1" w14:textId="77777777" w:rsidR="003E2083" w:rsidRPr="003E2083" w:rsidRDefault="003E2083" w:rsidP="003E2083">
    <w:pPr>
      <w:tabs>
        <w:tab w:val="left" w:pos="1377"/>
      </w:tabs>
      <w:spacing w:before="0" w:after="0" w:line="240" w:lineRule="auto"/>
      <w:rPr>
        <w:rFonts w:eastAsia="Times New Roman" w:cs="Arial"/>
      </w:rPr>
    </w:pPr>
  </w:p>
  <w:p w14:paraId="601AC5A9" w14:textId="50BED74F" w:rsidR="003E2083" w:rsidRPr="003E2083" w:rsidRDefault="003E2083"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6432" behindDoc="0" locked="0" layoutInCell="1" allowOverlap="1" wp14:anchorId="6EC6FE96" wp14:editId="6321A5A5">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A39861" id="Straight Connector 1"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360" behindDoc="0" locked="0" layoutInCell="1" allowOverlap="1" wp14:anchorId="1CDC8D2D" wp14:editId="5420AFD8">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B6C2B5"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0288" behindDoc="0" locked="0" layoutInCell="1" allowOverlap="1" wp14:anchorId="0506C9AA" wp14:editId="70732A37">
              <wp:simplePos x="0" y="0"/>
              <wp:positionH relativeFrom="column">
                <wp:posOffset>914400</wp:posOffset>
              </wp:positionH>
              <wp:positionV relativeFrom="paragraph">
                <wp:posOffset>9327514</wp:posOffset>
              </wp:positionV>
              <wp:extent cx="59340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D50CBA"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Z23wEAAKoDAAAOAAAAZHJzL2Uyb0RvYy54bWysU8tu2zAQvBfoPxC811JcO2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H&#10;Wf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d6Tmdt8BAACqAwAADgAAAAAAAAAAAAAAAAAuAgAAZHJzL2Uyb0RvYy54bWxQSwECLQAUAAYA&#10;CAAAACEAYAQRt90AAAAOAQAADwAAAAAAAAAAAAAAAAA5BAAAZHJzL2Rvd25yZXYueG1sUEsFBgAA&#10;AAAEAAQA8wAAAEMFAAAAAA==&#10;" strokecolor="#a6a6a6">
              <o:lock v:ext="edit" shapetype="f"/>
            </v:line>
          </w:pict>
        </mc:Fallback>
      </mc:AlternateContent>
    </w:r>
    <w:r w:rsidR="00B02948">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2B5E7C">
      <w:rPr>
        <w:rFonts w:eastAsia="Times New Roman" w:cs="Arial"/>
        <w:b/>
        <w:i/>
        <w:color w:val="A6A6A6"/>
        <w:sz w:val="16"/>
        <w:szCs w:val="16"/>
      </w:rPr>
      <w:t xml:space="preserve">Version </w:t>
    </w:r>
    <w:r w:rsidR="00FB2099">
      <w:rPr>
        <w:rFonts w:eastAsia="Times New Roman" w:cs="Arial"/>
        <w:b/>
        <w:i/>
        <w:color w:val="A6A6A6"/>
        <w:sz w:val="16"/>
        <w:szCs w:val="16"/>
      </w:rPr>
      <w:t>7</w:t>
    </w:r>
  </w:p>
  <w:p w14:paraId="7E1DCD11" w14:textId="77777777" w:rsidR="003E2083" w:rsidRPr="003E2083" w:rsidRDefault="003E2083"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085FF6">
      <w:rPr>
        <w:rFonts w:eastAsia="Times New Roman" w:cs="Arial"/>
        <w:i/>
        <w:color w:val="A6A6A6"/>
        <w:sz w:val="16"/>
        <w:szCs w:val="16"/>
      </w:rPr>
      <w:t>760.</w:t>
    </w:r>
    <w:r w:rsidR="00085FF6" w:rsidRPr="00085FF6">
      <w:rPr>
        <w:rFonts w:eastAsia="Times New Roman" w:cs="Arial"/>
        <w:i/>
        <w:color w:val="A6A6A6"/>
        <w:sz w:val="16"/>
        <w:szCs w:val="16"/>
      </w:rPr>
      <w:t>12</w:t>
    </w:r>
    <w:r w:rsidRPr="00085FF6">
      <w:rPr>
        <w:rFonts w:eastAsia="Times New Roman" w:cs="Arial"/>
        <w:i/>
        <w:color w:val="A6A6A6"/>
        <w:sz w:val="16"/>
        <w:szCs w:val="16"/>
      </w:rPr>
      <w:t>.TEM</w:t>
    </w:r>
  </w:p>
  <w:p w14:paraId="5850FBDC" w14:textId="4456E34A" w:rsidR="002222F0" w:rsidRPr="003E2083" w:rsidRDefault="003E2083"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2045AE">
      <w:rPr>
        <w:rFonts w:eastAsia="Times New Roman" w:cs="Arial"/>
        <w:i/>
        <w:color w:val="A6A6A6"/>
        <w:sz w:val="16"/>
        <w:szCs w:val="16"/>
      </w:rPr>
      <w:t>April</w:t>
    </w:r>
    <w:r w:rsidR="00FD115C">
      <w:rPr>
        <w:rFonts w:eastAsia="Times New Roman" w:cs="Arial"/>
        <w:i/>
        <w:color w:val="A6A6A6"/>
        <w:sz w:val="16"/>
        <w:szCs w:val="16"/>
      </w:rPr>
      <w:t xml:space="preserve"> </w:t>
    </w:r>
    <w:r w:rsidR="00FB2099" w:rsidRPr="0034405F">
      <w:rPr>
        <w:rFonts w:eastAsia="Times New Roman" w:cs="Arial"/>
        <w:i/>
        <w:color w:val="A6A6A6"/>
        <w:sz w:val="16"/>
        <w:szCs w:val="16"/>
      </w:rPr>
      <w:t>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2045AE">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2045AE">
      <w:rPr>
        <w:rFonts w:eastAsia="Times New Roman" w:cs="Arial"/>
        <w:b/>
        <w:i/>
        <w:noProof/>
        <w:color w:val="A6A6A6"/>
        <w:sz w:val="16"/>
        <w:szCs w:val="16"/>
      </w:rPr>
      <w:t>2</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926A" w14:textId="77777777" w:rsidR="003E2083" w:rsidRPr="003E2083" w:rsidRDefault="0034405F" w:rsidP="003E2083">
    <w:pPr>
      <w:tabs>
        <w:tab w:val="left" w:pos="1377"/>
      </w:tabs>
      <w:spacing w:before="0" w:after="0" w:line="240" w:lineRule="auto"/>
      <w:rPr>
        <w:rFonts w:eastAsia="Times New Roman" w:cs="Arial"/>
        <w:color w:val="D9D9D9"/>
      </w:rPr>
    </w:pPr>
    <w:r>
      <w:rPr>
        <w:rFonts w:eastAsia="Times New Roman" w:cs="Arial"/>
        <w:color w:val="D9D9D9"/>
      </w:rPr>
      <w:pict w14:anchorId="7622DB16">
        <v:rect id="_x0000_i1034" style="width:468pt;height:1pt" o:hrstd="t" o:hrnoshade="t" o:hr="t" fillcolor="#bfbfbf" stroked="f"/>
      </w:pict>
    </w:r>
  </w:p>
  <w:p w14:paraId="56CEC05A" w14:textId="77777777" w:rsidR="003E2083" w:rsidRPr="003E2083" w:rsidRDefault="003E2083" w:rsidP="003E2083">
    <w:pPr>
      <w:tabs>
        <w:tab w:val="left" w:pos="1377"/>
      </w:tabs>
      <w:spacing w:before="0" w:after="0" w:line="240" w:lineRule="auto"/>
      <w:rPr>
        <w:rFonts w:eastAsia="Times New Roman" w:cs="Arial"/>
      </w:rPr>
    </w:pPr>
  </w:p>
  <w:p w14:paraId="54B62059" w14:textId="7BA7E1A9" w:rsidR="003E2083" w:rsidRPr="003E2083" w:rsidRDefault="003E2083" w:rsidP="003E2083">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7216" behindDoc="0" locked="0" layoutInCell="1" allowOverlap="1" wp14:anchorId="323BDFC4" wp14:editId="3E0436F3">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D28A25" id="Straight Connector 2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4144" behindDoc="0" locked="0" layoutInCell="1" allowOverlap="1" wp14:anchorId="42BCCC76" wp14:editId="5FFCAFF2">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B48FEB" id="Straight Connector 21"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1072" behindDoc="0" locked="0" layoutInCell="1" allowOverlap="1" wp14:anchorId="7BF6B206" wp14:editId="42188B96">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FF7B91" id="Straight Connector 2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B02948">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2B5E7C">
      <w:rPr>
        <w:rFonts w:eastAsia="Times New Roman" w:cs="Arial"/>
        <w:b/>
        <w:i/>
        <w:color w:val="A6A6A6"/>
        <w:sz w:val="16"/>
        <w:szCs w:val="16"/>
      </w:rPr>
      <w:t xml:space="preserve">Version </w:t>
    </w:r>
    <w:r w:rsidR="00FB2099">
      <w:rPr>
        <w:rFonts w:eastAsia="Times New Roman" w:cs="Arial"/>
        <w:b/>
        <w:i/>
        <w:color w:val="A6A6A6"/>
        <w:sz w:val="16"/>
        <w:szCs w:val="16"/>
      </w:rPr>
      <w:t>7</w:t>
    </w:r>
  </w:p>
  <w:p w14:paraId="6A03E67F" w14:textId="77777777" w:rsidR="003E2083" w:rsidRPr="003E2083" w:rsidRDefault="003E2083" w:rsidP="003E2083">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Pr="00085FF6">
      <w:rPr>
        <w:rFonts w:eastAsia="Times New Roman" w:cs="Arial"/>
        <w:i/>
        <w:color w:val="A6A6A6"/>
        <w:sz w:val="16"/>
        <w:szCs w:val="16"/>
      </w:rPr>
      <w:t>760.</w:t>
    </w:r>
    <w:r w:rsidR="00085FF6" w:rsidRPr="00085FF6">
      <w:rPr>
        <w:rFonts w:eastAsia="Times New Roman" w:cs="Arial"/>
        <w:i/>
        <w:color w:val="A6A6A6"/>
        <w:sz w:val="16"/>
        <w:szCs w:val="16"/>
      </w:rPr>
      <w:t>12</w:t>
    </w:r>
    <w:r w:rsidRPr="00085FF6">
      <w:rPr>
        <w:rFonts w:eastAsia="Times New Roman" w:cs="Arial"/>
        <w:i/>
        <w:color w:val="A6A6A6"/>
        <w:sz w:val="16"/>
        <w:szCs w:val="16"/>
      </w:rPr>
      <w:t>.TEM</w:t>
    </w:r>
  </w:p>
  <w:p w14:paraId="32AE931E" w14:textId="72890BE0" w:rsidR="002222F0" w:rsidRPr="003E2083" w:rsidRDefault="003E2083" w:rsidP="003E2083">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Effective Date:</w:t>
    </w:r>
    <w:r w:rsidR="00FA22A4">
      <w:rPr>
        <w:rFonts w:eastAsia="Times New Roman" w:cs="Arial"/>
        <w:i/>
        <w:color w:val="A6A6A6"/>
        <w:sz w:val="16"/>
        <w:szCs w:val="16"/>
      </w:rPr>
      <w:t xml:space="preserve"> </w:t>
    </w:r>
    <w:r w:rsidR="002045AE">
      <w:rPr>
        <w:rFonts w:eastAsia="Times New Roman" w:cs="Arial"/>
        <w:i/>
        <w:color w:val="A6A6A6"/>
        <w:sz w:val="16"/>
        <w:szCs w:val="16"/>
      </w:rPr>
      <w:t>April</w:t>
    </w:r>
    <w:r w:rsidR="00FD115C">
      <w:rPr>
        <w:rFonts w:eastAsia="Times New Roman" w:cs="Arial"/>
        <w:i/>
        <w:color w:val="A6A6A6"/>
        <w:sz w:val="16"/>
        <w:szCs w:val="16"/>
      </w:rPr>
      <w:t xml:space="preserve"> </w:t>
    </w:r>
    <w:r w:rsidR="00FB2099" w:rsidRPr="0034405F">
      <w:rPr>
        <w:rFonts w:eastAsia="Times New Roman" w:cs="Arial"/>
        <w:i/>
        <w:color w:val="A6A6A6"/>
        <w:sz w:val="16"/>
        <w:szCs w:val="16"/>
      </w:rPr>
      <w:t>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2045AE">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2045AE">
      <w:rPr>
        <w:rFonts w:eastAsia="Times New Roman" w:cs="Arial"/>
        <w:b/>
        <w:i/>
        <w:noProof/>
        <w:color w:val="A6A6A6"/>
        <w:sz w:val="16"/>
        <w:szCs w:val="16"/>
      </w:rPr>
      <w:t>2</w:t>
    </w:r>
    <w:r w:rsidRPr="003E2083">
      <w:rPr>
        <w:rFonts w:eastAsia="Times New Roman" w:cs="Arial"/>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672E" w14:textId="77777777" w:rsidR="000C2BE0" w:rsidRDefault="000C2BE0" w:rsidP="002222F0">
      <w:pPr>
        <w:spacing w:before="0" w:after="0" w:line="240" w:lineRule="auto"/>
      </w:pPr>
      <w:r>
        <w:separator/>
      </w:r>
    </w:p>
  </w:footnote>
  <w:footnote w:type="continuationSeparator" w:id="0">
    <w:p w14:paraId="4973BF45" w14:textId="77777777" w:rsidR="000C2BE0" w:rsidRDefault="000C2BE0"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849"/>
      <w:gridCol w:w="8524"/>
    </w:tblGrid>
    <w:tr w:rsidR="003E2083" w14:paraId="0DCE2C7F" w14:textId="77777777" w:rsidTr="00FC61BA">
      <w:tc>
        <w:tcPr>
          <w:tcW w:w="845" w:type="dxa"/>
          <w:shd w:val="clear" w:color="auto" w:fill="auto"/>
          <w:tcMar>
            <w:left w:w="0" w:type="dxa"/>
            <w:right w:w="144" w:type="dxa"/>
          </w:tcMar>
          <w:vAlign w:val="bottom"/>
        </w:tcPr>
        <w:p w14:paraId="1C58B461" w14:textId="77777777" w:rsidR="003E2083" w:rsidRPr="003848BF" w:rsidRDefault="003E2083" w:rsidP="00FC61BA">
          <w:pPr>
            <w:rPr>
              <w:sz w:val="16"/>
              <w:szCs w:val="16"/>
            </w:rPr>
          </w:pPr>
          <w:r>
            <w:rPr>
              <w:noProof/>
              <w:sz w:val="16"/>
              <w:szCs w:val="16"/>
            </w:rPr>
            <w:drawing>
              <wp:inline distT="0" distB="0" distL="0" distR="0" wp14:anchorId="28EDAABB" wp14:editId="40BB9F9A">
                <wp:extent cx="447675" cy="3140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DOTlogo_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807" cy="316942"/>
                        </a:xfrm>
                        <a:prstGeom prst="rect">
                          <a:avLst/>
                        </a:prstGeom>
                      </pic:spPr>
                    </pic:pic>
                  </a:graphicData>
                </a:graphic>
              </wp:inline>
            </w:drawing>
          </w:r>
        </w:p>
      </w:tc>
      <w:tc>
        <w:tcPr>
          <w:tcW w:w="8528" w:type="dxa"/>
          <w:shd w:val="clear" w:color="auto" w:fill="auto"/>
          <w:tcMar>
            <w:left w:w="58" w:type="dxa"/>
          </w:tcMar>
          <w:vAlign w:val="bottom"/>
        </w:tcPr>
        <w:p w14:paraId="120CBD7D" w14:textId="77777777" w:rsidR="003E2083" w:rsidRPr="00C648DB" w:rsidRDefault="003E2083" w:rsidP="00C84EE0">
          <w:pPr>
            <w:pStyle w:val="SOPTitleforinteriorpages"/>
          </w:pPr>
          <w:r>
            <w:t>Template for Final EA Notice of Availability</w:t>
          </w:r>
        </w:p>
      </w:tc>
    </w:tr>
  </w:tbl>
  <w:p w14:paraId="398DAD93" w14:textId="77777777" w:rsidR="002222F0" w:rsidRPr="003E2083" w:rsidRDefault="0034405F" w:rsidP="003E2083">
    <w:pPr>
      <w:pStyle w:val="Header"/>
    </w:pPr>
    <w:r>
      <w:rPr>
        <w:color w:val="D9D9D9"/>
      </w:rPr>
      <w:pict w14:anchorId="78E69E59">
        <v:rect id="_x0000_i1026"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5"/>
      <w:gridCol w:w="8045"/>
    </w:tblGrid>
    <w:tr w:rsidR="00BF1A97" w14:paraId="7E83FAAF" w14:textId="77777777" w:rsidTr="00FC61BA">
      <w:trPr>
        <w:trHeight w:val="810"/>
      </w:trPr>
      <w:tc>
        <w:tcPr>
          <w:tcW w:w="1315" w:type="dxa"/>
          <w:shd w:val="clear" w:color="auto" w:fill="auto"/>
          <w:tcMar>
            <w:left w:w="0" w:type="dxa"/>
            <w:right w:w="115" w:type="dxa"/>
          </w:tcMar>
        </w:tcPr>
        <w:p w14:paraId="31DADAEC" w14:textId="77777777" w:rsidR="00BF1A97" w:rsidRDefault="00BF1A97" w:rsidP="00FC61BA">
          <w:pPr>
            <w:pStyle w:val="SOPBodyText"/>
          </w:pPr>
          <w:r>
            <w:rPr>
              <w:noProof/>
            </w:rPr>
            <w:drawing>
              <wp:inline distT="0" distB="0" distL="0" distR="0" wp14:anchorId="0D27674F" wp14:editId="3BB307C2">
                <wp:extent cx="762000" cy="533400"/>
                <wp:effectExtent l="0" t="0" r="0" b="0"/>
                <wp:docPr id="60" name="Picture 60" descr="E:\JAN'S TOOLS\TxDOT_R\TxDOTlogo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JAN'S TOOLS\TxDOT_R\TxDOTlogo_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inline>
            </w:drawing>
          </w:r>
        </w:p>
      </w:tc>
      <w:tc>
        <w:tcPr>
          <w:tcW w:w="8158" w:type="dxa"/>
          <w:shd w:val="clear" w:color="auto" w:fill="auto"/>
          <w:vAlign w:val="bottom"/>
        </w:tcPr>
        <w:p w14:paraId="340D54BF" w14:textId="77777777" w:rsidR="00BF1A97" w:rsidRDefault="00BF1A97" w:rsidP="00FC61BA">
          <w:pPr>
            <w:pStyle w:val="SOPTITLE"/>
          </w:pPr>
          <w:r>
            <w:t>Template</w:t>
          </w:r>
        </w:p>
        <w:p w14:paraId="7E78E206" w14:textId="77777777" w:rsidR="00BF1A97" w:rsidRPr="002830F1" w:rsidRDefault="00BF1A97" w:rsidP="00C84EE0">
          <w:pPr>
            <w:pStyle w:val="SOPTitleDescriptorafterFor"/>
            <w:ind w:left="0"/>
            <w:rPr>
              <w:sz w:val="22"/>
              <w:szCs w:val="22"/>
            </w:rPr>
          </w:pPr>
          <w:r>
            <w:rPr>
              <w:sz w:val="22"/>
              <w:szCs w:val="22"/>
            </w:rPr>
            <w:t>Final EA Notice of Availability</w:t>
          </w:r>
        </w:p>
      </w:tc>
    </w:tr>
    <w:tr w:rsidR="00BF1A97" w14:paraId="15FAA414" w14:textId="77777777" w:rsidTr="00FC61BA">
      <w:tc>
        <w:tcPr>
          <w:tcW w:w="9473" w:type="dxa"/>
          <w:gridSpan w:val="2"/>
          <w:shd w:val="clear" w:color="auto" w:fill="auto"/>
          <w:tcMar>
            <w:left w:w="0" w:type="dxa"/>
            <w:right w:w="115" w:type="dxa"/>
          </w:tcMar>
        </w:tcPr>
        <w:p w14:paraId="28350B2E" w14:textId="77777777" w:rsidR="00BF1A97" w:rsidRPr="00C35D78" w:rsidRDefault="0034405F" w:rsidP="00FC61BA">
          <w:pPr>
            <w:pStyle w:val="SOPTITLE"/>
            <w:rPr>
              <w:sz w:val="16"/>
              <w:szCs w:val="16"/>
            </w:rPr>
          </w:pPr>
          <w:r>
            <w:rPr>
              <w:sz w:val="16"/>
              <w:szCs w:val="16"/>
            </w:rPr>
            <w:pict w14:anchorId="5E3D70F2">
              <v:rect id="_x0000_i1028" style="width:467.9pt;height:1.5pt" o:hralign="center" o:hrstd="t" o:hrnoshade="t" o:hr="t" fillcolor="black [3213]" stroked="f"/>
            </w:pict>
          </w:r>
        </w:p>
      </w:tc>
    </w:tr>
  </w:tbl>
  <w:p w14:paraId="4B7547DD" w14:textId="77777777" w:rsidR="00BF1A97" w:rsidRDefault="00BF1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468D6"/>
    <w:rsid w:val="00074687"/>
    <w:rsid w:val="00085FF6"/>
    <w:rsid w:val="000A1D6E"/>
    <w:rsid w:val="000A49E4"/>
    <w:rsid w:val="000B3A2F"/>
    <w:rsid w:val="000C2BE0"/>
    <w:rsid w:val="000C7E6A"/>
    <w:rsid w:val="000D1D71"/>
    <w:rsid w:val="000F61FC"/>
    <w:rsid w:val="0015006F"/>
    <w:rsid w:val="00197BF3"/>
    <w:rsid w:val="002045AE"/>
    <w:rsid w:val="002222F0"/>
    <w:rsid w:val="0027308E"/>
    <w:rsid w:val="00280631"/>
    <w:rsid w:val="002B5E7C"/>
    <w:rsid w:val="002D2217"/>
    <w:rsid w:val="00317231"/>
    <w:rsid w:val="0033348C"/>
    <w:rsid w:val="00340088"/>
    <w:rsid w:val="0034405F"/>
    <w:rsid w:val="00383DEB"/>
    <w:rsid w:val="003E2083"/>
    <w:rsid w:val="00404290"/>
    <w:rsid w:val="00473630"/>
    <w:rsid w:val="004857F9"/>
    <w:rsid w:val="004904CD"/>
    <w:rsid w:val="004F6D44"/>
    <w:rsid w:val="00547905"/>
    <w:rsid w:val="00586B1C"/>
    <w:rsid w:val="005A6178"/>
    <w:rsid w:val="005D6B66"/>
    <w:rsid w:val="006449A0"/>
    <w:rsid w:val="006A1044"/>
    <w:rsid w:val="006A76C6"/>
    <w:rsid w:val="006B00B3"/>
    <w:rsid w:val="006B051F"/>
    <w:rsid w:val="006D7371"/>
    <w:rsid w:val="007306C5"/>
    <w:rsid w:val="00766056"/>
    <w:rsid w:val="007713F9"/>
    <w:rsid w:val="00781391"/>
    <w:rsid w:val="00793565"/>
    <w:rsid w:val="007A0C91"/>
    <w:rsid w:val="007D14ED"/>
    <w:rsid w:val="007E1989"/>
    <w:rsid w:val="008117BC"/>
    <w:rsid w:val="008602B4"/>
    <w:rsid w:val="00882715"/>
    <w:rsid w:val="00987D75"/>
    <w:rsid w:val="009940D7"/>
    <w:rsid w:val="00A15C40"/>
    <w:rsid w:val="00A251B7"/>
    <w:rsid w:val="00A45F81"/>
    <w:rsid w:val="00A9768B"/>
    <w:rsid w:val="00AC04D7"/>
    <w:rsid w:val="00AD06DD"/>
    <w:rsid w:val="00AE200E"/>
    <w:rsid w:val="00AE25D1"/>
    <w:rsid w:val="00B002A2"/>
    <w:rsid w:val="00B02948"/>
    <w:rsid w:val="00B91597"/>
    <w:rsid w:val="00BA6FBE"/>
    <w:rsid w:val="00BF1A97"/>
    <w:rsid w:val="00C340A5"/>
    <w:rsid w:val="00C84EE0"/>
    <w:rsid w:val="00C85F79"/>
    <w:rsid w:val="00CC05D9"/>
    <w:rsid w:val="00D03879"/>
    <w:rsid w:val="00D1039A"/>
    <w:rsid w:val="00D233B4"/>
    <w:rsid w:val="00D261D5"/>
    <w:rsid w:val="00D63150"/>
    <w:rsid w:val="00D85076"/>
    <w:rsid w:val="00E0034E"/>
    <w:rsid w:val="00E03E7E"/>
    <w:rsid w:val="00E303CA"/>
    <w:rsid w:val="00E52051"/>
    <w:rsid w:val="00EC2940"/>
    <w:rsid w:val="00EE54A4"/>
    <w:rsid w:val="00EF2B92"/>
    <w:rsid w:val="00F05BB8"/>
    <w:rsid w:val="00F07881"/>
    <w:rsid w:val="00F27578"/>
    <w:rsid w:val="00F34035"/>
    <w:rsid w:val="00F74C90"/>
    <w:rsid w:val="00FA22A4"/>
    <w:rsid w:val="00FB2099"/>
    <w:rsid w:val="00FD1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3CAAAF"/>
  <w15:docId w15:val="{0ACF967D-68E1-4AD9-842A-087F6545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semiHidden/>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93565"/>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793565"/>
    <w:rPr>
      <w:rFonts w:ascii="Arial" w:hAnsi="Arial"/>
      <w:b/>
      <w:bCs/>
      <w:sz w:val="20"/>
      <w:szCs w:val="20"/>
    </w:rPr>
  </w:style>
  <w:style w:type="paragraph" w:customStyle="1" w:styleId="CHTableheader">
    <w:name w:val="CH_Table header"/>
    <w:basedOn w:val="Normal"/>
    <w:next w:val="Normal"/>
    <w:qFormat/>
    <w:rsid w:val="00E52051"/>
    <w:pPr>
      <w:spacing w:line="240" w:lineRule="auto"/>
      <w:jc w:val="center"/>
    </w:pPr>
    <w:rPr>
      <w:rFonts w:eastAsia="Arial" w:cs="Times New Roman"/>
      <w:b/>
    </w:rPr>
  </w:style>
  <w:style w:type="paragraph" w:customStyle="1" w:styleId="CHTabletextleft">
    <w:name w:val="CH_Table text left"/>
    <w:basedOn w:val="Normal"/>
    <w:qFormat/>
    <w:rsid w:val="00E52051"/>
    <w:pPr>
      <w:keepNext/>
      <w:keepLines/>
      <w:autoSpaceDE w:val="0"/>
      <w:autoSpaceDN w:val="0"/>
      <w:adjustRightInd w:val="0"/>
      <w:spacing w:after="0" w:line="240" w:lineRule="auto"/>
    </w:pPr>
    <w:rPr>
      <w:rFonts w:eastAsia="Arial" w:cs="Arial"/>
      <w:bCs/>
    </w:rPr>
  </w:style>
  <w:style w:type="paragraph" w:customStyle="1" w:styleId="SOPTITLE">
    <w:name w:val="SOP TITLE"/>
    <w:basedOn w:val="Normal"/>
    <w:next w:val="Normal"/>
    <w:rsid w:val="00BF1A97"/>
    <w:pPr>
      <w:spacing w:before="0" w:after="0" w:line="240" w:lineRule="auto"/>
    </w:pPr>
    <w:rPr>
      <w:rFonts w:eastAsia="Times New Roman" w:cs="Arial"/>
      <w:b/>
      <w:i/>
      <w:sz w:val="32"/>
      <w:szCs w:val="32"/>
    </w:rPr>
  </w:style>
  <w:style w:type="paragraph" w:customStyle="1" w:styleId="SOPBodyText">
    <w:name w:val="SOP Body Text"/>
    <w:basedOn w:val="Normal"/>
    <w:next w:val="Normal"/>
    <w:rsid w:val="00BF1A97"/>
    <w:pPr>
      <w:spacing w:before="0"/>
    </w:pPr>
    <w:rPr>
      <w:rFonts w:eastAsia="Times New Roman" w:cs="Arial"/>
    </w:rPr>
  </w:style>
  <w:style w:type="paragraph" w:customStyle="1" w:styleId="SOPTitleDescriptorafterFor">
    <w:name w:val="SOP Title_ Descriptor_after &quot;For&quot;"/>
    <w:basedOn w:val="Normal"/>
    <w:rsid w:val="00BF1A97"/>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3E2083"/>
    <w:pPr>
      <w:spacing w:before="0" w:line="240" w:lineRule="auto"/>
    </w:pPr>
    <w:rPr>
      <w:rFonts w:eastAsia="Times New Roman" w:cs="Arial"/>
      <w:b/>
      <w:i/>
      <w:sz w:val="24"/>
      <w:szCs w:val="24"/>
    </w:rPr>
  </w:style>
  <w:style w:type="paragraph" w:styleId="Revision">
    <w:name w:val="Revision"/>
    <w:hidden/>
    <w:uiPriority w:val="99"/>
    <w:semiHidden/>
    <w:rsid w:val="00FB209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6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tp.dot.state.tx.us/pub/txdot-info/cmd/branding/brand-guidelines.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Template: Final EA Notice of Availability</vt:lpstr>
    </vt:vector>
  </TitlesOfParts>
  <Company>TxDOT</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Final EA Notice of Availability</dc:title>
  <dc:subject>Public Involvement Toolkit</dc:subject>
  <dc:creator>TxDOT</dc:creator>
  <cp:keywords>TxDOT Public Involvement Toolkit</cp:keywords>
  <dc:description>Template for preparing a notice of availability for a final EA on a project that requires a separate notice of the final EA prior to the FONSI per 23 CFR 771.119(h).</dc:description>
  <cp:lastModifiedBy>Patrick Lee</cp:lastModifiedBy>
  <cp:revision>11</cp:revision>
  <dcterms:created xsi:type="dcterms:W3CDTF">2024-03-25T21:04:00Z</dcterms:created>
  <dcterms:modified xsi:type="dcterms:W3CDTF">2024-03-27T16:08:00Z</dcterms:modified>
</cp:coreProperties>
</file>