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94" w:rsidRPr="00EF45AD" w:rsidRDefault="00EE5A94" w:rsidP="00703FE9">
      <w:pPr>
        <w:spacing w:after="0"/>
        <w:jc w:val="center"/>
        <w:rPr>
          <w:b/>
          <w:color w:val="FF0000"/>
          <w:sz w:val="22"/>
        </w:rPr>
      </w:pPr>
      <w:r w:rsidRPr="00EF45AD">
        <w:rPr>
          <w:b/>
          <w:color w:val="FF0000"/>
          <w:sz w:val="22"/>
        </w:rPr>
        <w:t>(</w:t>
      </w:r>
      <w:r w:rsidR="007E12E7" w:rsidRPr="00EF45AD">
        <w:rPr>
          <w:b/>
          <w:color w:val="FF0000"/>
          <w:sz w:val="22"/>
        </w:rPr>
        <w:t>Company’s Letterhead Must be the Legal Name of Company)</w:t>
      </w:r>
    </w:p>
    <w:p w:rsidR="00F64CA8" w:rsidRPr="007E12E7" w:rsidRDefault="00703FE9" w:rsidP="006E4AFF">
      <w:pPr>
        <w:spacing w:after="0"/>
        <w:jc w:val="center"/>
        <w:rPr>
          <w:b/>
          <w:sz w:val="22"/>
        </w:rPr>
      </w:pPr>
      <w:r w:rsidRPr="007E12E7">
        <w:rPr>
          <w:b/>
          <w:sz w:val="22"/>
        </w:rPr>
        <w:t>MANAGEMENT’S REPORT ON</w:t>
      </w:r>
    </w:p>
    <w:p w:rsidR="00703FE9" w:rsidRPr="007E12E7" w:rsidRDefault="00275D7F" w:rsidP="00703FE9">
      <w:pPr>
        <w:spacing w:after="0"/>
        <w:jc w:val="center"/>
        <w:rPr>
          <w:b/>
          <w:sz w:val="22"/>
        </w:rPr>
      </w:pPr>
      <w:r w:rsidRPr="007E12E7">
        <w:rPr>
          <w:b/>
          <w:sz w:val="22"/>
        </w:rPr>
        <w:t>INTERNAL CONTROL AND COMPLI</w:t>
      </w:r>
      <w:r w:rsidR="00703FE9" w:rsidRPr="007E12E7">
        <w:rPr>
          <w:b/>
          <w:sz w:val="22"/>
        </w:rPr>
        <w:t>ANCE</w:t>
      </w:r>
    </w:p>
    <w:p w:rsidR="00703FE9" w:rsidRPr="007E12E7" w:rsidRDefault="00703FE9" w:rsidP="00703FE9">
      <w:pPr>
        <w:spacing w:after="0"/>
        <w:jc w:val="center"/>
        <w:rPr>
          <w:b/>
          <w:sz w:val="22"/>
        </w:rPr>
      </w:pPr>
    </w:p>
    <w:p w:rsidR="003C78CB" w:rsidRPr="007E12E7" w:rsidRDefault="003C78CB" w:rsidP="00703FE9">
      <w:pPr>
        <w:spacing w:after="0"/>
        <w:jc w:val="center"/>
        <w:rPr>
          <w:b/>
          <w:sz w:val="22"/>
        </w:rPr>
      </w:pPr>
    </w:p>
    <w:p w:rsidR="00703FE9" w:rsidRPr="007E12E7" w:rsidRDefault="00703FE9" w:rsidP="00703FE9">
      <w:pPr>
        <w:spacing w:after="0"/>
        <w:jc w:val="both"/>
        <w:rPr>
          <w:sz w:val="22"/>
        </w:rPr>
      </w:pPr>
      <w:r w:rsidRPr="007E12E7">
        <w:rPr>
          <w:sz w:val="22"/>
        </w:rPr>
        <w:t>Texas Department of Transportation</w:t>
      </w:r>
    </w:p>
    <w:p w:rsidR="00DE60E5" w:rsidRPr="007E12E7" w:rsidRDefault="00DE60E5" w:rsidP="00703FE9">
      <w:pPr>
        <w:spacing w:after="0"/>
        <w:jc w:val="both"/>
        <w:rPr>
          <w:sz w:val="22"/>
        </w:rPr>
      </w:pPr>
      <w:r w:rsidRPr="007E12E7">
        <w:rPr>
          <w:sz w:val="22"/>
        </w:rPr>
        <w:t>125 E 11</w:t>
      </w:r>
      <w:r w:rsidRPr="007E12E7">
        <w:rPr>
          <w:sz w:val="22"/>
          <w:vertAlign w:val="superscript"/>
        </w:rPr>
        <w:t>th</w:t>
      </w:r>
      <w:r w:rsidRPr="007E12E7">
        <w:rPr>
          <w:sz w:val="22"/>
        </w:rPr>
        <w:t xml:space="preserve"> Street</w:t>
      </w:r>
    </w:p>
    <w:p w:rsidR="00703FE9" w:rsidRPr="007E12E7" w:rsidRDefault="00703FE9" w:rsidP="00703FE9">
      <w:pPr>
        <w:spacing w:after="0"/>
        <w:jc w:val="both"/>
        <w:rPr>
          <w:sz w:val="22"/>
        </w:rPr>
      </w:pPr>
      <w:r w:rsidRPr="007E12E7">
        <w:rPr>
          <w:sz w:val="22"/>
        </w:rPr>
        <w:t>Austin, Texas</w:t>
      </w:r>
      <w:r w:rsidR="00DE60E5" w:rsidRPr="007E12E7">
        <w:rPr>
          <w:sz w:val="22"/>
        </w:rPr>
        <w:t xml:space="preserve"> 78701</w:t>
      </w:r>
    </w:p>
    <w:p w:rsidR="00703FE9" w:rsidRPr="007E12E7" w:rsidRDefault="00703FE9" w:rsidP="00703FE9">
      <w:pPr>
        <w:spacing w:after="0"/>
        <w:jc w:val="both"/>
        <w:rPr>
          <w:sz w:val="22"/>
        </w:rPr>
      </w:pPr>
    </w:p>
    <w:p w:rsidR="00703FE9" w:rsidRPr="007E12E7" w:rsidRDefault="0005180B" w:rsidP="00355084">
      <w:pPr>
        <w:tabs>
          <w:tab w:val="left" w:pos="2340"/>
        </w:tabs>
        <w:spacing w:after="0"/>
        <w:jc w:val="both"/>
        <w:rPr>
          <w:sz w:val="22"/>
        </w:rPr>
      </w:pPr>
      <w:r w:rsidRPr="007E12E7">
        <w:rPr>
          <w:sz w:val="22"/>
        </w:rPr>
        <w:t>In accordance with</w:t>
      </w:r>
      <w:r w:rsidR="00B16CE1" w:rsidRPr="007E12E7">
        <w:rPr>
          <w:sz w:val="22"/>
        </w:rPr>
        <w:t xml:space="preserve"> Section 9.34 (b) of Title 43 in </w:t>
      </w:r>
      <w:r w:rsidR="007E12E7" w:rsidRPr="007E12E7">
        <w:rPr>
          <w:sz w:val="22"/>
        </w:rPr>
        <w:t xml:space="preserve">the Texas Administrative Code, </w:t>
      </w:r>
      <w:r w:rsidR="00023A32" w:rsidRPr="00E03992">
        <w:rPr>
          <w:b/>
          <w:i/>
          <w:sz w:val="22"/>
        </w:rPr>
        <w:fldChar w:fldCharType="begin">
          <w:ffData>
            <w:name w:val="Text1"/>
            <w:enabled/>
            <w:calcOnExit w:val="0"/>
            <w:textInput>
              <w:default w:val="Legal Company Name"/>
            </w:textInput>
          </w:ffData>
        </w:fldChar>
      </w:r>
      <w:bookmarkStart w:id="0" w:name="Text1"/>
      <w:r w:rsidR="00023A32" w:rsidRPr="00E03992">
        <w:rPr>
          <w:b/>
          <w:i/>
          <w:sz w:val="22"/>
        </w:rPr>
        <w:instrText xml:space="preserve"> FORMTEXT </w:instrText>
      </w:r>
      <w:r w:rsidR="00023A32" w:rsidRPr="00E03992">
        <w:rPr>
          <w:b/>
          <w:i/>
          <w:sz w:val="22"/>
        </w:rPr>
      </w:r>
      <w:r w:rsidR="00023A32" w:rsidRPr="00E03992">
        <w:rPr>
          <w:b/>
          <w:i/>
          <w:sz w:val="22"/>
        </w:rPr>
        <w:fldChar w:fldCharType="separate"/>
      </w:r>
      <w:r w:rsidR="00023A32" w:rsidRPr="00E03992">
        <w:rPr>
          <w:b/>
          <w:i/>
          <w:noProof/>
          <w:sz w:val="22"/>
        </w:rPr>
        <w:t>Legal Company Name</w:t>
      </w:r>
      <w:r w:rsidR="00023A32" w:rsidRPr="00E03992">
        <w:rPr>
          <w:b/>
          <w:i/>
          <w:sz w:val="22"/>
        </w:rPr>
        <w:fldChar w:fldCharType="end"/>
      </w:r>
      <w:bookmarkEnd w:id="0"/>
      <w:r w:rsidR="00355084">
        <w:rPr>
          <w:color w:val="FF0000"/>
          <w:sz w:val="22"/>
        </w:rPr>
        <w:t xml:space="preserve"> </w:t>
      </w:r>
      <w:r w:rsidR="00703FE9" w:rsidRPr="007E12E7">
        <w:rPr>
          <w:sz w:val="22"/>
        </w:rPr>
        <w:t>have prepared a Statement of Direct Labor, Fringe Benefits, and General Overhead of the Company for the fiscal year ended December 31, 20</w:t>
      </w:r>
      <w:r w:rsidR="00355084">
        <w:rPr>
          <w:sz w:val="22"/>
        </w:rPr>
        <w:fldChar w:fldCharType="begin">
          <w:ffData>
            <w:name w:val="Text2"/>
            <w:enabled/>
            <w:calcOnExit w:val="0"/>
            <w:textInput/>
          </w:ffData>
        </w:fldChar>
      </w:r>
      <w:bookmarkStart w:id="1" w:name="Text2"/>
      <w:r w:rsidR="00355084">
        <w:rPr>
          <w:sz w:val="22"/>
        </w:rPr>
        <w:instrText xml:space="preserve"> FORMTEXT </w:instrText>
      </w:r>
      <w:r w:rsidR="00355084">
        <w:rPr>
          <w:sz w:val="22"/>
        </w:rPr>
      </w:r>
      <w:r w:rsidR="00355084">
        <w:rPr>
          <w:sz w:val="22"/>
        </w:rPr>
        <w:fldChar w:fldCharType="separate"/>
      </w:r>
      <w:r w:rsidR="00355084">
        <w:rPr>
          <w:noProof/>
          <w:sz w:val="22"/>
        </w:rPr>
        <w:t> </w:t>
      </w:r>
      <w:r w:rsidR="00355084">
        <w:rPr>
          <w:noProof/>
          <w:sz w:val="22"/>
        </w:rPr>
        <w:t> </w:t>
      </w:r>
      <w:r w:rsidR="00355084">
        <w:rPr>
          <w:noProof/>
          <w:sz w:val="22"/>
        </w:rPr>
        <w:t> </w:t>
      </w:r>
      <w:r w:rsidR="00355084">
        <w:rPr>
          <w:noProof/>
          <w:sz w:val="22"/>
        </w:rPr>
        <w:t> </w:t>
      </w:r>
      <w:r w:rsidR="00355084">
        <w:rPr>
          <w:noProof/>
          <w:sz w:val="22"/>
        </w:rPr>
        <w:t> </w:t>
      </w:r>
      <w:r w:rsidR="00355084">
        <w:rPr>
          <w:sz w:val="22"/>
        </w:rPr>
        <w:fldChar w:fldCharType="end"/>
      </w:r>
      <w:bookmarkEnd w:id="1"/>
      <w:r w:rsidR="00703FE9" w:rsidRPr="007E12E7">
        <w:rPr>
          <w:sz w:val="22"/>
        </w:rPr>
        <w:t xml:space="preserve"> and have issued our Self-Certified </w:t>
      </w:r>
      <w:r w:rsidR="00DE49D6" w:rsidRPr="007E12E7">
        <w:rPr>
          <w:sz w:val="22"/>
        </w:rPr>
        <w:t xml:space="preserve">Overhead Direct and Indirect Cost </w:t>
      </w:r>
      <w:r w:rsidR="00703FE9" w:rsidRPr="007E12E7">
        <w:rPr>
          <w:sz w:val="22"/>
        </w:rPr>
        <w:t xml:space="preserve">Report thereon dated </w:t>
      </w:r>
      <w:r w:rsidR="00355084">
        <w:rPr>
          <w:sz w:val="22"/>
        </w:rPr>
        <w:fldChar w:fldCharType="begin">
          <w:ffData>
            <w:name w:val="Text3"/>
            <w:enabled/>
            <w:calcOnExit w:val="0"/>
            <w:textInput/>
          </w:ffData>
        </w:fldChar>
      </w:r>
      <w:bookmarkStart w:id="2" w:name="Text3"/>
      <w:r w:rsidR="00355084">
        <w:rPr>
          <w:sz w:val="22"/>
        </w:rPr>
        <w:instrText xml:space="preserve"> FORMTEXT </w:instrText>
      </w:r>
      <w:r w:rsidR="00355084">
        <w:rPr>
          <w:sz w:val="22"/>
        </w:rPr>
      </w:r>
      <w:r w:rsidR="00355084">
        <w:rPr>
          <w:sz w:val="22"/>
        </w:rPr>
        <w:fldChar w:fldCharType="separate"/>
      </w:r>
      <w:r w:rsidR="00355084">
        <w:rPr>
          <w:noProof/>
          <w:sz w:val="22"/>
        </w:rPr>
        <w:t> </w:t>
      </w:r>
      <w:r w:rsidR="00355084">
        <w:rPr>
          <w:noProof/>
          <w:sz w:val="22"/>
        </w:rPr>
        <w:t> </w:t>
      </w:r>
      <w:r w:rsidR="00355084">
        <w:rPr>
          <w:noProof/>
          <w:sz w:val="22"/>
        </w:rPr>
        <w:t> </w:t>
      </w:r>
      <w:r w:rsidR="00355084">
        <w:rPr>
          <w:noProof/>
          <w:sz w:val="22"/>
        </w:rPr>
        <w:t> </w:t>
      </w:r>
      <w:r w:rsidR="00355084">
        <w:rPr>
          <w:noProof/>
          <w:sz w:val="22"/>
        </w:rPr>
        <w:t> </w:t>
      </w:r>
      <w:r w:rsidR="00355084">
        <w:rPr>
          <w:sz w:val="22"/>
        </w:rPr>
        <w:fldChar w:fldCharType="end"/>
      </w:r>
      <w:bookmarkEnd w:id="2"/>
      <w:r w:rsidR="00703FE9" w:rsidRPr="007E12E7">
        <w:rPr>
          <w:sz w:val="22"/>
        </w:rPr>
        <w:t>.  The report was prepared on a basis of accounting practices prescribed by Part 31 of the Federal Acquisition Regulation</w:t>
      </w:r>
      <w:r w:rsidRPr="007E12E7">
        <w:rPr>
          <w:sz w:val="22"/>
        </w:rPr>
        <w:t>s</w:t>
      </w:r>
      <w:r w:rsidR="00703FE9" w:rsidRPr="007E12E7">
        <w:rPr>
          <w:sz w:val="22"/>
        </w:rPr>
        <w:t xml:space="preserve"> (FAR) and certain other Federal and State re</w:t>
      </w:r>
      <w:r w:rsidR="002572FB" w:rsidRPr="007E12E7">
        <w:rPr>
          <w:sz w:val="22"/>
        </w:rPr>
        <w:t>gulations.  The report was prepared in accordance with Government Auditing Standards, issued by the Comptroller General of the United States.</w:t>
      </w:r>
    </w:p>
    <w:p w:rsidR="002572FB" w:rsidRPr="007E12E7" w:rsidRDefault="002572FB" w:rsidP="00703FE9">
      <w:pPr>
        <w:spacing w:after="0"/>
        <w:jc w:val="both"/>
        <w:rPr>
          <w:sz w:val="22"/>
        </w:rPr>
      </w:pPr>
    </w:p>
    <w:p w:rsidR="002572FB" w:rsidRPr="007E12E7" w:rsidRDefault="002572FB" w:rsidP="00703FE9">
      <w:pPr>
        <w:spacing w:after="0"/>
        <w:jc w:val="both"/>
        <w:rPr>
          <w:sz w:val="22"/>
        </w:rPr>
      </w:pPr>
      <w:r w:rsidRPr="007E12E7">
        <w:rPr>
          <w:b/>
          <w:sz w:val="22"/>
          <w:u w:val="single"/>
        </w:rPr>
        <w:t>Internal Control Over Financial Reporting:</w:t>
      </w:r>
    </w:p>
    <w:p w:rsidR="002572FB" w:rsidRPr="007E12E7" w:rsidRDefault="002572FB" w:rsidP="00703FE9">
      <w:pPr>
        <w:spacing w:after="0"/>
        <w:jc w:val="both"/>
        <w:rPr>
          <w:sz w:val="22"/>
        </w:rPr>
      </w:pPr>
    </w:p>
    <w:p w:rsidR="002572FB" w:rsidRPr="007E12E7" w:rsidRDefault="002572FB" w:rsidP="00703FE9">
      <w:pPr>
        <w:spacing w:after="0"/>
        <w:jc w:val="both"/>
        <w:rPr>
          <w:sz w:val="22"/>
        </w:rPr>
      </w:pPr>
      <w:r w:rsidRPr="007E12E7">
        <w:rPr>
          <w:sz w:val="22"/>
        </w:rPr>
        <w:t>Management is responsible for establishing and maintaining internal control over its financial reporting.  In fulfilling this responsible, Management has established internal controls within the Company and has written policy to support its internal controls</w:t>
      </w:r>
      <w:r w:rsidR="001A29AE" w:rsidRPr="007E12E7">
        <w:rPr>
          <w:sz w:val="22"/>
        </w:rPr>
        <w:t xml:space="preserve"> and procedures</w:t>
      </w:r>
      <w:r w:rsidRPr="007E12E7">
        <w:rPr>
          <w:sz w:val="22"/>
        </w:rPr>
        <w:t>.  The objectives of internal control over financial reporting are to provide management with reasonable, but not absolute, assurance that assets are safeguarded against loss from unauthorized use or disposition, and that transactions are executed in accordance with Part 31 of the Federal Acquisition Regulation</w:t>
      </w:r>
      <w:r w:rsidR="00564D46" w:rsidRPr="007E12E7">
        <w:rPr>
          <w:sz w:val="22"/>
        </w:rPr>
        <w:t>s</w:t>
      </w:r>
      <w:r w:rsidRPr="007E12E7">
        <w:rPr>
          <w:sz w:val="22"/>
        </w:rPr>
        <w:t>.</w:t>
      </w:r>
      <w:r w:rsidR="000109F8" w:rsidRPr="007E12E7">
        <w:rPr>
          <w:sz w:val="22"/>
        </w:rPr>
        <w:t xml:space="preserve">  Because of inherent limitations in any internal control structure, errors or irregularities may nevertheless occur and not be detected. </w:t>
      </w:r>
      <w:r w:rsidR="001A29AE" w:rsidRPr="007E12E7">
        <w:rPr>
          <w:sz w:val="22"/>
        </w:rPr>
        <w:t xml:space="preserve">Also, projection of any evaluation of </w:t>
      </w:r>
      <w:r w:rsidR="00C572CB" w:rsidRPr="007E12E7">
        <w:rPr>
          <w:sz w:val="22"/>
        </w:rPr>
        <w:t>the structure to future periods is subject to the risk that procedures may become inadequate because of charges in conditions or that the effectiveness of the design and operation of policies and procedures may deteriorate.</w:t>
      </w:r>
    </w:p>
    <w:p w:rsidR="00C572CB" w:rsidRPr="007E12E7" w:rsidRDefault="00C572CB" w:rsidP="00703FE9">
      <w:pPr>
        <w:spacing w:after="0"/>
        <w:jc w:val="both"/>
        <w:rPr>
          <w:sz w:val="22"/>
        </w:rPr>
      </w:pPr>
    </w:p>
    <w:p w:rsidR="00F461AC" w:rsidRPr="007E12E7" w:rsidRDefault="007B57BD" w:rsidP="00703FE9">
      <w:pPr>
        <w:spacing w:after="0"/>
        <w:jc w:val="both"/>
        <w:rPr>
          <w:sz w:val="22"/>
        </w:rPr>
      </w:pPr>
      <w:r w:rsidRPr="007E12E7">
        <w:rPr>
          <w:sz w:val="22"/>
        </w:rPr>
        <w:t>A deficiency in internal control exists when the design or operation of a control does not allow management or employees, in the normal course of performing their assigned functions, to prevent or detect misstatements on a timely basis.  A significant deficiency is a control deficiency, or combination of control deficiencies, that adversely affects the Company’s ability to initiate, authorize, record, process, or report financial data reliably in accordance with Part 31 of the Federal Acquisition Regulation</w:t>
      </w:r>
      <w:r w:rsidR="00564D46" w:rsidRPr="007E12E7">
        <w:rPr>
          <w:sz w:val="22"/>
        </w:rPr>
        <w:t>s</w:t>
      </w:r>
      <w:r w:rsidRPr="007E12E7">
        <w:rPr>
          <w:sz w:val="22"/>
        </w:rPr>
        <w:t xml:space="preserve"> such that there is more than a remote likelihood that a misstatement of the Company’s overhead schedule that is more than inconsequential will not be prevented or detected by the Company’s internal control.  A material weakness is a significa</w:t>
      </w:r>
      <w:r w:rsidR="00DE49D6" w:rsidRPr="007E12E7">
        <w:rPr>
          <w:sz w:val="22"/>
        </w:rPr>
        <w:t>nt deficiency, or combination of</w:t>
      </w:r>
      <w:r w:rsidRPr="007E12E7">
        <w:rPr>
          <w:sz w:val="22"/>
        </w:rPr>
        <w:t xml:space="preserve"> significant deficiencies, in internal control, such that there is a reasonable possibility that a material misstatement of the Company’s overhead schedule will not be prevented or detected, or corrected, on a timely basis.</w:t>
      </w:r>
      <w:r w:rsidR="007E12E7">
        <w:rPr>
          <w:sz w:val="22"/>
        </w:rPr>
        <w:t xml:space="preserve"> </w:t>
      </w:r>
      <w:r w:rsidR="00822061" w:rsidRPr="007E12E7">
        <w:rPr>
          <w:sz w:val="22"/>
        </w:rPr>
        <w:t>Management consideration of internal</w:t>
      </w:r>
      <w:r w:rsidR="006E4AFF">
        <w:rPr>
          <w:sz w:val="22"/>
        </w:rPr>
        <w:t xml:space="preserve"> </w:t>
      </w:r>
      <w:r w:rsidR="00822061" w:rsidRPr="007E12E7">
        <w:rPr>
          <w:sz w:val="22"/>
        </w:rPr>
        <w:t>control over financial reporting is reviewed annually for any deficiencies and/or mater</w:t>
      </w:r>
      <w:r w:rsidR="00837101" w:rsidRPr="007E12E7">
        <w:rPr>
          <w:sz w:val="22"/>
        </w:rPr>
        <w:t>ial weaknesses.</w:t>
      </w:r>
    </w:p>
    <w:p w:rsidR="003C78CB" w:rsidRPr="007E12E7" w:rsidRDefault="003C78CB" w:rsidP="00247B41">
      <w:pPr>
        <w:spacing w:after="0"/>
        <w:jc w:val="right"/>
        <w:rPr>
          <w:b/>
          <w:sz w:val="22"/>
          <w:u w:val="single"/>
        </w:rPr>
      </w:pPr>
    </w:p>
    <w:p w:rsidR="00247B41" w:rsidRDefault="00247B41">
      <w:pPr>
        <w:rPr>
          <w:b/>
          <w:sz w:val="22"/>
          <w:u w:val="single"/>
        </w:rPr>
      </w:pPr>
      <w:r>
        <w:rPr>
          <w:b/>
          <w:sz w:val="22"/>
          <w:u w:val="single"/>
        </w:rPr>
        <w:br w:type="page"/>
      </w:r>
    </w:p>
    <w:p w:rsidR="00822061" w:rsidRPr="007E12E7" w:rsidRDefault="00822061" w:rsidP="00703FE9">
      <w:pPr>
        <w:spacing w:after="0"/>
        <w:jc w:val="both"/>
        <w:rPr>
          <w:sz w:val="22"/>
        </w:rPr>
      </w:pPr>
      <w:r w:rsidRPr="007E12E7">
        <w:rPr>
          <w:b/>
          <w:sz w:val="22"/>
          <w:u w:val="single"/>
        </w:rPr>
        <w:lastRenderedPageBreak/>
        <w:t>Compliance and Other Matters</w:t>
      </w:r>
    </w:p>
    <w:p w:rsidR="00822061" w:rsidRPr="007E12E7" w:rsidRDefault="00822061" w:rsidP="00703FE9">
      <w:pPr>
        <w:spacing w:after="0"/>
        <w:jc w:val="both"/>
        <w:rPr>
          <w:sz w:val="22"/>
        </w:rPr>
      </w:pPr>
    </w:p>
    <w:p w:rsidR="00822061" w:rsidRPr="007E12E7" w:rsidRDefault="00822061" w:rsidP="00703FE9">
      <w:pPr>
        <w:spacing w:after="0"/>
        <w:jc w:val="both"/>
        <w:rPr>
          <w:sz w:val="22"/>
        </w:rPr>
      </w:pPr>
      <w:r w:rsidRPr="007E12E7">
        <w:rPr>
          <w:sz w:val="22"/>
        </w:rPr>
        <w:t>For Management to o</w:t>
      </w:r>
      <w:r w:rsidR="002D454D" w:rsidRPr="007E12E7">
        <w:rPr>
          <w:sz w:val="22"/>
        </w:rPr>
        <w:t>btain reasonable assurance that</w:t>
      </w:r>
      <w:r w:rsidRPr="007E12E7">
        <w:rPr>
          <w:sz w:val="22"/>
        </w:rPr>
        <w:t xml:space="preserve"> the Company’s overhead schedule is free from material misstatement, Management</w:t>
      </w:r>
      <w:r w:rsidR="002D454D" w:rsidRPr="007E12E7">
        <w:rPr>
          <w:sz w:val="22"/>
        </w:rPr>
        <w:t xml:space="preserve"> reviews</w:t>
      </w:r>
      <w:r w:rsidRPr="007E12E7">
        <w:rPr>
          <w:sz w:val="22"/>
        </w:rPr>
        <w:t xml:space="preserve"> Company’</w:t>
      </w:r>
      <w:r w:rsidR="002D454D" w:rsidRPr="007E12E7">
        <w:rPr>
          <w:sz w:val="22"/>
        </w:rPr>
        <w:t>s policies</w:t>
      </w:r>
      <w:r w:rsidRPr="007E12E7">
        <w:rPr>
          <w:sz w:val="22"/>
        </w:rPr>
        <w:t xml:space="preserve"> and procedures to assure that the Company </w:t>
      </w:r>
      <w:proofErr w:type="gramStart"/>
      <w:r w:rsidRPr="007E12E7">
        <w:rPr>
          <w:sz w:val="22"/>
        </w:rPr>
        <w:t>is in compliance with</w:t>
      </w:r>
      <w:proofErr w:type="gramEnd"/>
      <w:r w:rsidRPr="007E12E7">
        <w:rPr>
          <w:sz w:val="22"/>
        </w:rPr>
        <w:t xml:space="preserve"> certain provisions of laws, regulations, contracts, and grant agreements, including provisions of the applicable sections of Par</w:t>
      </w:r>
      <w:r w:rsidR="004D49F6" w:rsidRPr="007E12E7">
        <w:rPr>
          <w:sz w:val="22"/>
        </w:rPr>
        <w:t>t 31 of the Federal Acquisition</w:t>
      </w:r>
      <w:r w:rsidRPr="007E12E7">
        <w:rPr>
          <w:sz w:val="22"/>
        </w:rPr>
        <w:t xml:space="preserve"> </w:t>
      </w:r>
      <w:r w:rsidR="002D454D" w:rsidRPr="007E12E7">
        <w:rPr>
          <w:sz w:val="22"/>
        </w:rPr>
        <w:t>Regulation</w:t>
      </w:r>
      <w:r w:rsidR="00564D46" w:rsidRPr="007E12E7">
        <w:rPr>
          <w:sz w:val="22"/>
        </w:rPr>
        <w:t>s</w:t>
      </w:r>
      <w:r w:rsidR="002D454D" w:rsidRPr="007E12E7">
        <w:rPr>
          <w:sz w:val="22"/>
        </w:rPr>
        <w:t>. Management recognizes that noncompliance</w:t>
      </w:r>
      <w:r w:rsidRPr="007E12E7">
        <w:rPr>
          <w:sz w:val="22"/>
        </w:rPr>
        <w:t xml:space="preserve"> could have a direct and material effect on the determination of the amounts reported on the overhead schedule.</w:t>
      </w:r>
    </w:p>
    <w:p w:rsidR="002D454D" w:rsidRPr="007E12E7" w:rsidRDefault="002D454D" w:rsidP="00703FE9">
      <w:pPr>
        <w:spacing w:after="0"/>
        <w:jc w:val="both"/>
        <w:rPr>
          <w:sz w:val="22"/>
        </w:rPr>
      </w:pPr>
    </w:p>
    <w:p w:rsidR="002D454D" w:rsidRPr="007E12E7" w:rsidRDefault="002D454D" w:rsidP="00703FE9">
      <w:pPr>
        <w:spacing w:after="0"/>
        <w:jc w:val="both"/>
        <w:rPr>
          <w:sz w:val="22"/>
        </w:rPr>
      </w:pPr>
      <w:r w:rsidRPr="007E12E7">
        <w:rPr>
          <w:sz w:val="22"/>
        </w:rPr>
        <w:t>This report is intended solely for the use and information of the Company and</w:t>
      </w:r>
      <w:r w:rsidR="00564D46" w:rsidRPr="007E12E7">
        <w:rPr>
          <w:sz w:val="22"/>
        </w:rPr>
        <w:t xml:space="preserve"> the</w:t>
      </w:r>
      <w:r w:rsidRPr="007E12E7">
        <w:rPr>
          <w:sz w:val="22"/>
        </w:rPr>
        <w:t xml:space="preserve"> Texas Department of Transportation.  This report should not be used for any other purpose.</w:t>
      </w:r>
    </w:p>
    <w:p w:rsidR="002D454D" w:rsidRPr="007E12E7" w:rsidRDefault="002D454D" w:rsidP="00703FE9">
      <w:pPr>
        <w:spacing w:after="0"/>
        <w:jc w:val="both"/>
        <w:rPr>
          <w:sz w:val="22"/>
        </w:rPr>
      </w:pPr>
    </w:p>
    <w:p w:rsidR="002D454D" w:rsidRPr="007E12E7" w:rsidRDefault="002D454D" w:rsidP="00703FE9">
      <w:pPr>
        <w:spacing w:after="0"/>
        <w:jc w:val="both"/>
        <w:rPr>
          <w:sz w:val="22"/>
        </w:rPr>
      </w:pPr>
    </w:p>
    <w:p w:rsidR="002D454D" w:rsidRPr="007E12E7" w:rsidRDefault="002D454D" w:rsidP="00703FE9">
      <w:pPr>
        <w:spacing w:after="0"/>
        <w:jc w:val="both"/>
        <w:rPr>
          <w:sz w:val="22"/>
        </w:rPr>
      </w:pPr>
      <w:bookmarkStart w:id="3" w:name="_Hlk27569383"/>
      <w:r w:rsidRPr="007E12E7">
        <w:rPr>
          <w:sz w:val="22"/>
        </w:rPr>
        <w:t>___________________________________</w:t>
      </w:r>
      <w:r w:rsidR="00247B41">
        <w:rPr>
          <w:sz w:val="22"/>
        </w:rPr>
        <w:t>__________</w:t>
      </w:r>
    </w:p>
    <w:bookmarkEnd w:id="3"/>
    <w:p w:rsidR="007E12E7" w:rsidRPr="007E12E7" w:rsidRDefault="002D454D" w:rsidP="007E12E7">
      <w:pPr>
        <w:spacing w:after="0"/>
        <w:jc w:val="both"/>
        <w:rPr>
          <w:sz w:val="22"/>
        </w:rPr>
      </w:pPr>
      <w:r w:rsidRPr="007E12E7">
        <w:rPr>
          <w:sz w:val="22"/>
        </w:rPr>
        <w:t>(Signature of Official Representative of Firm)</w:t>
      </w:r>
    </w:p>
    <w:p w:rsidR="007E12E7" w:rsidRPr="00EF45AD" w:rsidRDefault="007E12E7" w:rsidP="007E12E7">
      <w:pPr>
        <w:spacing w:after="0"/>
        <w:jc w:val="both"/>
        <w:rPr>
          <w:color w:val="FF0000"/>
          <w:sz w:val="22"/>
        </w:rPr>
      </w:pPr>
    </w:p>
    <w:p w:rsidR="00355084" w:rsidRDefault="007E12E7" w:rsidP="00703FE9">
      <w:pPr>
        <w:spacing w:after="0"/>
        <w:jc w:val="both"/>
        <w:rPr>
          <w:color w:val="FF0000"/>
          <w:sz w:val="22"/>
        </w:rPr>
      </w:pPr>
      <w:r w:rsidRPr="00EF45AD">
        <w:rPr>
          <w:color w:val="FF0000"/>
          <w:sz w:val="22"/>
        </w:rPr>
        <w:softHyphen/>
      </w:r>
      <w:r w:rsidRPr="00EF45AD">
        <w:rPr>
          <w:color w:val="FF0000"/>
          <w:sz w:val="22"/>
        </w:rPr>
        <w:softHyphen/>
      </w:r>
      <w:r w:rsidRPr="00EF45AD">
        <w:rPr>
          <w:color w:val="FF0000"/>
          <w:sz w:val="22"/>
        </w:rPr>
        <w:softHyphen/>
      </w:r>
      <w:r w:rsidRPr="00EF45AD">
        <w:rPr>
          <w:color w:val="FF0000"/>
          <w:sz w:val="22"/>
        </w:rPr>
        <w:softHyphen/>
      </w:r>
      <w:r w:rsidRPr="00EF45AD">
        <w:rPr>
          <w:color w:val="FF0000"/>
          <w:sz w:val="22"/>
        </w:rPr>
        <w:softHyphen/>
      </w:r>
      <w:r w:rsidRPr="00EF45AD">
        <w:rPr>
          <w:color w:val="FF0000"/>
          <w:sz w:val="22"/>
        </w:rPr>
        <w:softHyphen/>
      </w:r>
      <w:r w:rsidRPr="00EF45AD">
        <w:rPr>
          <w:color w:val="FF0000"/>
          <w:sz w:val="22"/>
        </w:rPr>
        <w:softHyphen/>
      </w:r>
      <w:r w:rsidRPr="00EF45AD">
        <w:rPr>
          <w:color w:val="FF0000"/>
          <w:sz w:val="22"/>
        </w:rPr>
        <w:softHyphen/>
      </w:r>
      <w:r w:rsidRPr="00EF45AD">
        <w:rPr>
          <w:color w:val="FF0000"/>
          <w:sz w:val="22"/>
        </w:rPr>
        <w:softHyphen/>
      </w:r>
      <w:r w:rsidRPr="00EF45AD">
        <w:rPr>
          <w:color w:val="FF0000"/>
          <w:sz w:val="22"/>
        </w:rPr>
        <w:softHyphen/>
      </w:r>
      <w:r w:rsidR="008E1322" w:rsidRPr="00E03992">
        <w:rPr>
          <w:b/>
          <w:i/>
          <w:sz w:val="22"/>
        </w:rPr>
        <w:fldChar w:fldCharType="begin">
          <w:ffData>
            <w:name w:val="Text4"/>
            <w:enabled/>
            <w:calcOnExit w:val="0"/>
            <w:textInput>
              <w:default w:val="Legal Name of Firm"/>
            </w:textInput>
          </w:ffData>
        </w:fldChar>
      </w:r>
      <w:bookmarkStart w:id="4" w:name="Text4"/>
      <w:r w:rsidR="008E1322" w:rsidRPr="00E03992">
        <w:rPr>
          <w:b/>
          <w:i/>
          <w:sz w:val="22"/>
        </w:rPr>
        <w:instrText xml:space="preserve"> FORMTEXT </w:instrText>
      </w:r>
      <w:r w:rsidR="008E1322" w:rsidRPr="00E03992">
        <w:rPr>
          <w:b/>
          <w:i/>
          <w:sz w:val="22"/>
        </w:rPr>
      </w:r>
      <w:r w:rsidR="008E1322" w:rsidRPr="00E03992">
        <w:rPr>
          <w:b/>
          <w:i/>
          <w:sz w:val="22"/>
        </w:rPr>
        <w:fldChar w:fldCharType="separate"/>
      </w:r>
      <w:r w:rsidR="008E1322" w:rsidRPr="00E03992">
        <w:rPr>
          <w:b/>
          <w:i/>
          <w:noProof/>
          <w:sz w:val="22"/>
        </w:rPr>
        <w:t>Legal Name of Firm</w:t>
      </w:r>
      <w:r w:rsidR="008E1322" w:rsidRPr="00E03992">
        <w:rPr>
          <w:b/>
          <w:i/>
          <w:sz w:val="22"/>
        </w:rPr>
        <w:fldChar w:fldCharType="end"/>
      </w:r>
      <w:bookmarkEnd w:id="4"/>
    </w:p>
    <w:p w:rsidR="002D454D" w:rsidRDefault="002D454D" w:rsidP="00703FE9">
      <w:pPr>
        <w:spacing w:after="0"/>
        <w:jc w:val="both"/>
        <w:rPr>
          <w:sz w:val="22"/>
        </w:rPr>
      </w:pPr>
    </w:p>
    <w:p w:rsidR="00023A32" w:rsidRPr="007E12E7" w:rsidRDefault="00023A32" w:rsidP="00703FE9">
      <w:pPr>
        <w:spacing w:after="0"/>
        <w:jc w:val="both"/>
        <w:rPr>
          <w:sz w:val="22"/>
        </w:rPr>
      </w:pPr>
    </w:p>
    <w:p w:rsidR="002D454D" w:rsidRPr="007E12E7" w:rsidRDefault="002D454D" w:rsidP="00703FE9">
      <w:pPr>
        <w:spacing w:after="0"/>
        <w:jc w:val="both"/>
        <w:rPr>
          <w:sz w:val="22"/>
        </w:rPr>
      </w:pPr>
      <w:r w:rsidRPr="007E12E7">
        <w:rPr>
          <w:sz w:val="22"/>
        </w:rPr>
        <w:t xml:space="preserve">DATE:  </w:t>
      </w:r>
      <w:r w:rsidR="00355084">
        <w:rPr>
          <w:sz w:val="22"/>
        </w:rPr>
        <w:fldChar w:fldCharType="begin">
          <w:ffData>
            <w:name w:val="Text5"/>
            <w:enabled/>
            <w:calcOnExit w:val="0"/>
            <w:textInput/>
          </w:ffData>
        </w:fldChar>
      </w:r>
      <w:bookmarkStart w:id="5" w:name="Text5"/>
      <w:r w:rsidR="00355084">
        <w:rPr>
          <w:sz w:val="22"/>
        </w:rPr>
        <w:instrText xml:space="preserve"> FORMTEXT </w:instrText>
      </w:r>
      <w:r w:rsidR="00355084">
        <w:rPr>
          <w:sz w:val="22"/>
        </w:rPr>
      </w:r>
      <w:r w:rsidR="00355084">
        <w:rPr>
          <w:sz w:val="22"/>
        </w:rPr>
        <w:fldChar w:fldCharType="separate"/>
      </w:r>
      <w:r w:rsidR="00355084">
        <w:rPr>
          <w:noProof/>
          <w:sz w:val="22"/>
        </w:rPr>
        <w:t> </w:t>
      </w:r>
      <w:r w:rsidR="00355084">
        <w:rPr>
          <w:noProof/>
          <w:sz w:val="22"/>
        </w:rPr>
        <w:t> </w:t>
      </w:r>
      <w:r w:rsidR="00355084">
        <w:rPr>
          <w:noProof/>
          <w:sz w:val="22"/>
        </w:rPr>
        <w:t> </w:t>
      </w:r>
      <w:r w:rsidR="00355084">
        <w:rPr>
          <w:noProof/>
          <w:sz w:val="22"/>
        </w:rPr>
        <w:t> </w:t>
      </w:r>
      <w:r w:rsidR="00355084">
        <w:rPr>
          <w:noProof/>
          <w:sz w:val="22"/>
        </w:rPr>
        <w:t> </w:t>
      </w:r>
      <w:r w:rsidR="00355084">
        <w:rPr>
          <w:sz w:val="22"/>
        </w:rPr>
        <w:fldChar w:fldCharType="end"/>
      </w:r>
      <w:bookmarkEnd w:id="5"/>
    </w:p>
    <w:p w:rsidR="002D454D" w:rsidRPr="007E12E7" w:rsidRDefault="002D454D" w:rsidP="00703FE9">
      <w:pPr>
        <w:spacing w:after="0"/>
        <w:jc w:val="both"/>
        <w:rPr>
          <w:sz w:val="22"/>
        </w:rPr>
      </w:pPr>
    </w:p>
    <w:p w:rsidR="002D454D" w:rsidRPr="007E12E7" w:rsidRDefault="002D454D" w:rsidP="00703FE9">
      <w:pPr>
        <w:spacing w:after="0"/>
        <w:jc w:val="both"/>
        <w:rPr>
          <w:sz w:val="22"/>
        </w:rPr>
      </w:pPr>
    </w:p>
    <w:p w:rsidR="002D454D" w:rsidRPr="007E12E7" w:rsidRDefault="002D454D" w:rsidP="00703FE9">
      <w:pPr>
        <w:spacing w:after="0"/>
        <w:jc w:val="both"/>
        <w:rPr>
          <w:sz w:val="22"/>
        </w:rPr>
      </w:pPr>
      <w:r w:rsidRPr="007E12E7">
        <w:rPr>
          <w:sz w:val="22"/>
        </w:rPr>
        <w:t>STATE OF TEXAS</w:t>
      </w:r>
    </w:p>
    <w:p w:rsidR="002D454D" w:rsidRPr="007E12E7" w:rsidRDefault="002D454D" w:rsidP="00703FE9">
      <w:pPr>
        <w:spacing w:after="0"/>
        <w:jc w:val="both"/>
        <w:rPr>
          <w:sz w:val="22"/>
        </w:rPr>
      </w:pPr>
      <w:r w:rsidRPr="007E12E7">
        <w:rPr>
          <w:sz w:val="22"/>
        </w:rPr>
        <w:t xml:space="preserve">COUNTY OF </w:t>
      </w:r>
      <w:r w:rsidR="00355084">
        <w:rPr>
          <w:sz w:val="22"/>
        </w:rPr>
        <w:fldChar w:fldCharType="begin">
          <w:ffData>
            <w:name w:val="Text6"/>
            <w:enabled/>
            <w:calcOnExit w:val="0"/>
            <w:textInput>
              <w:format w:val="UPPERCASE"/>
            </w:textInput>
          </w:ffData>
        </w:fldChar>
      </w:r>
      <w:bookmarkStart w:id="6" w:name="Text6"/>
      <w:r w:rsidR="00355084">
        <w:rPr>
          <w:sz w:val="22"/>
        </w:rPr>
        <w:instrText xml:space="preserve"> FORMTEXT </w:instrText>
      </w:r>
      <w:r w:rsidR="00355084">
        <w:rPr>
          <w:sz w:val="22"/>
        </w:rPr>
      </w:r>
      <w:r w:rsidR="00355084">
        <w:rPr>
          <w:sz w:val="22"/>
        </w:rPr>
        <w:fldChar w:fldCharType="separate"/>
      </w:r>
      <w:r w:rsidR="00355084">
        <w:rPr>
          <w:noProof/>
          <w:sz w:val="22"/>
        </w:rPr>
        <w:t> </w:t>
      </w:r>
      <w:r w:rsidR="00355084">
        <w:rPr>
          <w:noProof/>
          <w:sz w:val="22"/>
        </w:rPr>
        <w:t> </w:t>
      </w:r>
      <w:r w:rsidR="00355084">
        <w:rPr>
          <w:noProof/>
          <w:sz w:val="22"/>
        </w:rPr>
        <w:t> </w:t>
      </w:r>
      <w:r w:rsidR="00355084">
        <w:rPr>
          <w:noProof/>
          <w:sz w:val="22"/>
        </w:rPr>
        <w:t> </w:t>
      </w:r>
      <w:r w:rsidR="00355084">
        <w:rPr>
          <w:noProof/>
          <w:sz w:val="22"/>
        </w:rPr>
        <w:t> </w:t>
      </w:r>
      <w:r w:rsidR="00355084">
        <w:rPr>
          <w:sz w:val="22"/>
        </w:rPr>
        <w:fldChar w:fldCharType="end"/>
      </w:r>
      <w:bookmarkEnd w:id="6"/>
    </w:p>
    <w:p w:rsidR="002D454D" w:rsidRPr="007E12E7" w:rsidRDefault="002D454D" w:rsidP="00703FE9">
      <w:pPr>
        <w:spacing w:after="0"/>
        <w:jc w:val="both"/>
        <w:rPr>
          <w:sz w:val="22"/>
        </w:rPr>
      </w:pPr>
    </w:p>
    <w:p w:rsidR="002D454D" w:rsidRPr="007E12E7" w:rsidRDefault="002D454D" w:rsidP="00703FE9">
      <w:pPr>
        <w:spacing w:after="0"/>
        <w:jc w:val="both"/>
        <w:rPr>
          <w:sz w:val="22"/>
        </w:rPr>
      </w:pPr>
      <w:r w:rsidRPr="007E12E7">
        <w:rPr>
          <w:sz w:val="22"/>
        </w:rPr>
        <w:t xml:space="preserve">SUBSCRIBED AND SWORN BEFORE ME ON THIS THE </w:t>
      </w:r>
      <w:r w:rsidR="00355084">
        <w:rPr>
          <w:sz w:val="22"/>
        </w:rPr>
        <w:fldChar w:fldCharType="begin">
          <w:ffData>
            <w:name w:val="Text7"/>
            <w:enabled/>
            <w:calcOnExit w:val="0"/>
            <w:textInput/>
          </w:ffData>
        </w:fldChar>
      </w:r>
      <w:bookmarkStart w:id="7" w:name="Text7"/>
      <w:r w:rsidR="00355084">
        <w:rPr>
          <w:sz w:val="22"/>
        </w:rPr>
        <w:instrText xml:space="preserve"> FORMTEXT </w:instrText>
      </w:r>
      <w:r w:rsidR="00355084">
        <w:rPr>
          <w:sz w:val="22"/>
        </w:rPr>
      </w:r>
      <w:r w:rsidR="00355084">
        <w:rPr>
          <w:sz w:val="22"/>
        </w:rPr>
        <w:fldChar w:fldCharType="separate"/>
      </w:r>
      <w:r w:rsidR="00355084">
        <w:rPr>
          <w:noProof/>
          <w:sz w:val="22"/>
        </w:rPr>
        <w:t> </w:t>
      </w:r>
      <w:r w:rsidR="00355084">
        <w:rPr>
          <w:noProof/>
          <w:sz w:val="22"/>
        </w:rPr>
        <w:t> </w:t>
      </w:r>
      <w:r w:rsidR="00355084">
        <w:rPr>
          <w:noProof/>
          <w:sz w:val="22"/>
        </w:rPr>
        <w:t> </w:t>
      </w:r>
      <w:r w:rsidR="00355084">
        <w:rPr>
          <w:noProof/>
          <w:sz w:val="22"/>
        </w:rPr>
        <w:t> </w:t>
      </w:r>
      <w:r w:rsidR="00355084">
        <w:rPr>
          <w:noProof/>
          <w:sz w:val="22"/>
        </w:rPr>
        <w:t> </w:t>
      </w:r>
      <w:r w:rsidR="00355084">
        <w:rPr>
          <w:sz w:val="22"/>
        </w:rPr>
        <w:fldChar w:fldCharType="end"/>
      </w:r>
      <w:bookmarkEnd w:id="7"/>
      <w:r w:rsidR="00355084">
        <w:rPr>
          <w:sz w:val="22"/>
        </w:rPr>
        <w:t xml:space="preserve"> </w:t>
      </w:r>
      <w:r w:rsidRPr="007E12E7">
        <w:rPr>
          <w:sz w:val="22"/>
        </w:rPr>
        <w:t xml:space="preserve">DAY OF </w:t>
      </w:r>
      <w:r w:rsidR="00355084">
        <w:rPr>
          <w:sz w:val="22"/>
        </w:rPr>
        <w:fldChar w:fldCharType="begin">
          <w:ffData>
            <w:name w:val="Text8"/>
            <w:enabled/>
            <w:calcOnExit w:val="0"/>
            <w:textInput>
              <w:format w:val="UPPERCASE"/>
            </w:textInput>
          </w:ffData>
        </w:fldChar>
      </w:r>
      <w:bookmarkStart w:id="8" w:name="Text8"/>
      <w:r w:rsidR="00355084">
        <w:rPr>
          <w:sz w:val="22"/>
        </w:rPr>
        <w:instrText xml:space="preserve"> FORMTEXT </w:instrText>
      </w:r>
      <w:r w:rsidR="00355084">
        <w:rPr>
          <w:sz w:val="22"/>
        </w:rPr>
      </w:r>
      <w:r w:rsidR="00355084">
        <w:rPr>
          <w:sz w:val="22"/>
        </w:rPr>
        <w:fldChar w:fldCharType="separate"/>
      </w:r>
      <w:r w:rsidR="00355084">
        <w:rPr>
          <w:noProof/>
          <w:sz w:val="22"/>
        </w:rPr>
        <w:t> </w:t>
      </w:r>
      <w:r w:rsidR="00355084">
        <w:rPr>
          <w:noProof/>
          <w:sz w:val="22"/>
        </w:rPr>
        <w:t> </w:t>
      </w:r>
      <w:r w:rsidR="00355084">
        <w:rPr>
          <w:noProof/>
          <w:sz w:val="22"/>
        </w:rPr>
        <w:t> </w:t>
      </w:r>
      <w:r w:rsidR="00355084">
        <w:rPr>
          <w:noProof/>
          <w:sz w:val="22"/>
        </w:rPr>
        <w:t> </w:t>
      </w:r>
      <w:r w:rsidR="00355084">
        <w:rPr>
          <w:noProof/>
          <w:sz w:val="22"/>
        </w:rPr>
        <w:t> </w:t>
      </w:r>
      <w:r w:rsidR="00355084">
        <w:rPr>
          <w:sz w:val="22"/>
        </w:rPr>
        <w:fldChar w:fldCharType="end"/>
      </w:r>
      <w:bookmarkEnd w:id="8"/>
      <w:r w:rsidRPr="007E12E7">
        <w:rPr>
          <w:sz w:val="22"/>
        </w:rPr>
        <w:t>, 20</w:t>
      </w:r>
      <w:r w:rsidR="00355084">
        <w:rPr>
          <w:sz w:val="22"/>
        </w:rPr>
        <w:fldChar w:fldCharType="begin">
          <w:ffData>
            <w:name w:val="Text9"/>
            <w:enabled/>
            <w:calcOnExit w:val="0"/>
            <w:textInput/>
          </w:ffData>
        </w:fldChar>
      </w:r>
      <w:bookmarkStart w:id="9" w:name="Text9"/>
      <w:r w:rsidR="00355084">
        <w:rPr>
          <w:sz w:val="22"/>
        </w:rPr>
        <w:instrText xml:space="preserve"> FORMTEXT </w:instrText>
      </w:r>
      <w:r w:rsidR="00355084">
        <w:rPr>
          <w:sz w:val="22"/>
        </w:rPr>
      </w:r>
      <w:r w:rsidR="00355084">
        <w:rPr>
          <w:sz w:val="22"/>
        </w:rPr>
        <w:fldChar w:fldCharType="separate"/>
      </w:r>
      <w:r w:rsidR="00355084">
        <w:rPr>
          <w:noProof/>
          <w:sz w:val="22"/>
        </w:rPr>
        <w:t> </w:t>
      </w:r>
      <w:r w:rsidR="00355084">
        <w:rPr>
          <w:noProof/>
          <w:sz w:val="22"/>
        </w:rPr>
        <w:t> </w:t>
      </w:r>
      <w:r w:rsidR="00355084">
        <w:rPr>
          <w:noProof/>
          <w:sz w:val="22"/>
        </w:rPr>
        <w:t> </w:t>
      </w:r>
      <w:r w:rsidR="00355084">
        <w:rPr>
          <w:noProof/>
          <w:sz w:val="22"/>
        </w:rPr>
        <w:t> </w:t>
      </w:r>
      <w:r w:rsidR="00355084">
        <w:rPr>
          <w:noProof/>
          <w:sz w:val="22"/>
        </w:rPr>
        <w:t> </w:t>
      </w:r>
      <w:r w:rsidR="00355084">
        <w:rPr>
          <w:sz w:val="22"/>
        </w:rPr>
        <w:fldChar w:fldCharType="end"/>
      </w:r>
      <w:bookmarkEnd w:id="9"/>
    </w:p>
    <w:p w:rsidR="009F6A22" w:rsidRDefault="009F6A22" w:rsidP="009F6A22">
      <w:pPr>
        <w:spacing w:after="0"/>
        <w:jc w:val="both"/>
        <w:rPr>
          <w:sz w:val="22"/>
        </w:rPr>
      </w:pPr>
    </w:p>
    <w:p w:rsidR="009F6A22" w:rsidRDefault="009F6A22" w:rsidP="009F6A22">
      <w:pPr>
        <w:spacing w:after="0"/>
        <w:jc w:val="both"/>
        <w:rPr>
          <w:sz w:val="22"/>
        </w:rPr>
      </w:pPr>
    </w:p>
    <w:p w:rsidR="009F6A22" w:rsidRPr="007E12E7" w:rsidRDefault="009F6A22" w:rsidP="009F6A22">
      <w:pPr>
        <w:spacing w:after="0"/>
        <w:jc w:val="both"/>
        <w:rPr>
          <w:sz w:val="22"/>
        </w:rPr>
      </w:pPr>
      <w:r w:rsidRPr="007E12E7">
        <w:rPr>
          <w:sz w:val="22"/>
        </w:rPr>
        <w:t>___________________________________</w:t>
      </w:r>
      <w:r>
        <w:rPr>
          <w:sz w:val="22"/>
        </w:rPr>
        <w:t>__________</w:t>
      </w:r>
    </w:p>
    <w:p w:rsidR="002D454D" w:rsidRPr="007E12E7" w:rsidRDefault="002D454D" w:rsidP="00EE5A94">
      <w:pPr>
        <w:spacing w:after="0"/>
        <w:jc w:val="both"/>
        <w:rPr>
          <w:sz w:val="22"/>
        </w:rPr>
      </w:pPr>
      <w:r w:rsidRPr="007E12E7">
        <w:rPr>
          <w:sz w:val="22"/>
        </w:rPr>
        <w:t>Notary Public:</w:t>
      </w:r>
      <w:r w:rsidR="009F6A22">
        <w:rPr>
          <w:sz w:val="22"/>
        </w:rPr>
        <w:fldChar w:fldCharType="begin">
          <w:ffData>
            <w:name w:val="Text12"/>
            <w:enabled/>
            <w:calcOnExit w:val="0"/>
            <w:textInput>
              <w:default w:val="Print Name"/>
            </w:textInput>
          </w:ffData>
        </w:fldChar>
      </w:r>
      <w:bookmarkStart w:id="10" w:name="Text12"/>
      <w:r w:rsidR="009F6A22">
        <w:rPr>
          <w:sz w:val="22"/>
        </w:rPr>
        <w:instrText xml:space="preserve"> FORMTEXT </w:instrText>
      </w:r>
      <w:r w:rsidR="009F6A22">
        <w:rPr>
          <w:sz w:val="22"/>
        </w:rPr>
      </w:r>
      <w:r w:rsidR="009F6A22">
        <w:rPr>
          <w:sz w:val="22"/>
        </w:rPr>
        <w:fldChar w:fldCharType="separate"/>
      </w:r>
      <w:r w:rsidR="009F6A22">
        <w:rPr>
          <w:noProof/>
          <w:sz w:val="22"/>
        </w:rPr>
        <w:t>Print Name</w:t>
      </w:r>
      <w:r w:rsidR="009F6A22">
        <w:rPr>
          <w:sz w:val="22"/>
        </w:rPr>
        <w:fldChar w:fldCharType="end"/>
      </w:r>
      <w:bookmarkEnd w:id="10"/>
      <w:r w:rsidR="009F6A22">
        <w:rPr>
          <w:sz w:val="22"/>
        </w:rPr>
        <w:tab/>
      </w:r>
      <w:r w:rsidR="009F6A22">
        <w:rPr>
          <w:sz w:val="22"/>
        </w:rPr>
        <w:tab/>
      </w:r>
      <w:r w:rsidR="009F6A22">
        <w:rPr>
          <w:sz w:val="22"/>
        </w:rPr>
        <w:tab/>
      </w:r>
      <w:r w:rsidR="009F6A22">
        <w:rPr>
          <w:sz w:val="22"/>
        </w:rPr>
        <w:tab/>
      </w:r>
      <w:r w:rsidR="009F6A22">
        <w:rPr>
          <w:sz w:val="22"/>
        </w:rPr>
        <w:tab/>
      </w:r>
      <w:r w:rsidR="009F6A22">
        <w:rPr>
          <w:sz w:val="22"/>
        </w:rPr>
        <w:tab/>
      </w:r>
      <w:r w:rsidR="009F6A22">
        <w:rPr>
          <w:sz w:val="22"/>
        </w:rPr>
        <w:tab/>
      </w:r>
      <w:r w:rsidR="009F6A22" w:rsidRPr="009F6A22">
        <w:rPr>
          <w:sz w:val="22"/>
        </w:rPr>
        <w:t>(NOTARY SEAL)</w:t>
      </w:r>
    </w:p>
    <w:p w:rsidR="00EE5A94" w:rsidRPr="007E12E7" w:rsidRDefault="00EE5A94" w:rsidP="00703FE9">
      <w:pPr>
        <w:spacing w:after="0"/>
        <w:jc w:val="both"/>
        <w:rPr>
          <w:sz w:val="22"/>
        </w:rPr>
      </w:pPr>
    </w:p>
    <w:p w:rsidR="002D454D" w:rsidRPr="007E12E7" w:rsidRDefault="002D454D" w:rsidP="00703FE9">
      <w:pPr>
        <w:spacing w:after="0"/>
        <w:jc w:val="both"/>
        <w:rPr>
          <w:sz w:val="22"/>
        </w:rPr>
      </w:pPr>
      <w:r w:rsidRPr="007E12E7">
        <w:rPr>
          <w:sz w:val="22"/>
        </w:rPr>
        <w:t>My C</w:t>
      </w:r>
      <w:r w:rsidR="00571B7A" w:rsidRPr="007E12E7">
        <w:rPr>
          <w:sz w:val="22"/>
        </w:rPr>
        <w:t>ommission Expires</w:t>
      </w:r>
      <w:r w:rsidR="00355084">
        <w:rPr>
          <w:sz w:val="22"/>
        </w:rPr>
        <w:t xml:space="preserve"> </w:t>
      </w:r>
      <w:r w:rsidR="00355084">
        <w:rPr>
          <w:sz w:val="22"/>
        </w:rPr>
        <w:fldChar w:fldCharType="begin">
          <w:ffData>
            <w:name w:val="Text11"/>
            <w:enabled/>
            <w:calcOnExit w:val="0"/>
            <w:textInput/>
          </w:ffData>
        </w:fldChar>
      </w:r>
      <w:bookmarkStart w:id="11" w:name="Text11"/>
      <w:r w:rsidR="00355084">
        <w:rPr>
          <w:sz w:val="22"/>
        </w:rPr>
        <w:instrText xml:space="preserve"> FORMTEXT </w:instrText>
      </w:r>
      <w:r w:rsidR="00355084">
        <w:rPr>
          <w:sz w:val="22"/>
        </w:rPr>
      </w:r>
      <w:r w:rsidR="00355084">
        <w:rPr>
          <w:sz w:val="22"/>
        </w:rPr>
        <w:fldChar w:fldCharType="separate"/>
      </w:r>
      <w:r w:rsidR="00355084">
        <w:rPr>
          <w:noProof/>
          <w:sz w:val="22"/>
        </w:rPr>
        <w:t> </w:t>
      </w:r>
      <w:r w:rsidR="00355084">
        <w:rPr>
          <w:noProof/>
          <w:sz w:val="22"/>
        </w:rPr>
        <w:t> </w:t>
      </w:r>
      <w:r w:rsidR="00355084">
        <w:rPr>
          <w:noProof/>
          <w:sz w:val="22"/>
        </w:rPr>
        <w:t> </w:t>
      </w:r>
      <w:r w:rsidR="00355084">
        <w:rPr>
          <w:noProof/>
          <w:sz w:val="22"/>
        </w:rPr>
        <w:t> </w:t>
      </w:r>
      <w:r w:rsidR="00355084">
        <w:rPr>
          <w:noProof/>
          <w:sz w:val="22"/>
        </w:rPr>
        <w:t> </w:t>
      </w:r>
      <w:r w:rsidR="00355084">
        <w:rPr>
          <w:sz w:val="22"/>
        </w:rPr>
        <w:fldChar w:fldCharType="end"/>
      </w:r>
      <w:bookmarkEnd w:id="11"/>
    </w:p>
    <w:p w:rsidR="00EE5A94" w:rsidRPr="003C78CB" w:rsidRDefault="00EE5A94" w:rsidP="00703FE9">
      <w:pPr>
        <w:spacing w:after="0"/>
        <w:jc w:val="both"/>
        <w:rPr>
          <w:szCs w:val="24"/>
        </w:rPr>
      </w:pPr>
      <w:bookmarkStart w:id="12" w:name="_GoBack"/>
      <w:bookmarkEnd w:id="12"/>
    </w:p>
    <w:sectPr w:rsidR="00EE5A94" w:rsidRPr="003C78CB" w:rsidSect="00355084">
      <w:footerReference w:type="default" r:id="rId7"/>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322" w:rsidRDefault="008E1322" w:rsidP="004949AD">
      <w:pPr>
        <w:spacing w:after="0" w:line="240" w:lineRule="auto"/>
      </w:pPr>
      <w:r>
        <w:separator/>
      </w:r>
    </w:p>
  </w:endnote>
  <w:endnote w:type="continuationSeparator" w:id="0">
    <w:p w:rsidR="008E1322" w:rsidRDefault="008E1322" w:rsidP="0049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22" w:rsidRPr="00247B41" w:rsidRDefault="008E1322" w:rsidP="00247B41">
    <w:pPr>
      <w:pStyle w:val="Footer"/>
      <w:tabs>
        <w:tab w:val="clear" w:pos="4680"/>
        <w:tab w:val="clear" w:pos="9360"/>
        <w:tab w:val="left" w:pos="4320"/>
      </w:tabs>
      <w:rPr>
        <w:rFonts w:ascii="Franklin Gothic Book" w:hAnsi="Franklin Gothic Book"/>
        <w:sz w:val="18"/>
        <w:szCs w:val="18"/>
      </w:rPr>
    </w:pPr>
    <w:r w:rsidRPr="00247B41">
      <w:rPr>
        <w:rFonts w:ascii="Franklin Gothic Book" w:hAnsi="Franklin Gothic Book"/>
        <w:sz w:val="18"/>
        <w:szCs w:val="18"/>
      </w:rPr>
      <w:t>December 2019</w:t>
    </w:r>
    <w:r w:rsidRPr="00247B41">
      <w:rPr>
        <w:rFonts w:ascii="Franklin Gothic Book" w:hAnsi="Franklin Gothic Book"/>
        <w:sz w:val="18"/>
        <w:szCs w:val="18"/>
      </w:rPr>
      <w:tab/>
      <w:t xml:space="preserve">Page </w:t>
    </w:r>
    <w:r w:rsidRPr="00247B41">
      <w:rPr>
        <w:rFonts w:ascii="Franklin Gothic Book" w:hAnsi="Franklin Gothic Book"/>
        <w:bCs/>
        <w:sz w:val="18"/>
        <w:szCs w:val="18"/>
      </w:rPr>
      <w:fldChar w:fldCharType="begin"/>
    </w:r>
    <w:r w:rsidRPr="00247B41">
      <w:rPr>
        <w:rFonts w:ascii="Franklin Gothic Book" w:hAnsi="Franklin Gothic Book"/>
        <w:bCs/>
        <w:sz w:val="18"/>
        <w:szCs w:val="18"/>
      </w:rPr>
      <w:instrText xml:space="preserve"> PAGE  \* Arabic  \* MERGEFORMAT </w:instrText>
    </w:r>
    <w:r w:rsidRPr="00247B41">
      <w:rPr>
        <w:rFonts w:ascii="Franklin Gothic Book" w:hAnsi="Franklin Gothic Book"/>
        <w:bCs/>
        <w:sz w:val="18"/>
        <w:szCs w:val="18"/>
      </w:rPr>
      <w:fldChar w:fldCharType="separate"/>
    </w:r>
    <w:r w:rsidR="009F6A22">
      <w:rPr>
        <w:rFonts w:ascii="Franklin Gothic Book" w:hAnsi="Franklin Gothic Book"/>
        <w:bCs/>
        <w:noProof/>
        <w:sz w:val="18"/>
        <w:szCs w:val="18"/>
      </w:rPr>
      <w:t>2</w:t>
    </w:r>
    <w:r w:rsidRPr="00247B41">
      <w:rPr>
        <w:rFonts w:ascii="Franklin Gothic Book" w:hAnsi="Franklin Gothic Book"/>
        <w:bCs/>
        <w:sz w:val="18"/>
        <w:szCs w:val="18"/>
      </w:rPr>
      <w:fldChar w:fldCharType="end"/>
    </w:r>
    <w:r w:rsidRPr="00247B41">
      <w:rPr>
        <w:rFonts w:ascii="Franklin Gothic Book" w:hAnsi="Franklin Gothic Book"/>
        <w:sz w:val="18"/>
        <w:szCs w:val="18"/>
      </w:rPr>
      <w:t xml:space="preserve"> of </w:t>
    </w:r>
    <w:r w:rsidRPr="00247B41">
      <w:rPr>
        <w:rFonts w:ascii="Franklin Gothic Book" w:hAnsi="Franklin Gothic Book"/>
        <w:bCs/>
        <w:sz w:val="18"/>
        <w:szCs w:val="18"/>
      </w:rPr>
      <w:fldChar w:fldCharType="begin"/>
    </w:r>
    <w:r w:rsidRPr="00247B41">
      <w:rPr>
        <w:rFonts w:ascii="Franklin Gothic Book" w:hAnsi="Franklin Gothic Book"/>
        <w:bCs/>
        <w:sz w:val="18"/>
        <w:szCs w:val="18"/>
      </w:rPr>
      <w:instrText xml:space="preserve"> NUMPAGES  \* Arabic  \* MERGEFORMAT </w:instrText>
    </w:r>
    <w:r w:rsidRPr="00247B41">
      <w:rPr>
        <w:rFonts w:ascii="Franklin Gothic Book" w:hAnsi="Franklin Gothic Book"/>
        <w:bCs/>
        <w:sz w:val="18"/>
        <w:szCs w:val="18"/>
      </w:rPr>
      <w:fldChar w:fldCharType="separate"/>
    </w:r>
    <w:r w:rsidR="009F6A22">
      <w:rPr>
        <w:rFonts w:ascii="Franklin Gothic Book" w:hAnsi="Franklin Gothic Book"/>
        <w:bCs/>
        <w:noProof/>
        <w:sz w:val="18"/>
        <w:szCs w:val="18"/>
      </w:rPr>
      <w:t>2</w:t>
    </w:r>
    <w:r w:rsidRPr="00247B41">
      <w:rPr>
        <w:rFonts w:ascii="Franklin Gothic Book" w:hAnsi="Franklin Gothic Book"/>
        <w:bCs/>
        <w:sz w:val="18"/>
        <w:szCs w:val="18"/>
      </w:rPr>
      <w:fldChar w:fldCharType="end"/>
    </w:r>
  </w:p>
  <w:p w:rsidR="008E1322" w:rsidRPr="00247B41" w:rsidRDefault="008E1322" w:rsidP="00247B41">
    <w:pPr>
      <w:pStyle w:val="Footer"/>
      <w:tabs>
        <w:tab w:val="clear" w:pos="4680"/>
        <w:tab w:val="clear" w:pos="9360"/>
        <w:tab w:val="left" w:pos="5040"/>
      </w:tabs>
      <w:rPr>
        <w:rFonts w:ascii="Franklin Gothic Book" w:hAnsi="Franklin Gothic Book"/>
        <w:sz w:val="18"/>
        <w:szCs w:val="18"/>
      </w:rPr>
    </w:pPr>
    <w:r w:rsidRPr="00247B41">
      <w:rPr>
        <w:rFonts w:ascii="Franklin Gothic Book" w:hAnsi="Franklin Gothic Book"/>
        <w:sz w:val="18"/>
        <w:szCs w:val="18"/>
      </w:rPr>
      <w:t>Attachment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322" w:rsidRDefault="008E1322" w:rsidP="004949AD">
      <w:pPr>
        <w:spacing w:after="0" w:line="240" w:lineRule="auto"/>
      </w:pPr>
      <w:r>
        <w:separator/>
      </w:r>
    </w:p>
  </w:footnote>
  <w:footnote w:type="continuationSeparator" w:id="0">
    <w:p w:rsidR="008E1322" w:rsidRDefault="008E1322" w:rsidP="00494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12B"/>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31D61B49"/>
    <w:multiLevelType w:val="multilevel"/>
    <w:tmpl w:val="16E6D4C6"/>
    <w:styleLink w:val="MultiLevelListDefault"/>
    <w:lvl w:ilvl="0">
      <w:start w:val="1"/>
      <w:numFmt w:val="upperRoman"/>
      <w:suff w:val="space"/>
      <w:lvlText w:val="%1."/>
      <w:lvlJc w:val="left"/>
      <w:pPr>
        <w:ind w:left="504" w:hanging="504"/>
      </w:pPr>
      <w:rPr>
        <w:rFonts w:ascii="Arial" w:hAnsi="Arial" w:hint="default"/>
        <w:sz w:val="24"/>
      </w:rPr>
    </w:lvl>
    <w:lvl w:ilvl="1">
      <w:start w:val="1"/>
      <w:numFmt w:val="upperLetter"/>
      <w:suff w:val="space"/>
      <w:lvlText w:val="%2."/>
      <w:lvlJc w:val="left"/>
      <w:pPr>
        <w:ind w:left="1008" w:hanging="504"/>
      </w:pPr>
      <w:rPr>
        <w:rFonts w:hint="default"/>
      </w:rPr>
    </w:lvl>
    <w:lvl w:ilvl="2">
      <w:start w:val="1"/>
      <w:numFmt w:val="decimal"/>
      <w:suff w:val="space"/>
      <w:lvlText w:val="%3."/>
      <w:lvlJc w:val="left"/>
      <w:pPr>
        <w:ind w:left="1512" w:hanging="504"/>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65176CA6"/>
    <w:multiLevelType w:val="multilevel"/>
    <w:tmpl w:val="16E6D4C6"/>
    <w:numStyleLink w:val="MultiLevelListDefault"/>
  </w:abstractNum>
  <w:abstractNum w:abstractNumId="3" w15:restartNumberingAfterBreak="0">
    <w:nsid w:val="68D321F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E9"/>
    <w:rsid w:val="000109F8"/>
    <w:rsid w:val="00023A32"/>
    <w:rsid w:val="0005180B"/>
    <w:rsid w:val="00090083"/>
    <w:rsid w:val="000D42A2"/>
    <w:rsid w:val="000D5937"/>
    <w:rsid w:val="001A29AE"/>
    <w:rsid w:val="00230732"/>
    <w:rsid w:val="00247B41"/>
    <w:rsid w:val="002572FB"/>
    <w:rsid w:val="00275D7F"/>
    <w:rsid w:val="002D454D"/>
    <w:rsid w:val="00355084"/>
    <w:rsid w:val="003B7514"/>
    <w:rsid w:val="003C78CB"/>
    <w:rsid w:val="004949AD"/>
    <w:rsid w:val="004D49F6"/>
    <w:rsid w:val="00564D46"/>
    <w:rsid w:val="00571B7A"/>
    <w:rsid w:val="006E4AFF"/>
    <w:rsid w:val="00703FE9"/>
    <w:rsid w:val="007B57BD"/>
    <w:rsid w:val="007E12E7"/>
    <w:rsid w:val="00822061"/>
    <w:rsid w:val="00837101"/>
    <w:rsid w:val="00837958"/>
    <w:rsid w:val="008E1322"/>
    <w:rsid w:val="009F6A22"/>
    <w:rsid w:val="00B043CE"/>
    <w:rsid w:val="00B16CE1"/>
    <w:rsid w:val="00C572CB"/>
    <w:rsid w:val="00D42ED9"/>
    <w:rsid w:val="00D71071"/>
    <w:rsid w:val="00DE49D6"/>
    <w:rsid w:val="00DE60E5"/>
    <w:rsid w:val="00E03992"/>
    <w:rsid w:val="00E216FD"/>
    <w:rsid w:val="00EE5A94"/>
    <w:rsid w:val="00EF45AD"/>
    <w:rsid w:val="00F461AC"/>
    <w:rsid w:val="00F64CA8"/>
    <w:rsid w:val="00F85FDF"/>
    <w:rsid w:val="00FB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2454"/>
  <w15:docId w15:val="{42BE1C0A-140E-45EA-AD89-B4E78217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A22"/>
  </w:style>
  <w:style w:type="paragraph" w:styleId="Heading1">
    <w:name w:val="heading 1"/>
    <w:basedOn w:val="Normal"/>
    <w:next w:val="Normal"/>
    <w:link w:val="Heading1Char"/>
    <w:uiPriority w:val="9"/>
    <w:qFormat/>
    <w:rsid w:val="00B043C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43C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43C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43C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043C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43C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43C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43C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43C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3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43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43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43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043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043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043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043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43CE"/>
    <w:rPr>
      <w:rFonts w:asciiTheme="majorHAnsi" w:eastAsiaTheme="majorEastAsia" w:hAnsiTheme="majorHAnsi" w:cstheme="majorBidi"/>
      <w:i/>
      <w:iCs/>
      <w:color w:val="404040" w:themeColor="text1" w:themeTint="BF"/>
      <w:sz w:val="20"/>
      <w:szCs w:val="20"/>
    </w:rPr>
  </w:style>
  <w:style w:type="numbering" w:customStyle="1" w:styleId="MultiLevelListDefault">
    <w:name w:val="Multi Level List (Default)"/>
    <w:uiPriority w:val="99"/>
    <w:rsid w:val="00837958"/>
    <w:pPr>
      <w:numPr>
        <w:numId w:val="3"/>
      </w:numPr>
    </w:pPr>
  </w:style>
  <w:style w:type="paragraph" w:styleId="BalloonText">
    <w:name w:val="Balloon Text"/>
    <w:basedOn w:val="Normal"/>
    <w:link w:val="BalloonTextChar"/>
    <w:uiPriority w:val="99"/>
    <w:semiHidden/>
    <w:unhideWhenUsed/>
    <w:rsid w:val="003C7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8CB"/>
    <w:rPr>
      <w:rFonts w:ascii="Tahoma" w:hAnsi="Tahoma" w:cs="Tahoma"/>
      <w:sz w:val="16"/>
      <w:szCs w:val="16"/>
    </w:rPr>
  </w:style>
  <w:style w:type="paragraph" w:styleId="Header">
    <w:name w:val="header"/>
    <w:basedOn w:val="Normal"/>
    <w:link w:val="HeaderChar"/>
    <w:uiPriority w:val="99"/>
    <w:unhideWhenUsed/>
    <w:rsid w:val="00494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9AD"/>
  </w:style>
  <w:style w:type="paragraph" w:styleId="Footer">
    <w:name w:val="footer"/>
    <w:basedOn w:val="Normal"/>
    <w:link w:val="FooterChar"/>
    <w:uiPriority w:val="99"/>
    <w:unhideWhenUsed/>
    <w:rsid w:val="00494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Management's Report on Internal Control and Compliance</dc:title>
  <dc:subject>Administrative Qualification</dc:subject>
  <dc:creator>TxDOT</dc:creator>
  <cp:lastPrinted>2014-10-01T11:19:00Z</cp:lastPrinted>
  <dcterms:created xsi:type="dcterms:W3CDTF">2019-12-16T17:47:00Z</dcterms:created>
  <dcterms:modified xsi:type="dcterms:W3CDTF">2019-12-18T19:50:00Z</dcterms:modified>
</cp:coreProperties>
</file>